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4F9" w:rsidRPr="00583AB4" w:rsidRDefault="00583AB4" w:rsidP="009307C9">
      <w:pPr>
        <w:jc w:val="center"/>
        <w:rPr>
          <w:rFonts w:asciiTheme="minorEastAsia" w:hAnsiTheme="minorEastAsia" w:cs="仿宋"/>
          <w:b/>
          <w:sz w:val="44"/>
          <w:szCs w:val="44"/>
        </w:rPr>
      </w:pPr>
      <w:bookmarkStart w:id="0" w:name="_GoBack"/>
      <w:r w:rsidRPr="00583AB4">
        <w:rPr>
          <w:rFonts w:asciiTheme="minorEastAsia" w:hAnsiTheme="minorEastAsia" w:cs="仿宋" w:hint="eastAsia"/>
          <w:b/>
          <w:sz w:val="44"/>
          <w:szCs w:val="44"/>
        </w:rPr>
        <w:t>成安县畜牧水产局2017年部门预算情况说明</w:t>
      </w:r>
    </w:p>
    <w:bookmarkEnd w:id="0"/>
    <w:p w:rsidR="00CE24F9" w:rsidRDefault="00CE24F9">
      <w:pPr>
        <w:autoSpaceDE w:val="0"/>
        <w:autoSpaceDN w:val="0"/>
        <w:adjustRightInd w:val="0"/>
        <w:jc w:val="left"/>
        <w:rPr>
          <w:rFonts w:ascii="仿宋_GB2312" w:eastAsia="仿宋_GB2312" w:hAnsi="仿宋_GB2312" w:cs="仿宋_GB2312"/>
          <w:sz w:val="30"/>
          <w:szCs w:val="30"/>
        </w:rPr>
      </w:pPr>
    </w:p>
    <w:p w:rsidR="00CE24F9" w:rsidRDefault="00230D73">
      <w:pPr>
        <w:widowControl/>
        <w:spacing w:line="360" w:lineRule="auto"/>
        <w:ind w:left="640"/>
        <w:jc w:val="left"/>
        <w:rPr>
          <w:rFonts w:ascii="仿宋" w:eastAsia="仿宋" w:hAnsi="仿宋" w:cs="仿宋"/>
          <w:kern w:val="0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按照《预算法》有关规定和财政部关于印发《地方预决算公开操作规程》的通知，</w:t>
      </w:r>
      <w:r>
        <w:rPr>
          <w:rFonts w:ascii="仿宋" w:eastAsia="仿宋" w:hAnsi="仿宋" w:cs="仿宋" w:hint="eastAsia"/>
          <w:kern w:val="0"/>
          <w:sz w:val="32"/>
          <w:szCs w:val="32"/>
        </w:rPr>
        <w:t>现将成安县畜牧水产局2017年部门预算公开如下：</w:t>
      </w:r>
    </w:p>
    <w:p w:rsidR="00CE24F9" w:rsidRDefault="00230D73">
      <w:pPr>
        <w:widowControl/>
        <w:spacing w:line="360" w:lineRule="auto"/>
        <w:jc w:val="left"/>
        <w:rPr>
          <w:rFonts w:ascii="黑体" w:eastAsia="黑体" w:hAnsi="黑体" w:cs="黑体"/>
          <w:b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一、</w:t>
      </w:r>
      <w:r>
        <w:rPr>
          <w:rFonts w:ascii="黑体" w:eastAsia="黑体" w:hAnsi="黑体" w:cs="黑体" w:hint="eastAsia"/>
          <w:b/>
          <w:kern w:val="0"/>
          <w:sz w:val="32"/>
          <w:szCs w:val="32"/>
        </w:rPr>
        <w:t>主要职责及机构设置情况</w:t>
      </w:r>
    </w:p>
    <w:p w:rsidR="00CE24F9" w:rsidRDefault="00230D73">
      <w:pPr>
        <w:pStyle w:val="10"/>
        <w:adjustRightInd w:val="0"/>
        <w:snapToGrid w:val="0"/>
        <w:spacing w:line="580" w:lineRule="exact"/>
        <w:ind w:firstLine="643"/>
        <w:rPr>
          <w:rFonts w:ascii="楷体" w:eastAsia="楷体" w:hAnsi="楷体" w:cs="楷体"/>
          <w:b/>
          <w:sz w:val="32"/>
          <w:szCs w:val="32"/>
        </w:rPr>
      </w:pPr>
      <w:r>
        <w:rPr>
          <w:rFonts w:ascii="楷体" w:eastAsia="楷体" w:hAnsi="楷体" w:cs="楷体" w:hint="eastAsia"/>
          <w:b/>
          <w:sz w:val="32"/>
          <w:szCs w:val="32"/>
        </w:rPr>
        <w:t>成安县畜牧水产局职责</w:t>
      </w:r>
    </w:p>
    <w:p w:rsidR="00CE24F9" w:rsidRDefault="00230D73">
      <w:pPr>
        <w:pStyle w:val="10"/>
        <w:adjustRightInd w:val="0"/>
        <w:snapToGrid w:val="0"/>
        <w:spacing w:line="580" w:lineRule="exact"/>
        <w:ind w:firstLineChars="0" w:firstLine="0"/>
        <w:jc w:val="left"/>
        <w:outlineLvl w:val="1"/>
        <w:rPr>
          <w:rFonts w:ascii="仿宋" w:eastAsia="仿宋" w:hAnsi="仿宋" w:cs="仿宋"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bCs/>
          <w:sz w:val="32"/>
          <w:szCs w:val="32"/>
        </w:rPr>
        <w:t>1、全力抓好全县畜牧业生产。延伸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</w:rPr>
        <w:t>完善五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</w:rPr>
        <w:t>大产业链条，固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</w:rPr>
        <w:t>巩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</w:rPr>
        <w:t>猪、牛、羊、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</w:rPr>
        <w:t>鸡传统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</w:rPr>
        <w:t>畜禽养殖，发展肉鸽、生态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</w:rPr>
        <w:t>猪特色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</w:rPr>
        <w:t>养殖业。全面完成市下达畜牧生产各项指标。</w:t>
      </w:r>
    </w:p>
    <w:p w:rsidR="00CE24F9" w:rsidRDefault="00230D73">
      <w:pPr>
        <w:adjustRightInd w:val="0"/>
        <w:snapToGrid w:val="0"/>
        <w:spacing w:line="580" w:lineRule="exact"/>
        <w:jc w:val="left"/>
        <w:outlineLvl w:val="1"/>
        <w:rPr>
          <w:rFonts w:ascii="仿宋" w:eastAsia="仿宋" w:hAnsi="仿宋" w:cs="仿宋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 xml:space="preserve"> 2、全力抓好重大动物疫病防控工作。高致病性禽流感、口蹄疫、猪瘟、高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</w:rPr>
        <w:t>致病性猪蓝耳病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</w:rPr>
        <w:t>等重大动物疫病应免畜禽免疫密度达到100%，群体免疫抗体合格率达到70%以上，畜禽标识佩戴率和免疫档案建档率达到100%。努力确保不发生区域性重大动物疫情。</w:t>
      </w:r>
    </w:p>
    <w:p w:rsidR="00CE24F9" w:rsidRDefault="00230D73">
      <w:pPr>
        <w:adjustRightInd w:val="0"/>
        <w:snapToGrid w:val="0"/>
        <w:spacing w:line="580" w:lineRule="exact"/>
        <w:jc w:val="left"/>
        <w:outlineLvl w:val="1"/>
        <w:rPr>
          <w:rFonts w:ascii="仿宋" w:eastAsia="仿宋" w:hAnsi="仿宋" w:cs="仿宋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3、全力抓好动物卫生监督工作。规模养殖场产地检疫率达到100%，定点屠宰场检疫率达100%，病死动物无害化处理率达100%；开展动物卫生监督执法检查10次以上。</w:t>
      </w:r>
    </w:p>
    <w:p w:rsidR="00CE24F9" w:rsidRDefault="00230D73">
      <w:pPr>
        <w:adjustRightInd w:val="0"/>
        <w:snapToGrid w:val="0"/>
        <w:spacing w:line="580" w:lineRule="exact"/>
        <w:jc w:val="left"/>
        <w:outlineLvl w:val="1"/>
        <w:rPr>
          <w:rFonts w:ascii="仿宋" w:eastAsia="仿宋" w:hAnsi="仿宋" w:cs="仿宋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4、全力抓好畜产品安全监督管理工作。一是开展4次“瘦肉精”、“饲料兽药残留”、“三聚氰胺”三个专项整治活动；二是加强定点屠宰监管力度，严厉打击注水肉、注入“瘦肉精”等有毒有害物质违法、违规行为。努力确保不发生重大畜产品安全事件。</w:t>
      </w:r>
    </w:p>
    <w:p w:rsidR="00CE24F9" w:rsidRDefault="00CE24F9">
      <w:pPr>
        <w:widowControl/>
        <w:spacing w:line="360" w:lineRule="auto"/>
        <w:ind w:left="640"/>
        <w:jc w:val="left"/>
        <w:rPr>
          <w:rFonts w:ascii="楷体" w:eastAsia="楷体" w:hAnsi="楷体" w:cs="楷体"/>
          <w:b/>
          <w:bCs/>
          <w:kern w:val="0"/>
          <w:sz w:val="32"/>
          <w:szCs w:val="32"/>
          <w:shd w:val="clear" w:color="FFFFFF" w:fill="D9D9D9"/>
        </w:rPr>
      </w:pPr>
    </w:p>
    <w:p w:rsidR="00CE24F9" w:rsidRDefault="00CE24F9">
      <w:pPr>
        <w:widowControl/>
        <w:spacing w:line="360" w:lineRule="auto"/>
        <w:ind w:left="640"/>
        <w:jc w:val="left"/>
        <w:rPr>
          <w:rFonts w:ascii="楷体" w:eastAsia="楷体" w:hAnsi="楷体" w:cs="楷体"/>
          <w:b/>
          <w:bCs/>
          <w:kern w:val="0"/>
          <w:sz w:val="32"/>
          <w:szCs w:val="32"/>
          <w:shd w:val="clear" w:color="FFFFFF" w:fill="D9D9D9"/>
        </w:rPr>
      </w:pPr>
    </w:p>
    <w:p w:rsidR="00CE24F9" w:rsidRDefault="00CE24F9">
      <w:pPr>
        <w:widowControl/>
        <w:spacing w:line="360" w:lineRule="auto"/>
        <w:ind w:left="640"/>
        <w:jc w:val="left"/>
        <w:rPr>
          <w:rFonts w:ascii="楷体" w:eastAsia="楷体" w:hAnsi="楷体" w:cs="楷体"/>
          <w:b/>
          <w:bCs/>
          <w:kern w:val="0"/>
          <w:sz w:val="32"/>
          <w:szCs w:val="32"/>
          <w:shd w:val="clear" w:color="FFFFFF" w:fill="D9D9D9"/>
        </w:rPr>
      </w:pPr>
    </w:p>
    <w:p w:rsidR="00CE24F9" w:rsidRDefault="00230D73">
      <w:pPr>
        <w:widowControl/>
        <w:spacing w:line="360" w:lineRule="auto"/>
        <w:jc w:val="left"/>
        <w:rPr>
          <w:rFonts w:ascii="楷体" w:eastAsia="楷体" w:hAnsi="楷体" w:cs="楷体"/>
          <w:b/>
          <w:bCs/>
          <w:kern w:val="0"/>
          <w:sz w:val="32"/>
          <w:szCs w:val="32"/>
          <w:shd w:val="clear" w:color="FFFFFF" w:fill="D9D9D9"/>
        </w:rPr>
      </w:pPr>
      <w:r>
        <w:rPr>
          <w:rFonts w:ascii="楷体" w:eastAsia="楷体" w:hAnsi="楷体" w:cs="楷体" w:hint="eastAsia"/>
          <w:b/>
          <w:bCs/>
          <w:kern w:val="0"/>
          <w:sz w:val="32"/>
          <w:szCs w:val="32"/>
          <w:shd w:val="clear" w:color="FFFFFF" w:fill="D9D9D9"/>
        </w:rPr>
        <w:t xml:space="preserve">  机构设置</w:t>
      </w:r>
    </w:p>
    <w:p w:rsidR="00CE24F9" w:rsidRDefault="00230D73">
      <w:pPr>
        <w:jc w:val="center"/>
        <w:outlineLvl w:val="0"/>
        <w:rPr>
          <w:rFonts w:ascii="Times New Roman" w:eastAsia="方正小标宋_GBK" w:hAnsi="Times New Roman" w:cs="Times New Roman"/>
          <w:sz w:val="32"/>
          <w:szCs w:val="32"/>
        </w:rPr>
      </w:pPr>
      <w:r>
        <w:rPr>
          <w:rFonts w:ascii="Times New Roman" w:eastAsia="方正小标宋_GBK" w:hAnsi="Times New Roman" w:cs="方正小标宋_GBK" w:hint="eastAsia"/>
          <w:sz w:val="32"/>
          <w:szCs w:val="32"/>
        </w:rPr>
        <w:t>部门机构设置情况</w:t>
      </w:r>
    </w:p>
    <w:tbl>
      <w:tblPr>
        <w:tblW w:w="862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17"/>
        <w:gridCol w:w="1134"/>
        <w:gridCol w:w="1276"/>
        <w:gridCol w:w="2902"/>
      </w:tblGrid>
      <w:tr w:rsidR="00CE24F9">
        <w:trPr>
          <w:trHeight w:val="300"/>
          <w:tblHeader/>
          <w:jc w:val="center"/>
        </w:trPr>
        <w:tc>
          <w:tcPr>
            <w:tcW w:w="3317" w:type="dxa"/>
            <w:vMerge w:val="restart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Times New Roman" w:eastAsia="方正书宋_GBK" w:hAnsi="Times New Roman" w:cs="Times New Roman"/>
                <w:b/>
                <w:bCs/>
              </w:rPr>
            </w:pPr>
            <w:r>
              <w:rPr>
                <w:rFonts w:ascii="Times New Roman" w:eastAsia="方正书宋_GBK" w:hAnsi="Times New Roman" w:cs="方正书宋_GBK" w:hint="eastAsia"/>
                <w:b/>
                <w:bCs/>
              </w:rPr>
              <w:t>单位名称</w:t>
            </w:r>
          </w:p>
        </w:tc>
        <w:tc>
          <w:tcPr>
            <w:tcW w:w="1134" w:type="dxa"/>
            <w:vMerge w:val="restart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Times New Roman" w:eastAsia="方正书宋_GBK" w:hAnsi="Times New Roman" w:cs="Times New Roman"/>
                <w:b/>
                <w:bCs/>
              </w:rPr>
            </w:pPr>
            <w:r>
              <w:rPr>
                <w:rFonts w:ascii="Times New Roman" w:eastAsia="方正书宋_GBK" w:hAnsi="Times New Roman" w:cs="方正书宋_GBK" w:hint="eastAsia"/>
                <w:b/>
                <w:bCs/>
              </w:rPr>
              <w:t>单位性质</w:t>
            </w:r>
          </w:p>
        </w:tc>
        <w:tc>
          <w:tcPr>
            <w:tcW w:w="1276" w:type="dxa"/>
            <w:vMerge w:val="restart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Times New Roman" w:eastAsia="方正书宋_GBK" w:hAnsi="Times New Roman" w:cs="Times New Roman"/>
                <w:b/>
                <w:bCs/>
              </w:rPr>
            </w:pPr>
            <w:r>
              <w:rPr>
                <w:rFonts w:ascii="Times New Roman" w:eastAsia="方正书宋_GBK" w:hAnsi="Times New Roman" w:cs="方正书宋_GBK" w:hint="eastAsia"/>
                <w:b/>
                <w:bCs/>
              </w:rPr>
              <w:t>单位规格</w:t>
            </w:r>
          </w:p>
        </w:tc>
        <w:tc>
          <w:tcPr>
            <w:tcW w:w="2902" w:type="dxa"/>
            <w:vMerge w:val="restart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Times New Roman" w:eastAsia="方正书宋_GBK" w:hAnsi="Times New Roman" w:cs="Times New Roman"/>
                <w:b/>
                <w:bCs/>
              </w:rPr>
            </w:pPr>
            <w:r>
              <w:rPr>
                <w:rFonts w:ascii="Times New Roman" w:eastAsia="方正书宋_GBK" w:hAnsi="Times New Roman" w:cs="方正书宋_GBK" w:hint="eastAsia"/>
                <w:b/>
                <w:bCs/>
              </w:rPr>
              <w:t>经费保障形式</w:t>
            </w:r>
          </w:p>
        </w:tc>
      </w:tr>
      <w:tr w:rsidR="00CE24F9">
        <w:trPr>
          <w:trHeight w:val="300"/>
          <w:tblHeader/>
          <w:jc w:val="center"/>
        </w:trPr>
        <w:tc>
          <w:tcPr>
            <w:tcW w:w="3317" w:type="dxa"/>
            <w:vMerge/>
            <w:vAlign w:val="center"/>
          </w:tcPr>
          <w:p w:rsidR="00CE24F9" w:rsidRDefault="00CE24F9">
            <w:pPr>
              <w:spacing w:line="300" w:lineRule="exact"/>
              <w:jc w:val="left"/>
              <w:outlineLvl w:val="0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E24F9" w:rsidRDefault="00CE24F9">
            <w:pPr>
              <w:spacing w:line="300" w:lineRule="exact"/>
              <w:jc w:val="left"/>
              <w:outlineLvl w:val="0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CE24F9" w:rsidRDefault="00CE24F9">
            <w:pPr>
              <w:spacing w:line="300" w:lineRule="exact"/>
              <w:jc w:val="left"/>
              <w:outlineLvl w:val="0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902" w:type="dxa"/>
            <w:vMerge/>
            <w:vAlign w:val="center"/>
          </w:tcPr>
          <w:p w:rsidR="00CE24F9" w:rsidRDefault="00CE24F9">
            <w:pPr>
              <w:spacing w:line="300" w:lineRule="exact"/>
              <w:jc w:val="left"/>
              <w:outlineLvl w:val="0"/>
              <w:rPr>
                <w:rFonts w:ascii="Times New Roman" w:eastAsia="宋体" w:hAnsi="Times New Roman" w:cs="Times New Roman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3317" w:type="dxa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宋体" w:eastAsia="宋体" w:hAnsi="宋体" w:cs="宋体"/>
                <w:sz w:val="32"/>
                <w:szCs w:val="32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成安县畜牧水产局</w:t>
            </w:r>
          </w:p>
        </w:tc>
        <w:tc>
          <w:tcPr>
            <w:tcW w:w="1134" w:type="dxa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行政</w:t>
            </w:r>
          </w:p>
        </w:tc>
        <w:tc>
          <w:tcPr>
            <w:tcW w:w="1276" w:type="dxa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县级</w:t>
            </w:r>
          </w:p>
        </w:tc>
        <w:tc>
          <w:tcPr>
            <w:tcW w:w="2902" w:type="dxa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财政拨款</w:t>
            </w:r>
          </w:p>
        </w:tc>
      </w:tr>
      <w:tr w:rsidR="00CE24F9">
        <w:trPr>
          <w:trHeight w:val="227"/>
          <w:jc w:val="center"/>
        </w:trPr>
        <w:tc>
          <w:tcPr>
            <w:tcW w:w="3317" w:type="dxa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Times New Roman" w:eastAsia="方正书宋_GBK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Times New Roman" w:eastAsia="方正书宋_GBK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Times New Roman" w:eastAsia="方正书宋_GBK" w:hAnsi="Times New Roman" w:cs="Times New Roman"/>
              </w:rPr>
            </w:pPr>
          </w:p>
        </w:tc>
        <w:tc>
          <w:tcPr>
            <w:tcW w:w="2902" w:type="dxa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Times New Roman" w:eastAsia="方正书宋_GBK" w:hAnsi="Times New Roman" w:cs="Times New Roman"/>
              </w:rPr>
            </w:pPr>
          </w:p>
        </w:tc>
      </w:tr>
    </w:tbl>
    <w:p w:rsidR="00CE24F9" w:rsidRDefault="00CE24F9">
      <w:pPr>
        <w:widowControl/>
        <w:spacing w:line="360" w:lineRule="auto"/>
        <w:jc w:val="left"/>
        <w:rPr>
          <w:rFonts w:ascii="仿宋" w:eastAsia="仿宋" w:hAnsi="仿宋" w:cs="仿宋"/>
          <w:b/>
          <w:kern w:val="0"/>
          <w:sz w:val="32"/>
          <w:szCs w:val="32"/>
        </w:rPr>
      </w:pPr>
    </w:p>
    <w:p w:rsidR="00CE24F9" w:rsidRDefault="00230D73">
      <w:pPr>
        <w:widowControl/>
        <w:spacing w:line="360" w:lineRule="auto"/>
        <w:ind w:left="628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</w:rPr>
        <w:t>成安县畜牧水产局，预算编码是478002，内设3个内部机构。</w:t>
      </w:r>
    </w:p>
    <w:p w:rsidR="00CE24F9" w:rsidRDefault="00230D73">
      <w:pPr>
        <w:widowControl/>
        <w:numPr>
          <w:ilvl w:val="0"/>
          <w:numId w:val="1"/>
        </w:numPr>
        <w:spacing w:line="360" w:lineRule="auto"/>
        <w:ind w:left="628"/>
        <w:jc w:val="left"/>
        <w:rPr>
          <w:rFonts w:ascii="仿宋" w:eastAsia="仿宋" w:hAnsi="仿宋" w:cs="仿宋"/>
          <w:b/>
          <w:kern w:val="0"/>
          <w:sz w:val="32"/>
          <w:szCs w:val="32"/>
        </w:rPr>
      </w:pPr>
      <w:r>
        <w:rPr>
          <w:rFonts w:ascii="楷体" w:eastAsia="楷体" w:hAnsi="楷体" w:cs="楷体" w:hint="eastAsia"/>
          <w:b/>
          <w:kern w:val="0"/>
          <w:sz w:val="32"/>
          <w:szCs w:val="32"/>
        </w:rPr>
        <w:t>办公室</w:t>
      </w:r>
    </w:p>
    <w:p w:rsidR="00CE24F9" w:rsidRDefault="00230D73">
      <w:pPr>
        <w:widowControl/>
        <w:spacing w:line="360" w:lineRule="auto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</w:rPr>
        <w:t xml:space="preserve">     主要负责：负责畜牧局的办文、办会，接待，及文件、电话的上传下达，各科室内的协调，工作人员的考勤等工作。</w:t>
      </w:r>
    </w:p>
    <w:p w:rsidR="00CE24F9" w:rsidRDefault="00230D73">
      <w:pPr>
        <w:widowControl/>
        <w:spacing w:line="360" w:lineRule="auto"/>
        <w:ind w:firstLine="640"/>
        <w:jc w:val="left"/>
        <w:rPr>
          <w:rFonts w:ascii="楷体" w:eastAsia="楷体" w:hAnsi="楷体" w:cs="楷体"/>
          <w:b/>
          <w:kern w:val="0"/>
          <w:sz w:val="32"/>
          <w:szCs w:val="32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</w:rPr>
        <w:t>2</w:t>
      </w:r>
      <w:r>
        <w:rPr>
          <w:rFonts w:ascii="楷体" w:eastAsia="楷体" w:hAnsi="楷体" w:cs="楷体" w:hint="eastAsia"/>
          <w:bCs/>
          <w:kern w:val="0"/>
          <w:sz w:val="32"/>
          <w:szCs w:val="32"/>
        </w:rPr>
        <w:t>、</w:t>
      </w:r>
      <w:r>
        <w:rPr>
          <w:rFonts w:ascii="楷体" w:eastAsia="楷体" w:hAnsi="楷体" w:cs="楷体" w:hint="eastAsia"/>
          <w:b/>
          <w:kern w:val="0"/>
          <w:sz w:val="32"/>
          <w:szCs w:val="32"/>
        </w:rPr>
        <w:t>兽医科</w:t>
      </w:r>
    </w:p>
    <w:p w:rsidR="00CE24F9" w:rsidRDefault="00230D73">
      <w:pPr>
        <w:widowControl/>
        <w:spacing w:line="360" w:lineRule="auto"/>
        <w:ind w:firstLine="640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</w:rPr>
        <w:t>主要负责：负责动物防疫、动物检疫、动物卫生监督及兽医</w:t>
      </w:r>
      <w:proofErr w:type="gramStart"/>
      <w:r>
        <w:rPr>
          <w:rFonts w:ascii="仿宋" w:eastAsia="仿宋" w:hAnsi="仿宋" w:cs="仿宋" w:hint="eastAsia"/>
          <w:bCs/>
          <w:kern w:val="0"/>
          <w:sz w:val="32"/>
          <w:szCs w:val="32"/>
        </w:rPr>
        <w:t>医</w:t>
      </w:r>
      <w:proofErr w:type="gramEnd"/>
      <w:r>
        <w:rPr>
          <w:rFonts w:ascii="仿宋" w:eastAsia="仿宋" w:hAnsi="仿宋" w:cs="仿宋" w:hint="eastAsia"/>
          <w:bCs/>
          <w:kern w:val="0"/>
          <w:sz w:val="32"/>
          <w:szCs w:val="32"/>
        </w:rPr>
        <w:t>政药政法律法规的贯彻实施；组织拟定动物疫病防治、动物卫生监督、兽医兽药管理的规划、计划；组织指导动物疫病防疫和动物卫生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lastRenderedPageBreak/>
        <w:t>监督执法工作，组织动物疫情调查、评估与发布等管理工作；负责全县动物诊疗机构及从业人员监督管理工作；负责县防治重大动物疫病指挥部办公室日常工作。</w:t>
      </w:r>
    </w:p>
    <w:p w:rsidR="00CE24F9" w:rsidRDefault="00230D73">
      <w:pPr>
        <w:widowControl/>
        <w:spacing w:line="360" w:lineRule="auto"/>
        <w:ind w:firstLineChars="200" w:firstLine="640"/>
        <w:jc w:val="left"/>
        <w:rPr>
          <w:rFonts w:ascii="楷体" w:eastAsia="楷体" w:hAnsi="楷体" w:cs="楷体"/>
          <w:b/>
          <w:kern w:val="0"/>
          <w:sz w:val="32"/>
          <w:szCs w:val="32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</w:rPr>
        <w:t>3、</w:t>
      </w:r>
      <w:r>
        <w:rPr>
          <w:rFonts w:ascii="楷体" w:eastAsia="楷体" w:hAnsi="楷体" w:cs="楷体" w:hint="eastAsia"/>
          <w:b/>
          <w:kern w:val="0"/>
          <w:sz w:val="32"/>
          <w:szCs w:val="32"/>
        </w:rPr>
        <w:t>畜牧科</w:t>
      </w:r>
    </w:p>
    <w:p w:rsidR="00CE24F9" w:rsidRDefault="00230D73">
      <w:pPr>
        <w:widowControl/>
        <w:tabs>
          <w:tab w:val="left" w:pos="900"/>
        </w:tabs>
        <w:spacing w:line="360" w:lineRule="auto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</w:rPr>
        <w:tab/>
        <w:t>组织制定和实施全县畜牧业发展的长期规划和年度计划，指导畜牧业生产和结构调整；负责畜牧业统计工作；负责全县奶业生产的规划、建设、实施和考核验收，奶业生产企业的监管、奶业项目的论证、申报和管理等工作。</w:t>
      </w:r>
    </w:p>
    <w:p w:rsidR="00CE24F9" w:rsidRDefault="00230D73">
      <w:pPr>
        <w:widowControl/>
        <w:spacing w:line="360" w:lineRule="auto"/>
        <w:ind w:firstLineChars="100" w:firstLine="321"/>
        <w:jc w:val="left"/>
        <w:rPr>
          <w:rFonts w:ascii="楷体" w:eastAsia="楷体" w:hAnsi="楷体" w:cs="楷体"/>
          <w:b/>
          <w:kern w:val="0"/>
          <w:sz w:val="32"/>
          <w:szCs w:val="32"/>
        </w:rPr>
      </w:pPr>
      <w:r>
        <w:rPr>
          <w:rFonts w:ascii="楷体" w:eastAsia="楷体" w:hAnsi="楷体" w:cs="楷体" w:hint="eastAsia"/>
          <w:b/>
          <w:kern w:val="0"/>
          <w:sz w:val="32"/>
          <w:szCs w:val="32"/>
        </w:rPr>
        <w:t>人员编制和领导职数</w:t>
      </w:r>
    </w:p>
    <w:p w:rsidR="00CE24F9" w:rsidRDefault="00230D73">
      <w:pPr>
        <w:widowControl/>
        <w:spacing w:line="360" w:lineRule="auto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/>
          <w:kern w:val="0"/>
          <w:sz w:val="32"/>
          <w:szCs w:val="32"/>
        </w:rPr>
        <w:t xml:space="preserve">     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t>成安县畜牧水产局，人员编制12名，</w:t>
      </w:r>
      <w:proofErr w:type="gramStart"/>
      <w:r>
        <w:rPr>
          <w:rFonts w:ascii="仿宋" w:eastAsia="仿宋" w:hAnsi="仿宋" w:cs="仿宋" w:hint="eastAsia"/>
          <w:bCs/>
          <w:kern w:val="0"/>
          <w:sz w:val="32"/>
          <w:szCs w:val="32"/>
        </w:rPr>
        <w:t>其中领导</w:t>
      </w:r>
      <w:proofErr w:type="gramEnd"/>
      <w:r>
        <w:rPr>
          <w:rFonts w:ascii="仿宋" w:eastAsia="仿宋" w:hAnsi="仿宋" w:cs="仿宋" w:hint="eastAsia"/>
          <w:bCs/>
          <w:kern w:val="0"/>
          <w:sz w:val="32"/>
          <w:szCs w:val="32"/>
        </w:rPr>
        <w:t>职数1个。</w:t>
      </w:r>
    </w:p>
    <w:p w:rsidR="00CE24F9" w:rsidRDefault="00230D73">
      <w:pPr>
        <w:spacing w:line="560" w:lineRule="exact"/>
        <w:ind w:firstLine="640"/>
        <w:rPr>
          <w:rFonts w:ascii="黑体" w:eastAsia="黑体" w:hAnsi="黑体" w:cs="仿宋"/>
          <w:kern w:val="0"/>
          <w:sz w:val="32"/>
          <w:szCs w:val="32"/>
        </w:rPr>
      </w:pPr>
      <w:bookmarkStart w:id="1" w:name="_Toc482005547"/>
      <w:r>
        <w:rPr>
          <w:rFonts w:ascii="黑体" w:eastAsia="黑体" w:hAnsi="黑体" w:cs="仿宋" w:hint="eastAsia"/>
          <w:kern w:val="0"/>
          <w:sz w:val="32"/>
          <w:szCs w:val="32"/>
        </w:rPr>
        <w:t>二、预算安排总体情况</w:t>
      </w:r>
    </w:p>
    <w:p w:rsidR="00CE24F9" w:rsidRDefault="00230D73">
      <w:pPr>
        <w:spacing w:line="560" w:lineRule="exact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按照预算管理有关规定，目前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我部门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预算的编制实行综合预算制度，即全部收入和支出都反映在预算中。</w:t>
      </w:r>
    </w:p>
    <w:p w:rsidR="00CE24F9" w:rsidRDefault="00230D73">
      <w:pPr>
        <w:pStyle w:val="20"/>
        <w:widowControl/>
        <w:tabs>
          <w:tab w:val="left" w:pos="1100"/>
        </w:tabs>
        <w:spacing w:line="360" w:lineRule="auto"/>
        <w:ind w:firstLineChars="0" w:firstLine="0"/>
        <w:jc w:val="left"/>
        <w:rPr>
          <w:rFonts w:ascii="楷体" w:eastAsia="楷体" w:hAnsi="楷体" w:cs="楷体"/>
          <w:b/>
          <w:bCs/>
          <w:kern w:val="0"/>
          <w:sz w:val="32"/>
          <w:szCs w:val="32"/>
        </w:rPr>
      </w:pPr>
      <w:r>
        <w:rPr>
          <w:rFonts w:ascii="黑体" w:eastAsia="黑体" w:hAnsi="黑体" w:cs="仿宋" w:hint="eastAsia"/>
          <w:kern w:val="0"/>
          <w:sz w:val="32"/>
          <w:szCs w:val="32"/>
        </w:rPr>
        <w:tab/>
      </w:r>
      <w:r>
        <w:rPr>
          <w:rFonts w:ascii="楷体" w:eastAsia="楷体" w:hAnsi="楷体" w:cs="楷体" w:hint="eastAsia"/>
          <w:b/>
          <w:bCs/>
          <w:kern w:val="0"/>
          <w:sz w:val="32"/>
          <w:szCs w:val="32"/>
        </w:rPr>
        <w:t>1、收入说明</w:t>
      </w:r>
    </w:p>
    <w:p w:rsidR="00CE24F9" w:rsidRDefault="00230D73">
      <w:pPr>
        <w:widowControl/>
        <w:spacing w:line="360" w:lineRule="auto"/>
        <w:ind w:firstLineChars="196" w:firstLine="627"/>
        <w:jc w:val="left"/>
        <w:rPr>
          <w:rFonts w:ascii="仿宋" w:eastAsia="仿宋" w:hAnsi="仿宋" w:cs="仿宋"/>
          <w:kern w:val="0"/>
          <w:sz w:val="32"/>
          <w:szCs w:val="32"/>
        </w:rPr>
      </w:pPr>
      <w:r>
        <w:rPr>
          <w:rFonts w:ascii="仿宋" w:eastAsia="仿宋" w:hAnsi="仿宋" w:cs="仿宋" w:hint="eastAsia"/>
          <w:kern w:val="0"/>
          <w:sz w:val="32"/>
          <w:szCs w:val="32"/>
        </w:rPr>
        <w:t>2017年预算收入为371.46万元，</w:t>
      </w:r>
      <w:r>
        <w:rPr>
          <w:rFonts w:ascii="仿宋" w:eastAsia="仿宋" w:hAnsi="仿宋" w:cs="仿宋" w:hint="eastAsia"/>
          <w:sz w:val="32"/>
          <w:szCs w:val="32"/>
        </w:rPr>
        <w:t>其中：一般公共预算收入371.46万元，政府性基金收入0万元，国有资本经营收入0万元。事业收入0万元，其他收入0万元。</w:t>
      </w:r>
    </w:p>
    <w:p w:rsidR="00CE24F9" w:rsidRDefault="00230D73">
      <w:pPr>
        <w:widowControl/>
        <w:tabs>
          <w:tab w:val="left" w:pos="1308"/>
        </w:tabs>
        <w:spacing w:line="360" w:lineRule="auto"/>
        <w:ind w:firstLineChars="196" w:firstLine="627"/>
        <w:jc w:val="left"/>
        <w:rPr>
          <w:rFonts w:ascii="楷体" w:eastAsia="楷体" w:hAnsi="楷体" w:cs="楷体"/>
          <w:b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kern w:val="0"/>
          <w:sz w:val="32"/>
          <w:szCs w:val="32"/>
        </w:rPr>
        <w:t xml:space="preserve">  </w:t>
      </w:r>
      <w:r>
        <w:rPr>
          <w:rFonts w:ascii="楷体" w:eastAsia="楷体" w:hAnsi="楷体" w:cs="楷体" w:hint="eastAsia"/>
          <w:b/>
          <w:bCs/>
          <w:kern w:val="0"/>
          <w:sz w:val="32"/>
          <w:szCs w:val="32"/>
        </w:rPr>
        <w:t>2、支出说明</w:t>
      </w:r>
    </w:p>
    <w:p w:rsidR="00CE24F9" w:rsidRDefault="00230D73">
      <w:pPr>
        <w:widowControl/>
        <w:spacing w:line="360" w:lineRule="auto"/>
        <w:ind w:firstLineChars="196" w:firstLine="627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kern w:val="0"/>
          <w:sz w:val="32"/>
          <w:szCs w:val="32"/>
        </w:rPr>
        <w:lastRenderedPageBreak/>
        <w:t>2017年支出预算为371.46万元，其中基本支出254.38，</w:t>
      </w:r>
      <w:r>
        <w:rPr>
          <w:rFonts w:ascii="仿宋" w:eastAsia="仿宋" w:hAnsi="仿宋" w:cs="仿宋" w:hint="eastAsia"/>
          <w:sz w:val="32"/>
          <w:szCs w:val="32"/>
        </w:rPr>
        <w:t>包括人员经费和日常公用经费；项目支出117.08万元，主要为畜牧业生产项目等。</w:t>
      </w:r>
    </w:p>
    <w:p w:rsidR="00CE24F9" w:rsidRDefault="00230D73">
      <w:pPr>
        <w:spacing w:line="560" w:lineRule="exact"/>
        <w:ind w:firstLine="640"/>
        <w:rPr>
          <w:rFonts w:ascii="楷体" w:eastAsia="楷体" w:hAnsi="楷体" w:cs="Times New Roman"/>
          <w:b/>
          <w:bCs/>
          <w:sz w:val="32"/>
          <w:szCs w:val="32"/>
        </w:rPr>
      </w:pPr>
      <w:r>
        <w:rPr>
          <w:rFonts w:ascii="楷体" w:eastAsia="楷体" w:hAnsi="楷体" w:cs="楷体"/>
          <w:b/>
          <w:bCs/>
          <w:sz w:val="32"/>
          <w:szCs w:val="32"/>
        </w:rPr>
        <w:t>3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、比上年增减变化情况</w:t>
      </w:r>
    </w:p>
    <w:p w:rsidR="00CE24F9" w:rsidRDefault="00230D73">
      <w:pPr>
        <w:spacing w:line="560" w:lineRule="exact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2017年预算收支安排371.46万元，较2016年预算减少23.7万元，其中：基本支出减少34.72万元，主要为减少日常公用经费支出；项目支出增加11.02万元，主要为畜牧业生产项目支出。</w:t>
      </w:r>
    </w:p>
    <w:p w:rsidR="00CE24F9" w:rsidRDefault="00CE24F9">
      <w:pPr>
        <w:widowControl/>
        <w:spacing w:line="360" w:lineRule="auto"/>
        <w:ind w:firstLineChars="196" w:firstLine="627"/>
        <w:jc w:val="left"/>
        <w:rPr>
          <w:rFonts w:ascii="Times New Roman" w:eastAsia="方正仿宋_GBK" w:hAnsi="Times New Roman" w:cs="方正仿宋_GBK"/>
          <w:sz w:val="32"/>
          <w:szCs w:val="32"/>
        </w:rPr>
      </w:pPr>
    </w:p>
    <w:p w:rsidR="00CE24F9" w:rsidRDefault="00230D73" w:rsidP="00230D73">
      <w:pPr>
        <w:autoSpaceDE w:val="0"/>
        <w:autoSpaceDN w:val="0"/>
        <w:adjustRightInd w:val="0"/>
        <w:spacing w:line="560" w:lineRule="exact"/>
        <w:ind w:left="198" w:firstLineChars="200" w:firstLine="640"/>
        <w:jc w:val="left"/>
        <w:rPr>
          <w:rFonts w:ascii="黑体" w:eastAsia="黑体" w:hAnsi="黑体" w:cs="仿宋"/>
          <w:kern w:val="0"/>
          <w:sz w:val="32"/>
          <w:szCs w:val="32"/>
        </w:rPr>
      </w:pPr>
      <w:r>
        <w:rPr>
          <w:rFonts w:ascii="黑体" w:eastAsia="黑体" w:hAnsi="黑体" w:cs="仿宋" w:hint="eastAsia"/>
          <w:kern w:val="0"/>
          <w:sz w:val="32"/>
          <w:szCs w:val="32"/>
        </w:rPr>
        <w:t>三、机关运行经费情况</w:t>
      </w:r>
    </w:p>
    <w:p w:rsidR="00CE24F9" w:rsidRDefault="00230D73" w:rsidP="00230D73">
      <w:pPr>
        <w:autoSpaceDE w:val="0"/>
        <w:autoSpaceDN w:val="0"/>
        <w:adjustRightInd w:val="0"/>
        <w:spacing w:line="560" w:lineRule="exact"/>
        <w:ind w:left="198"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机关运行经费共计安排3万元，主要用于办公区的日常维修、办公用房水电费、邮电费、办公用房取暖费、办公用房物业管理费等日常运行支出。</w:t>
      </w:r>
    </w:p>
    <w:p w:rsidR="00CE24F9" w:rsidRDefault="00230D73" w:rsidP="00230D73">
      <w:pPr>
        <w:autoSpaceDE w:val="0"/>
        <w:autoSpaceDN w:val="0"/>
        <w:adjustRightInd w:val="0"/>
        <w:spacing w:line="560" w:lineRule="exact"/>
        <w:ind w:left="198" w:firstLineChars="200" w:firstLine="640"/>
        <w:jc w:val="left"/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四、财政拨款“三公”经费预算情况及增减变化原因</w:t>
      </w:r>
    </w:p>
    <w:p w:rsidR="00CE24F9" w:rsidRDefault="00230D73">
      <w:pPr>
        <w:widowControl/>
        <w:spacing w:line="360" w:lineRule="auto"/>
        <w:ind w:leftChars="200" w:left="420"/>
        <w:jc w:val="left"/>
        <w:rPr>
          <w:rFonts w:ascii="仿宋" w:eastAsia="仿宋" w:hAnsi="仿宋" w:cs="仿宋"/>
          <w:kern w:val="0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2017年，我单位“三公”经费预算安排10.08万元，其中因公出国（境）费0万元；公务用车购置及运维费10.6万元（其中：公务用车购置费为0万元，公务用车运行费10.6万元)；公务接待费0.2万元。与2016年相比,减少0.57万元，主要原因是</w:t>
      </w:r>
      <w:r>
        <w:rPr>
          <w:rFonts w:ascii="仿宋" w:eastAsia="仿宋" w:hAnsi="仿宋" w:cs="仿宋" w:hint="eastAsia"/>
          <w:kern w:val="0"/>
          <w:sz w:val="32"/>
          <w:szCs w:val="32"/>
        </w:rPr>
        <w:t>由于2016年公车拍卖，2017年实行车补，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</w:rPr>
        <w:t>油修费用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</w:rPr>
        <w:t>预算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</w:rPr>
        <w:t>按排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</w:rPr>
        <w:t>减少。</w:t>
      </w:r>
    </w:p>
    <w:p w:rsidR="00CE24F9" w:rsidRDefault="00230D73">
      <w:pPr>
        <w:spacing w:line="560" w:lineRule="exact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 xml:space="preserve">      五、绩效预算信息</w:t>
      </w:r>
    </w:p>
    <w:p w:rsidR="00CE24F9" w:rsidRDefault="00230D73">
      <w:pPr>
        <w:spacing w:line="560" w:lineRule="exact"/>
        <w:jc w:val="left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宋体" w:eastAsia="宋体" w:hAnsi="宋体" w:cs="方正仿宋_GBK" w:hint="eastAsia"/>
          <w:b/>
          <w:bCs/>
          <w:sz w:val="32"/>
          <w:szCs w:val="32"/>
        </w:rPr>
        <w:t xml:space="preserve">       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总体绩效目标：</w:t>
      </w:r>
    </w:p>
    <w:p w:rsidR="00CE24F9" w:rsidRDefault="00230D73">
      <w:pPr>
        <w:adjustRightInd w:val="0"/>
        <w:snapToGrid w:val="0"/>
        <w:spacing w:line="58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lastRenderedPageBreak/>
        <w:t>（一）继续加大龙头企业</w:t>
      </w:r>
      <w:r>
        <w:rPr>
          <w:rFonts w:ascii="仿宋" w:eastAsia="仿宋" w:hAnsi="仿宋" w:cs="仿宋" w:hint="eastAsia"/>
          <w:sz w:val="32"/>
          <w:szCs w:val="32"/>
        </w:rPr>
        <w:t>建设力度，完善产业链条，提升产业水平。使群众致富，企业收益。</w:t>
      </w:r>
    </w:p>
    <w:p w:rsidR="00CE24F9" w:rsidRDefault="00230D73">
      <w:pPr>
        <w:adjustRightInd w:val="0"/>
        <w:snapToGrid w:val="0"/>
        <w:spacing w:line="58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（二）切实抓好畜产品安全监管的工作，确保动物源性食品安全。</w:t>
      </w:r>
    </w:p>
    <w:p w:rsidR="00CE24F9" w:rsidRDefault="00230D73">
      <w:pPr>
        <w:adjustRightInd w:val="0"/>
        <w:snapToGrid w:val="0"/>
        <w:spacing w:line="58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三）进一步规范市场，在饲料专项整治工作中全面提升饲料管理和行政执法工作，加大监督检查和违法行为的查处力度。坚决查处在饲料中添加使用“瘦肉精”、“苏丹红”、“三聚氰胺”等有害化学物质的违法行为。</w:t>
      </w:r>
    </w:p>
    <w:p w:rsidR="00CE24F9" w:rsidRDefault="00230D73">
      <w:pPr>
        <w:adjustRightInd w:val="0"/>
        <w:snapToGrid w:val="0"/>
        <w:spacing w:line="58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（四）把“产地检疫示范县”工作当成重中之重，加强和神话动物产地检疫，加大运输检疫的监督力度，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以检促防确保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我县动物健康无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疫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CE24F9" w:rsidRDefault="00230D73">
      <w:pPr>
        <w:adjustRightInd w:val="0"/>
        <w:snapToGrid w:val="0"/>
        <w:spacing w:line="58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（五）积极与上级部门沟通，做好政策性项目及专项资金的申报争取工作。</w:t>
      </w:r>
    </w:p>
    <w:p w:rsidR="00CE24F9" w:rsidRDefault="00230D73">
      <w:pPr>
        <w:adjustRightInd w:val="0"/>
        <w:snapToGrid w:val="0"/>
        <w:spacing w:line="58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（六）搞好春秋两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季动物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疫病防控工作，确保不发生重大动物疫情。</w:t>
      </w:r>
    </w:p>
    <w:p w:rsidR="00CE24F9" w:rsidRDefault="00CE24F9">
      <w:pPr>
        <w:spacing w:line="560" w:lineRule="exact"/>
        <w:jc w:val="left"/>
        <w:rPr>
          <w:rFonts w:ascii="楷体" w:eastAsia="楷体" w:hAnsi="楷体" w:cs="楷体"/>
          <w:b/>
          <w:bCs/>
          <w:sz w:val="32"/>
          <w:szCs w:val="32"/>
        </w:rPr>
      </w:pPr>
    </w:p>
    <w:p w:rsidR="00CE24F9" w:rsidRDefault="00230D73">
      <w:pPr>
        <w:spacing w:line="560" w:lineRule="exact"/>
        <w:jc w:val="left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部门职责及工作活动绩效目标指标：</w:t>
      </w:r>
    </w:p>
    <w:p w:rsidR="00CE24F9" w:rsidRDefault="00230D73">
      <w:pPr>
        <w:adjustRightInd w:val="0"/>
        <w:snapToGrid w:val="0"/>
        <w:spacing w:line="580" w:lineRule="exact"/>
        <w:jc w:val="left"/>
        <w:outlineLvl w:val="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1、抓实春、秋季重大动物疫病防控，努力实现两个确保。</w:t>
      </w:r>
    </w:p>
    <w:p w:rsidR="00CE24F9" w:rsidRDefault="00230D73">
      <w:pPr>
        <w:adjustRightInd w:val="0"/>
        <w:snapToGrid w:val="0"/>
        <w:spacing w:line="580" w:lineRule="exact"/>
        <w:jc w:val="left"/>
        <w:outlineLvl w:val="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2、抓好动物及动物产品检疫、饲料兽药监管、定点屠宰监管，确保上市畜禽健康安全。  </w:t>
      </w:r>
    </w:p>
    <w:p w:rsidR="00CE24F9" w:rsidRDefault="00230D73">
      <w:pPr>
        <w:adjustRightInd w:val="0"/>
        <w:snapToGrid w:val="0"/>
        <w:spacing w:line="580" w:lineRule="exact"/>
        <w:jc w:val="left"/>
        <w:outlineLvl w:val="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3、综合施治，全力抓好畜产品质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量安全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监管工作。</w:t>
      </w:r>
    </w:p>
    <w:p w:rsidR="00230D73" w:rsidRDefault="00230D73">
      <w:pPr>
        <w:outlineLvl w:val="0"/>
        <w:rPr>
          <w:rFonts w:ascii="楷体" w:eastAsia="楷体" w:hAnsi="楷体" w:cs="楷体"/>
          <w:b/>
          <w:bCs/>
          <w:sz w:val="32"/>
        </w:rPr>
      </w:pPr>
    </w:p>
    <w:p w:rsidR="00230D73" w:rsidRDefault="00230D73">
      <w:pPr>
        <w:outlineLvl w:val="0"/>
        <w:rPr>
          <w:rFonts w:ascii="楷体" w:eastAsia="楷体" w:hAnsi="楷体" w:cs="楷体"/>
          <w:b/>
          <w:bCs/>
          <w:sz w:val="32"/>
        </w:rPr>
      </w:pPr>
    </w:p>
    <w:p w:rsidR="00CE24F9" w:rsidRDefault="00230D73">
      <w:pPr>
        <w:outlineLvl w:val="0"/>
        <w:rPr>
          <w:rFonts w:ascii="楷体" w:eastAsia="楷体" w:hAnsi="楷体" w:cs="楷体"/>
          <w:b/>
          <w:bCs/>
          <w:sz w:val="32"/>
        </w:rPr>
      </w:pPr>
      <w:r>
        <w:rPr>
          <w:rFonts w:ascii="楷体" w:eastAsia="楷体" w:hAnsi="楷体" w:cs="楷体" w:hint="eastAsia"/>
          <w:b/>
          <w:bCs/>
          <w:sz w:val="32"/>
        </w:rPr>
        <w:lastRenderedPageBreak/>
        <w:t>部门职责-工作活动绩效目标</w:t>
      </w:r>
      <w:bookmarkEnd w:id="1"/>
    </w:p>
    <w:tbl>
      <w:tblPr>
        <w:tblW w:w="1393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 w:rsidR="00CE24F9">
        <w:trPr>
          <w:trHeight w:val="227"/>
          <w:tblHeader/>
          <w:jc w:val="center"/>
        </w:trPr>
        <w:tc>
          <w:tcPr>
            <w:tcW w:w="10986" w:type="dxa"/>
            <w:gridSpan w:val="5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sz w:val="24"/>
              </w:rPr>
              <w:t>478成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安县畜牧水产局</w:t>
            </w:r>
          </w:p>
        </w:tc>
        <w:tc>
          <w:tcPr>
            <w:tcW w:w="2948" w:type="dxa"/>
            <w:gridSpan w:val="4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righ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单位：万元</w:t>
            </w:r>
          </w:p>
        </w:tc>
      </w:tr>
      <w:tr w:rsidR="00CE24F9">
        <w:trPr>
          <w:trHeight w:val="227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评价标准</w:t>
            </w:r>
          </w:p>
        </w:tc>
      </w:tr>
      <w:tr w:rsidR="00CE24F9">
        <w:trPr>
          <w:trHeight w:val="227"/>
          <w:tblHeader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outlineLvl w:val="0"/>
              <w:rPr>
                <w:rFonts w:ascii="仿宋" w:eastAsia="仿宋" w:hAnsi="仿宋" w:cs="仿宋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outlineLvl w:val="0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outlineLvl w:val="0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outlineLvl w:val="0"/>
              <w:rPr>
                <w:rFonts w:ascii="仿宋" w:eastAsia="仿宋" w:hAnsi="仿宋" w:cs="仿宋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outlineLvl w:val="0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差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动物疫病防控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102.08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落实动物防疫检疫政策，建立完善动物防疫和检疫体系。组织开展动物的防疫检疫工作，发布疫情并组织扑灭。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发挥动物监测、防疫和检疫体系作用，有效降低疫病危害，保障畜牧业健康发展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疫苗购置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建立疫苗</w:t>
            </w:r>
            <w:proofErr w:type="gramStart"/>
            <w:r>
              <w:rPr>
                <w:rFonts w:ascii="仿宋" w:eastAsia="仿宋" w:hAnsi="仿宋" w:cs="仿宋" w:hint="eastAsia"/>
              </w:rPr>
              <w:t>领取台</w:t>
            </w:r>
            <w:proofErr w:type="gramEnd"/>
            <w:r>
              <w:rPr>
                <w:rFonts w:ascii="仿宋" w:eastAsia="仿宋" w:hAnsi="仿宋" w:cs="仿宋" w:hint="eastAsia"/>
              </w:rPr>
              <w:t>账,逐级供应。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保证疫苗供应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储备疫苗供应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50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动物疫病监测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19.04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对全县免疫</w:t>
            </w:r>
            <w:proofErr w:type="gramStart"/>
            <w:r>
              <w:rPr>
                <w:rFonts w:ascii="仿宋" w:eastAsia="仿宋" w:hAnsi="仿宋" w:cs="仿宋" w:hint="eastAsia"/>
              </w:rPr>
              <w:t>后动物</w:t>
            </w:r>
            <w:proofErr w:type="gramEnd"/>
            <w:r>
              <w:rPr>
                <w:rFonts w:ascii="仿宋" w:eastAsia="仿宋" w:hAnsi="仿宋" w:cs="仿宋" w:hint="eastAsia"/>
              </w:rPr>
              <w:t>进行监测，确保免疫率达到100%，按照规划和年度工作计划，已实施完成的动植物疫情监测量占全县全年任务的比例。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检测率100%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proofErr w:type="gramStart"/>
            <w:r>
              <w:rPr>
                <w:rFonts w:ascii="仿宋" w:eastAsia="仿宋" w:hAnsi="仿宋" w:cs="仿宋" w:hint="eastAsia"/>
              </w:rPr>
              <w:t>疫</w:t>
            </w:r>
            <w:proofErr w:type="gramEnd"/>
            <w:r>
              <w:rPr>
                <w:rFonts w:ascii="仿宋" w:eastAsia="仿宋" w:hAnsi="仿宋" w:cs="仿宋" w:hint="eastAsia"/>
              </w:rPr>
              <w:t>率达到100%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村级</w:t>
            </w:r>
            <w:proofErr w:type="gramStart"/>
            <w:r>
              <w:rPr>
                <w:rFonts w:ascii="仿宋" w:eastAsia="仿宋" w:hAnsi="仿宋" w:cs="仿宋" w:hint="eastAsia"/>
                <w:b/>
              </w:rPr>
              <w:t>协防员误工</w:t>
            </w:r>
            <w:proofErr w:type="gramEnd"/>
            <w:r>
              <w:rPr>
                <w:rFonts w:ascii="仿宋" w:eastAsia="仿宋" w:hAnsi="仿宋" w:cs="仿宋" w:hint="eastAsia"/>
                <w:b/>
              </w:rPr>
              <w:t>补贴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78.04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全县239个自然村建立协防员，确保免疫率达到100%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确保免疫率达到100%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确保免疫率达到100%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春秋季重大动物疫病防控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重大动物疫病防控是对高致病性禽流感、口蹄疫、猪瘟、高</w:t>
            </w:r>
            <w:proofErr w:type="gramStart"/>
            <w:r>
              <w:rPr>
                <w:rFonts w:ascii="仿宋" w:eastAsia="仿宋" w:hAnsi="仿宋" w:cs="仿宋" w:hint="eastAsia"/>
              </w:rPr>
              <w:t>致病性猪蓝耳病</w:t>
            </w:r>
            <w:proofErr w:type="gramEnd"/>
            <w:r>
              <w:rPr>
                <w:rFonts w:ascii="仿宋" w:eastAsia="仿宋" w:hAnsi="仿宋" w:cs="仿宋" w:hint="eastAsia"/>
              </w:rPr>
              <w:t>等重大动物疫病应免畜禽免疫密度达到100%，群体免疫抗体合格率达到70%以上，畜禽标识佩戴率和免疫档案建档率达到100%，努力确保不发生区域性重大动物疫情。重大动物疫病防控工作涉及宣传发动、业务培训、检测试剂购买、疫苗购置消毒药品的购置等防疫物资、督促检查、考核迎检等工作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确保不发生疫情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免疫率达100%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应急物资储备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疫苗购置，防护用品购买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应急物资储备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疫苗、防护用</w:t>
            </w:r>
            <w:r>
              <w:rPr>
                <w:rFonts w:ascii="仿宋" w:eastAsia="仿宋" w:hAnsi="仿宋" w:cs="仿宋" w:hint="eastAsia"/>
              </w:rPr>
              <w:lastRenderedPageBreak/>
              <w:t>品确保供应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lastRenderedPageBreak/>
              <w:t xml:space="preserve">　　防疫档案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5.00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散养户和规模养殖场建立健全防疫档案。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散养户和规模养殖场建立健全防疫档案。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散养户和规模养殖场建立健全防疫档案。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动物卫生监督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5.00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全县产地检疫和屠宰检疫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努力确保全县不发生动物疫情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屠宰检疫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5.00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对全县屠宰检疫达到100%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屠宰检疫达到100%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对全县屠宰检疫达到100%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产地检疫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规模养殖场和散养动物产地检疫率分别达到100%和90%以上；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产地检疫率分别达到100%和90%以上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产地检疫率分别达到100%和90%以上；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畜产品质</w:t>
            </w:r>
            <w:proofErr w:type="gramStart"/>
            <w:r>
              <w:rPr>
                <w:rFonts w:ascii="仿宋" w:eastAsia="仿宋" w:hAnsi="仿宋" w:cs="仿宋" w:hint="eastAsia"/>
                <w:b/>
              </w:rPr>
              <w:t>量安全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10.00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项目概况：畜产品质</w:t>
            </w:r>
            <w:proofErr w:type="gramStart"/>
            <w:r>
              <w:rPr>
                <w:rFonts w:ascii="仿宋" w:eastAsia="仿宋" w:hAnsi="仿宋" w:cs="仿宋" w:hint="eastAsia"/>
              </w:rPr>
              <w:t>量安全</w:t>
            </w:r>
            <w:proofErr w:type="gramEnd"/>
            <w:r>
              <w:rPr>
                <w:rFonts w:ascii="仿宋" w:eastAsia="仿宋" w:hAnsi="仿宋" w:cs="仿宋" w:hint="eastAsia"/>
              </w:rPr>
              <w:t>检测主要涉及猪、牛、羊“瘦肉精”检测，饲料</w:t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</w:p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和兽药残留物检测以及生鲜乳中的</w:t>
            </w:r>
            <w:proofErr w:type="gramStart"/>
            <w:r>
              <w:rPr>
                <w:rFonts w:ascii="仿宋" w:eastAsia="仿宋" w:hAnsi="仿宋" w:cs="仿宋" w:hint="eastAsia"/>
              </w:rPr>
              <w:t>”</w:t>
            </w:r>
            <w:proofErr w:type="gramEnd"/>
            <w:r>
              <w:rPr>
                <w:rFonts w:ascii="仿宋" w:eastAsia="仿宋" w:hAnsi="仿宋" w:cs="仿宋" w:hint="eastAsia"/>
              </w:rPr>
              <w:t>三聚氰胺</w:t>
            </w:r>
            <w:proofErr w:type="gramStart"/>
            <w:r>
              <w:rPr>
                <w:rFonts w:ascii="仿宋" w:eastAsia="仿宋" w:hAnsi="仿宋" w:cs="仿宋" w:hint="eastAsia"/>
              </w:rPr>
              <w:t>”</w:t>
            </w:r>
            <w:proofErr w:type="gramEnd"/>
            <w:r>
              <w:rPr>
                <w:rFonts w:ascii="仿宋" w:eastAsia="仿宋" w:hAnsi="仿宋" w:cs="仿宋" w:hint="eastAsia"/>
              </w:rPr>
              <w:t>检测等</w:t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  <w:t>。工作费用涉及检测</w:t>
            </w:r>
          </w:p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试剂的购买、“瘦肉精”检测卡购买、抽样检测送检以及工作运转必要费用等。</w:t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</w:p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开展“瘦肉精”检测工作量大，检测费用大，</w:t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  <w:t>高，为保证畜产品质</w:t>
            </w:r>
            <w:proofErr w:type="gramStart"/>
            <w:r>
              <w:rPr>
                <w:rFonts w:ascii="仿宋" w:eastAsia="仿宋" w:hAnsi="仿宋" w:cs="仿宋" w:hint="eastAsia"/>
              </w:rPr>
              <w:t>量安全</w:t>
            </w:r>
            <w:proofErr w:type="gramEnd"/>
            <w:r>
              <w:rPr>
                <w:rFonts w:ascii="仿宋" w:eastAsia="仿宋" w:hAnsi="仿宋" w:cs="仿宋" w:hint="eastAsia"/>
              </w:rPr>
              <w:t>监管、检测</w:t>
            </w:r>
            <w:r>
              <w:rPr>
                <w:rFonts w:ascii="仿宋" w:eastAsia="仿宋" w:hAnsi="仿宋" w:cs="仿宋" w:hint="eastAsia"/>
              </w:rPr>
              <w:tab/>
            </w:r>
          </w:p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工作需要，恳请将“瘦肉精”检测列入财政预算。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确保全县食品安全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lastRenderedPageBreak/>
              <w:t xml:space="preserve">　　畜产品检验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10.00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对畜产品检验达到100%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畜产品检验达到100%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畜产品检验达到100%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瘦肉精监测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畜产品质</w:t>
            </w:r>
            <w:proofErr w:type="gramStart"/>
            <w:r>
              <w:rPr>
                <w:rFonts w:ascii="仿宋" w:eastAsia="仿宋" w:hAnsi="仿宋" w:cs="仿宋" w:hint="eastAsia"/>
              </w:rPr>
              <w:t>量安全</w:t>
            </w:r>
            <w:proofErr w:type="gramEnd"/>
            <w:r>
              <w:rPr>
                <w:rFonts w:ascii="仿宋" w:eastAsia="仿宋" w:hAnsi="仿宋" w:cs="仿宋" w:hint="eastAsia"/>
              </w:rPr>
              <w:t>检测主要涉及猪、牛、羊“瘦肉精”检测，饲料和兽药残留物检测以及生鲜乳中的</w:t>
            </w:r>
            <w:proofErr w:type="gramStart"/>
            <w:r>
              <w:rPr>
                <w:rFonts w:ascii="仿宋" w:eastAsia="仿宋" w:hAnsi="仿宋" w:cs="仿宋" w:hint="eastAsia"/>
              </w:rPr>
              <w:t>”</w:t>
            </w:r>
            <w:proofErr w:type="gramEnd"/>
            <w:r>
              <w:rPr>
                <w:rFonts w:ascii="仿宋" w:eastAsia="仿宋" w:hAnsi="仿宋" w:cs="仿宋" w:hint="eastAsia"/>
              </w:rPr>
              <w:t>三聚氰胺</w:t>
            </w:r>
            <w:proofErr w:type="gramStart"/>
            <w:r>
              <w:rPr>
                <w:rFonts w:ascii="仿宋" w:eastAsia="仿宋" w:hAnsi="仿宋" w:cs="仿宋" w:hint="eastAsia"/>
              </w:rPr>
              <w:t>”</w:t>
            </w:r>
            <w:proofErr w:type="gramEnd"/>
            <w:r>
              <w:rPr>
                <w:rFonts w:ascii="仿宋" w:eastAsia="仿宋" w:hAnsi="仿宋" w:cs="仿宋" w:hint="eastAsia"/>
              </w:rPr>
              <w:t>检测等。工作费用涉及检测试剂的购买、“瘦肉精”检测卡购买、抽样检测送检以及工作运转必要费用等。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“三聚氰胺”检测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畜产品质</w:t>
            </w:r>
            <w:proofErr w:type="gramStart"/>
            <w:r>
              <w:rPr>
                <w:rFonts w:ascii="仿宋" w:eastAsia="仿宋" w:hAnsi="仿宋" w:cs="仿宋" w:hint="eastAsia"/>
              </w:rPr>
              <w:t>量安全</w:t>
            </w:r>
            <w:proofErr w:type="gramEnd"/>
            <w:r>
              <w:rPr>
                <w:rFonts w:ascii="仿宋" w:eastAsia="仿宋" w:hAnsi="仿宋" w:cs="仿宋" w:hint="eastAsia"/>
              </w:rPr>
              <w:t>检测主要涉及猪、牛、羊“瘦肉精”检测，饲料和兽药残留物检测以及生鲜乳中的</w:t>
            </w:r>
            <w:proofErr w:type="gramStart"/>
            <w:r>
              <w:rPr>
                <w:rFonts w:ascii="仿宋" w:eastAsia="仿宋" w:hAnsi="仿宋" w:cs="仿宋" w:hint="eastAsia"/>
              </w:rPr>
              <w:t>”</w:t>
            </w:r>
            <w:proofErr w:type="gramEnd"/>
            <w:r>
              <w:rPr>
                <w:rFonts w:ascii="仿宋" w:eastAsia="仿宋" w:hAnsi="仿宋" w:cs="仿宋" w:hint="eastAsia"/>
              </w:rPr>
              <w:t>三聚氰胺</w:t>
            </w:r>
            <w:proofErr w:type="gramStart"/>
            <w:r>
              <w:rPr>
                <w:rFonts w:ascii="仿宋" w:eastAsia="仿宋" w:hAnsi="仿宋" w:cs="仿宋" w:hint="eastAsia"/>
              </w:rPr>
              <w:t>”</w:t>
            </w:r>
            <w:proofErr w:type="gramEnd"/>
            <w:r>
              <w:rPr>
                <w:rFonts w:ascii="仿宋" w:eastAsia="仿宋" w:hAnsi="仿宋" w:cs="仿宋" w:hint="eastAsia"/>
              </w:rPr>
              <w:t>检测等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病死动物无害化处理率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病死动物全部按规定进行无害化处理.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病死动物全部按规定进行无害化处理.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无害化处理率达到100%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无害化处理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项目概况：畜禽定点屠宰企业出厂产品抽检合格率、水分含量抽检合格率、</w:t>
            </w:r>
            <w:proofErr w:type="gramStart"/>
            <w:r>
              <w:rPr>
                <w:rFonts w:ascii="仿宋" w:eastAsia="仿宋" w:hAnsi="仿宋" w:cs="仿宋" w:hint="eastAsia"/>
              </w:rPr>
              <w:t>屠</w:t>
            </w:r>
            <w:proofErr w:type="gramEnd"/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</w:p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宰企业病害生猪及生猪产品无害化处理率均达到100%</w:t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  <w:t>均达到100%。注水肉、注入“瘦肉精”</w:t>
            </w:r>
            <w:r>
              <w:rPr>
                <w:rFonts w:ascii="仿宋" w:eastAsia="仿宋" w:hAnsi="仿宋" w:cs="仿宋" w:hint="eastAsia"/>
              </w:rPr>
              <w:tab/>
            </w:r>
          </w:p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等有害物质违法、违规案件信息核查率、处理率、对涉嫌犯罪的向公安机关及时</w:t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</w:p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移交率均达到100%。打击私屠乱宰行为，规范屠宰行为。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努力确保不发生重大肉</w:t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  <w:r>
              <w:rPr>
                <w:rFonts w:ascii="仿宋" w:eastAsia="仿宋" w:hAnsi="仿宋" w:cs="仿宋" w:hint="eastAsia"/>
              </w:rPr>
              <w:tab/>
            </w:r>
          </w:p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proofErr w:type="gramStart"/>
            <w:r>
              <w:rPr>
                <w:rFonts w:ascii="仿宋" w:eastAsia="仿宋" w:hAnsi="仿宋" w:cs="仿宋" w:hint="eastAsia"/>
              </w:rPr>
              <w:t>品安全</w:t>
            </w:r>
            <w:proofErr w:type="gramEnd"/>
            <w:r>
              <w:rPr>
                <w:rFonts w:ascii="仿宋" w:eastAsia="仿宋" w:hAnsi="仿宋" w:cs="仿宋" w:hint="eastAsia"/>
              </w:rPr>
              <w:t>事件。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生猪屠宰环节病害</w:t>
            </w:r>
            <w:r>
              <w:rPr>
                <w:rFonts w:ascii="仿宋" w:eastAsia="仿宋" w:hAnsi="仿宋" w:cs="仿宋" w:hint="eastAsia"/>
                <w:b/>
              </w:rPr>
              <w:lastRenderedPageBreak/>
              <w:t>猪无害化处理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屠宰场病死猪无害化处理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屠宰场病死猪无害化处理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屠宰场病死</w:t>
            </w:r>
            <w:r>
              <w:rPr>
                <w:rFonts w:ascii="仿宋" w:eastAsia="仿宋" w:hAnsi="仿宋" w:cs="仿宋" w:hint="eastAsia"/>
              </w:rPr>
              <w:lastRenderedPageBreak/>
              <w:t>猪无害化处理达到100%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lastRenderedPageBreak/>
              <w:t xml:space="preserve">　　</w:t>
            </w:r>
            <w:proofErr w:type="gramStart"/>
            <w:r>
              <w:rPr>
                <w:rFonts w:ascii="仿宋" w:eastAsia="仿宋" w:hAnsi="仿宋" w:cs="仿宋" w:hint="eastAsia"/>
                <w:b/>
              </w:rPr>
              <w:t>规模场</w:t>
            </w:r>
            <w:proofErr w:type="gramEnd"/>
            <w:r>
              <w:rPr>
                <w:rFonts w:ascii="仿宋" w:eastAsia="仿宋" w:hAnsi="仿宋" w:cs="仿宋" w:hint="eastAsia"/>
                <w:b/>
              </w:rPr>
              <w:t>饲养环节无害化处理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标准化规模化养殖场（小区）养殖环节病死猪无害化处理费用给予每头80元的补助，由中央和地方财政按照生猪重大疫病强制扑杀补助现行比例分担，即：中央财政每头补助50元，省、市、县财政每头各补助10元。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对规模化养殖场（小区）养殖环节病死猪无害化处理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标准化规模化养殖场（小区）养殖环节病死猪无害化处理费用给予每头80元的补助。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畜禽定点屠宰工作经费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畜禽定点屠宰企业出厂产品抽检合格率、水分含量抽检合格率、屠宰企业病害生猪及生猪产品无害化处理率均达到100%注水肉、注入“瘦肉精”等有害物质违法、违规案件信息核查率、处理率、对涉嫌犯罪的向公安机关及时移交率均达到100%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打击私屠乱宰行为，规范屠宰行为，努力确保不发生重大肉</w:t>
            </w:r>
            <w:proofErr w:type="gramStart"/>
            <w:r>
              <w:rPr>
                <w:rFonts w:ascii="仿宋" w:eastAsia="仿宋" w:hAnsi="仿宋" w:cs="仿宋" w:hint="eastAsia"/>
              </w:rPr>
              <w:t>品安全</w:t>
            </w:r>
            <w:proofErr w:type="gramEnd"/>
            <w:r>
              <w:rPr>
                <w:rFonts w:ascii="仿宋" w:eastAsia="仿宋" w:hAnsi="仿宋" w:cs="仿宋" w:hint="eastAsia"/>
              </w:rPr>
              <w:t>事件。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畜禽定点屠宰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畜禽定点屠宰企业出厂产品抽检合格率、水分含量抽检合格率、屠宰企业病害生猪及生猪产品无害化处理率均达到100%。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屠宰企业病害生猪及生猪产品无害化处理率均达到100%。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屠宰企业病害生猪及生猪产品无害化处理率均达到100%。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畜牧业良种补贴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按照国家、省部署，对全县主要粮食作物和猪、牛、羊、鸡等畜产品生产实施良种补贴。完成农业部分配数量的百分比。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畜牧、水产品种优良化率持续提高。推广优良种公羊和优质奶牛、肉牛冻精以及种猪常温精液数量。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lastRenderedPageBreak/>
              <w:t xml:space="preserve">　　生猪引种补贴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畜牧、水产品种优良化率持续提高，推广优良种公羊和优质奶牛、肉牛冻精以及种猪常温精液数量。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推广优良种公羊和优质奶牛、肉牛冻精以及种猪常温精液数量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推广优良种公羊和优质奶牛、肉牛冻精以及种猪常温精液数量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菜篮子工程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重点扶持一批有规模、生产技术基础好、区域优势突出、在增加产量和提高质量上有示范带动作用的规模场，通过改善生产条件，加强产品质量管理，强化品牌建设，大力推进标准化、集约化、现代化生产。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 xml:space="preserve">完成 </w:t>
            </w:r>
            <w:proofErr w:type="gramStart"/>
            <w:r>
              <w:rPr>
                <w:rFonts w:ascii="仿宋" w:eastAsia="仿宋" w:hAnsi="仿宋" w:cs="仿宋" w:hint="eastAsia"/>
              </w:rPr>
              <w:t>个</w:t>
            </w:r>
            <w:proofErr w:type="gramEnd"/>
            <w:r>
              <w:rPr>
                <w:rFonts w:ascii="仿宋" w:eastAsia="仿宋" w:hAnsi="仿宋" w:cs="仿宋" w:hint="eastAsia"/>
              </w:rPr>
              <w:t>畜禽标准化健康养殖</w:t>
            </w:r>
            <w:proofErr w:type="gramStart"/>
            <w:r>
              <w:rPr>
                <w:rFonts w:ascii="仿宋" w:eastAsia="仿宋" w:hAnsi="仿宋" w:cs="仿宋" w:hint="eastAsia"/>
              </w:rPr>
              <w:t>规模场</w:t>
            </w:r>
            <w:proofErr w:type="gramEnd"/>
            <w:r>
              <w:rPr>
                <w:rFonts w:ascii="仿宋" w:eastAsia="仿宋" w:hAnsi="仿宋" w:cs="仿宋" w:hint="eastAsia"/>
              </w:rPr>
              <w:t>改造任务。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畜禽标准化健康养殖</w:t>
            </w:r>
            <w:proofErr w:type="gramStart"/>
            <w:r>
              <w:rPr>
                <w:rFonts w:ascii="仿宋" w:eastAsia="仿宋" w:hAnsi="仿宋" w:cs="仿宋" w:hint="eastAsia"/>
                <w:b/>
              </w:rPr>
              <w:t>规模场</w:t>
            </w:r>
            <w:proofErr w:type="gramEnd"/>
            <w:r>
              <w:rPr>
                <w:rFonts w:ascii="仿宋" w:eastAsia="仿宋" w:hAnsi="仿宋" w:cs="仿宋" w:hint="eastAsia"/>
                <w:b/>
              </w:rPr>
              <w:t>改造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按要求完成上级下达的投资规模指标。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按要求完成上级下达的投资规模指标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按要求完成上级下达的投资规模指标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65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扶持</w:t>
            </w:r>
            <w:proofErr w:type="gramStart"/>
            <w:r>
              <w:rPr>
                <w:rFonts w:ascii="仿宋" w:eastAsia="仿宋" w:hAnsi="仿宋" w:cs="仿宋" w:hint="eastAsia"/>
                <w:b/>
              </w:rPr>
              <w:t>乳粉业</w:t>
            </w:r>
            <w:proofErr w:type="gramEnd"/>
            <w:r>
              <w:rPr>
                <w:rFonts w:ascii="仿宋" w:eastAsia="仿宋" w:hAnsi="仿宋" w:cs="仿宋" w:hint="eastAsia"/>
                <w:b/>
              </w:rPr>
              <w:t>发展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贯彻落实国家和省政府（冀政办[2013]57号）有关规定，扶持为生产乳粉提供奶源的奶牛养殖场实施标准化建设，扶持优质苜蓿基地建设。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提升奶牛标准化规模养殖水平，提高奶牛单产水平及生鲜乳蛋白含量、乳脂率，打造一流奶源基地。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生产乳粉用</w:t>
            </w:r>
            <w:proofErr w:type="gramStart"/>
            <w:r>
              <w:rPr>
                <w:rFonts w:ascii="仿宋" w:eastAsia="仿宋" w:hAnsi="仿宋" w:cs="仿宋" w:hint="eastAsia"/>
                <w:b/>
              </w:rPr>
              <w:t>泌</w:t>
            </w:r>
            <w:proofErr w:type="gramEnd"/>
            <w:r>
              <w:rPr>
                <w:rFonts w:ascii="仿宋" w:eastAsia="仿宋" w:hAnsi="仿宋" w:cs="仿宋" w:hint="eastAsia"/>
                <w:b/>
              </w:rPr>
              <w:t>乳牛增加量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当年建设生产乳粉用标准化奶牛场</w:t>
            </w:r>
            <w:proofErr w:type="gramStart"/>
            <w:r>
              <w:rPr>
                <w:rFonts w:ascii="仿宋" w:eastAsia="仿宋" w:hAnsi="仿宋" w:cs="仿宋" w:hint="eastAsia"/>
              </w:rPr>
              <w:t>泌</w:t>
            </w:r>
            <w:proofErr w:type="gramEnd"/>
            <w:r>
              <w:rPr>
                <w:rFonts w:ascii="仿宋" w:eastAsia="仿宋" w:hAnsi="仿宋" w:cs="仿宋" w:hint="eastAsia"/>
              </w:rPr>
              <w:t>乳牛存栏达到4万头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当年建设生产乳粉用标准化奶牛场</w:t>
            </w:r>
            <w:proofErr w:type="gramStart"/>
            <w:r>
              <w:rPr>
                <w:rFonts w:ascii="仿宋" w:eastAsia="仿宋" w:hAnsi="仿宋" w:cs="仿宋" w:hint="eastAsia"/>
              </w:rPr>
              <w:t>泌</w:t>
            </w:r>
            <w:proofErr w:type="gramEnd"/>
            <w:r>
              <w:rPr>
                <w:rFonts w:ascii="仿宋" w:eastAsia="仿宋" w:hAnsi="仿宋" w:cs="仿宋" w:hint="eastAsia"/>
              </w:rPr>
              <w:t>乳牛存栏达到4万头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当年建设生产乳粉用标准化奶牛场</w:t>
            </w:r>
            <w:proofErr w:type="gramStart"/>
            <w:r>
              <w:rPr>
                <w:rFonts w:ascii="仿宋" w:eastAsia="仿宋" w:hAnsi="仿宋" w:cs="仿宋" w:hint="eastAsia"/>
              </w:rPr>
              <w:t>泌</w:t>
            </w:r>
            <w:proofErr w:type="gramEnd"/>
            <w:r>
              <w:rPr>
                <w:rFonts w:ascii="仿宋" w:eastAsia="仿宋" w:hAnsi="仿宋" w:cs="仿宋" w:hint="eastAsia"/>
              </w:rPr>
              <w:t>乳牛存栏达到4万头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移植高产奶牛胚胎数量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当年移植高产奶牛胚胎1.5万枚.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当年移植高产奶牛胚胎1.5万枚.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当年移植高产奶牛胚胎</w:t>
            </w:r>
            <w:r>
              <w:rPr>
                <w:rFonts w:ascii="仿宋" w:eastAsia="仿宋" w:hAnsi="仿宋" w:cs="仿宋" w:hint="eastAsia"/>
              </w:rPr>
              <w:lastRenderedPageBreak/>
              <w:t>1.5万枚.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65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lastRenderedPageBreak/>
              <w:t xml:space="preserve">　　种植优质苜蓿数量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当年种植优质苜蓿7万亩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当年种植优质苜蓿7万亩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当年种植优质苜蓿7万亩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60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渔业养殖示范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支持推广先进养殖技术，建设渔业标准化示范场和现代渔业示范区。当年完成健康养殖示范场建设量比上年同期增长的绝对值和相对值。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提升优质水产品产量，健康养殖示范</w:t>
            </w:r>
            <w:proofErr w:type="gramStart"/>
            <w:r>
              <w:rPr>
                <w:rFonts w:ascii="仿宋" w:eastAsia="仿宋" w:hAnsi="仿宋" w:cs="仿宋" w:hint="eastAsia"/>
              </w:rPr>
              <w:t>场增长</w:t>
            </w:r>
            <w:proofErr w:type="gramEnd"/>
            <w:r>
              <w:rPr>
                <w:rFonts w:ascii="仿宋" w:eastAsia="仿宋" w:hAnsi="仿宋" w:cs="仿宋" w:hint="eastAsia"/>
              </w:rPr>
              <w:t>量（面积，库存、万亩）和增长率（%）。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突发动物疫情处置率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对突发动植物疫情要按照预案或国家规定及时处置。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突发动物疫情处置率达到百分比。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突发动物疫情处置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突发动物疫情处置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突发动物疫情处置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突发动物疫情处置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65</w:t>
            </w: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防灾减灾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监测、发布灾情，组织救灾物资储备和调拨，指导紧急救灾和灾后生产恢复。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及时准确报告的发布灾情，组织指导紧急救灾和灾后生产恢复。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实施农业产业化专项补助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通过政策资金引导，加快建设畜禽产品加工和大型物流项目。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支持乳制品加工及标准化现代牧场建设，支持肉类产品精深加工、规模化养殖及冷链物流建设，支持粮油、果品精深加工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草原生态保护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建立全县草原生态保护奖补机制，对按规定实行草原禁牧的牧户给予补偿和奖励。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保护草原生态，修复已破坏的草原植被，按照国家政策规定，向符合条件的牧户发放草原生态</w:t>
            </w:r>
            <w:proofErr w:type="gramStart"/>
            <w:r>
              <w:rPr>
                <w:rFonts w:ascii="仿宋" w:eastAsia="仿宋" w:hAnsi="仿宋" w:cs="仿宋" w:hint="eastAsia"/>
              </w:rPr>
              <w:t>保护奖补资金</w:t>
            </w:r>
            <w:proofErr w:type="gramEnd"/>
            <w:r>
              <w:rPr>
                <w:rFonts w:ascii="仿宋" w:eastAsia="仿宋" w:hAnsi="仿宋" w:cs="仿宋" w:hint="eastAsia"/>
              </w:rPr>
              <w:t>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渔业资源增殖与保护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对海洋水域增殖放流中国对虾、三疣梭子蟹、褐牙鲆、贝类等品种；内陆水域主要增殖放流鲢、鳙、鲤、鲫、池沼公</w:t>
            </w:r>
            <w:r>
              <w:rPr>
                <w:rFonts w:ascii="仿宋" w:eastAsia="仿宋" w:hAnsi="仿宋" w:cs="仿宋" w:hint="eastAsia"/>
              </w:rPr>
              <w:lastRenderedPageBreak/>
              <w:t>鱼、河蟹、青虾、中华鳖等品种。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修复和改善水域生态环境，增加和保持水生生物多样性.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lastRenderedPageBreak/>
              <w:t>畜牧业基层推广体系改革与建设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支持县级落实机构、编制和专业人员，配备必要设备等，提升基层农技服务机构的科技推广能力，为农户提供更多适用技术。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健全农业基层推广体系。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畜牧良种繁育体系建设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对奶牛、肉用种牛、种公猪开展生产性能测定，向社会推广优质的畜种。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提高参加测定的奶牛场单产水平，加强种猪质量监管，选育良种肉用公牛。完成奶牛生产性能测定数量，参加测定的奶牛场比测定前每头牛年产奶量平均增加数量。完成种猪生产性能测定数量和种猪常温精液产品抽样检测数量。完成肉用公牛的性能测定数量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畜牧业信息服务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组织开展农业统计，监测分析农业和农村经济运行，发布农业和农村经济信息，建设农业信息管理体系，指导农业信息服务。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及时向社会发布畜牧业信息。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办公设备更新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为配合2017年各项工作顺利实施，需更新办公设备。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政策依据：《政府采购法》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CE24F9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 xml:space="preserve">　　办公设备购置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24F9" w:rsidRDefault="00CE24F9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为配合2017年各项工作顺利实施，需更新办公设备。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为配合2016年各项工作顺利实施，需更新办公设备。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lef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为配合2016年各项工作顺利实施，需更新办公设备。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CE24F9" w:rsidRDefault="00230D73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70</w:t>
            </w:r>
          </w:p>
        </w:tc>
      </w:tr>
    </w:tbl>
    <w:p w:rsidR="00CE24F9" w:rsidRDefault="00CE24F9">
      <w:pPr>
        <w:spacing w:line="300" w:lineRule="exact"/>
        <w:jc w:val="left"/>
        <w:outlineLvl w:val="0"/>
        <w:rPr>
          <w:rFonts w:ascii="仿宋" w:eastAsia="仿宋" w:hAnsi="仿宋" w:cs="仿宋"/>
        </w:rPr>
        <w:sectPr w:rsidR="00CE24F9" w:rsidSect="00230D73">
          <w:pgSz w:w="16839" w:h="11907" w:orient="landscape"/>
          <w:pgMar w:top="1020" w:right="1361" w:bottom="1020" w:left="1361" w:header="851" w:footer="992" w:gutter="0"/>
          <w:cols w:space="0"/>
          <w:docGrid w:type="lines" w:linePitch="318"/>
        </w:sectPr>
      </w:pPr>
    </w:p>
    <w:p w:rsidR="00CE24F9" w:rsidRDefault="00CE24F9">
      <w:pPr>
        <w:widowControl/>
        <w:spacing w:line="360" w:lineRule="auto"/>
        <w:jc w:val="left"/>
        <w:rPr>
          <w:rFonts w:ascii="仿宋" w:eastAsia="仿宋" w:hAnsi="仿宋" w:cs="仿宋"/>
          <w:b/>
          <w:kern w:val="0"/>
          <w:sz w:val="32"/>
          <w:szCs w:val="32"/>
        </w:rPr>
      </w:pPr>
    </w:p>
    <w:p w:rsidR="00CE24F9" w:rsidRDefault="00230D73" w:rsidP="00230D73">
      <w:pPr>
        <w:autoSpaceDE w:val="0"/>
        <w:autoSpaceDN w:val="0"/>
        <w:adjustRightInd w:val="0"/>
        <w:spacing w:line="560" w:lineRule="exact"/>
        <w:ind w:firstLineChars="200" w:firstLine="640"/>
        <w:jc w:val="left"/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六、政府采购预算情况</w:t>
      </w:r>
    </w:p>
    <w:p w:rsidR="00CE24F9" w:rsidRDefault="00230D73">
      <w:pPr>
        <w:spacing w:line="560" w:lineRule="exact"/>
        <w:outlineLvl w:val="0"/>
        <w:rPr>
          <w:rFonts w:ascii="仿宋" w:eastAsia="仿宋" w:hAnsi="仿宋" w:cs="仿宋"/>
          <w:sz w:val="32"/>
          <w:szCs w:val="32"/>
        </w:rPr>
      </w:pPr>
      <w:bookmarkStart w:id="2" w:name="_Toc471398468"/>
      <w:r>
        <w:rPr>
          <w:rFonts w:ascii="Times New Roman" w:eastAsia="方正仿宋_GBK" w:hAnsi="Times New Roman" w:cs="Times New Roman"/>
          <w:sz w:val="32"/>
          <w:szCs w:val="32"/>
        </w:rPr>
        <w:t xml:space="preserve">   </w:t>
      </w:r>
      <w:r>
        <w:rPr>
          <w:rFonts w:ascii="仿宋" w:eastAsia="仿宋" w:hAnsi="仿宋" w:cs="仿宋" w:hint="eastAsia"/>
          <w:sz w:val="32"/>
          <w:szCs w:val="32"/>
        </w:rPr>
        <w:t>2017年，我单位安排政府采购预算3万元。具体内容见下表。</w:t>
      </w:r>
    </w:p>
    <w:p w:rsidR="00CE24F9" w:rsidRDefault="00230D73">
      <w:pPr>
        <w:spacing w:line="560" w:lineRule="exact"/>
        <w:jc w:val="center"/>
        <w:outlineLvl w:val="0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部门政府采购预算</w:t>
      </w:r>
      <w:bookmarkEnd w:id="2"/>
    </w:p>
    <w:tbl>
      <w:tblPr>
        <w:tblW w:w="906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94"/>
        <w:gridCol w:w="667"/>
        <w:gridCol w:w="549"/>
        <w:gridCol w:w="873"/>
        <w:gridCol w:w="549"/>
        <w:gridCol w:w="549"/>
        <w:gridCol w:w="564"/>
        <w:gridCol w:w="562"/>
        <w:gridCol w:w="562"/>
        <w:gridCol w:w="562"/>
        <w:gridCol w:w="511"/>
        <w:gridCol w:w="551"/>
        <w:gridCol w:w="551"/>
        <w:gridCol w:w="516"/>
      </w:tblGrid>
      <w:tr w:rsidR="00CE24F9">
        <w:trPr>
          <w:tblHeader/>
          <w:jc w:val="center"/>
        </w:trPr>
        <w:tc>
          <w:tcPr>
            <w:tcW w:w="5245" w:type="dxa"/>
            <w:gridSpan w:val="7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:rsidR="00CE24F9" w:rsidRDefault="00230D73">
            <w:pPr>
              <w:spacing w:line="560" w:lineRule="exact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方正小标宋_GBK" w:hint="eastAsia"/>
                <w:sz w:val="24"/>
                <w:szCs w:val="24"/>
              </w:rPr>
              <w:t>部门（单位）名称：成安县畜牧水产局</w:t>
            </w:r>
          </w:p>
        </w:tc>
        <w:tc>
          <w:tcPr>
            <w:tcW w:w="3815" w:type="dxa"/>
            <w:gridSpan w:val="7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方正书宋_GBK" w:hint="eastAsia"/>
                <w:sz w:val="24"/>
                <w:szCs w:val="24"/>
              </w:rPr>
              <w:t>单位：万元</w:t>
            </w:r>
          </w:p>
        </w:tc>
      </w:tr>
      <w:tr w:rsidR="00CE24F9">
        <w:trPr>
          <w:tblHeader/>
          <w:jc w:val="center"/>
        </w:trPr>
        <w:tc>
          <w:tcPr>
            <w:tcW w:w="2161" w:type="dxa"/>
            <w:gridSpan w:val="2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政府采购项目来源</w:t>
            </w:r>
          </w:p>
        </w:tc>
        <w:tc>
          <w:tcPr>
            <w:tcW w:w="549" w:type="dxa"/>
            <w:vMerge w:val="restart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采购物品名称</w:t>
            </w:r>
          </w:p>
        </w:tc>
        <w:tc>
          <w:tcPr>
            <w:tcW w:w="873" w:type="dxa"/>
            <w:vMerge w:val="restart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政府采购目录序号</w:t>
            </w:r>
          </w:p>
        </w:tc>
        <w:tc>
          <w:tcPr>
            <w:tcW w:w="549" w:type="dxa"/>
            <w:vMerge w:val="restart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数量</w:t>
            </w:r>
            <w:r>
              <w:rPr>
                <w:rFonts w:ascii="宋体" w:eastAsia="宋体" w:hAnsi="宋体" w:cs="方正书宋_GBK"/>
                <w:b/>
                <w:bCs/>
              </w:rPr>
              <w:t xml:space="preserve">  </w:t>
            </w:r>
            <w:r>
              <w:rPr>
                <w:rFonts w:ascii="宋体" w:eastAsia="宋体" w:hAnsi="宋体" w:cs="方正书宋_GBK" w:hint="eastAsia"/>
                <w:b/>
                <w:bCs/>
              </w:rPr>
              <w:t>单位</w:t>
            </w:r>
          </w:p>
        </w:tc>
        <w:tc>
          <w:tcPr>
            <w:tcW w:w="549" w:type="dxa"/>
            <w:vMerge w:val="restart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数量</w:t>
            </w:r>
          </w:p>
        </w:tc>
        <w:tc>
          <w:tcPr>
            <w:tcW w:w="564" w:type="dxa"/>
            <w:vMerge w:val="restart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单价</w:t>
            </w:r>
          </w:p>
        </w:tc>
        <w:tc>
          <w:tcPr>
            <w:tcW w:w="3815" w:type="dxa"/>
            <w:gridSpan w:val="7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政府采购金额</w:t>
            </w:r>
          </w:p>
        </w:tc>
      </w:tr>
      <w:tr w:rsidR="00CE24F9">
        <w:trPr>
          <w:tblHeader/>
          <w:jc w:val="center"/>
        </w:trPr>
        <w:tc>
          <w:tcPr>
            <w:tcW w:w="1494" w:type="dxa"/>
            <w:vMerge w:val="restart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项目名称</w:t>
            </w:r>
          </w:p>
        </w:tc>
        <w:tc>
          <w:tcPr>
            <w:tcW w:w="667" w:type="dxa"/>
            <w:vMerge w:val="restart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预算资金</w:t>
            </w:r>
          </w:p>
        </w:tc>
        <w:tc>
          <w:tcPr>
            <w:tcW w:w="549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873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49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49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64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62" w:type="dxa"/>
            <w:vMerge w:val="restart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总计</w:t>
            </w:r>
          </w:p>
        </w:tc>
        <w:tc>
          <w:tcPr>
            <w:tcW w:w="2737" w:type="dxa"/>
            <w:gridSpan w:val="5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当年部门预算安排资金</w:t>
            </w:r>
          </w:p>
        </w:tc>
        <w:tc>
          <w:tcPr>
            <w:tcW w:w="516" w:type="dxa"/>
            <w:vMerge w:val="restart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其他渠道资金</w:t>
            </w:r>
          </w:p>
        </w:tc>
      </w:tr>
      <w:tr w:rsidR="00CE24F9">
        <w:trPr>
          <w:tblHeader/>
          <w:jc w:val="center"/>
        </w:trPr>
        <w:tc>
          <w:tcPr>
            <w:tcW w:w="1494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667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49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873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49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49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64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62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  <w:tc>
          <w:tcPr>
            <w:tcW w:w="562" w:type="dxa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合计</w:t>
            </w:r>
          </w:p>
        </w:tc>
        <w:tc>
          <w:tcPr>
            <w:tcW w:w="562" w:type="dxa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一般公共预算拨款</w:t>
            </w:r>
          </w:p>
        </w:tc>
        <w:tc>
          <w:tcPr>
            <w:tcW w:w="511" w:type="dxa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基金预算拨款</w:t>
            </w:r>
          </w:p>
        </w:tc>
        <w:tc>
          <w:tcPr>
            <w:tcW w:w="551" w:type="dxa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财政专户核拨</w:t>
            </w:r>
          </w:p>
        </w:tc>
        <w:tc>
          <w:tcPr>
            <w:tcW w:w="551" w:type="dxa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其他来源收入</w:t>
            </w:r>
          </w:p>
        </w:tc>
        <w:tc>
          <w:tcPr>
            <w:tcW w:w="516" w:type="dxa"/>
            <w:vMerge/>
            <w:vAlign w:val="center"/>
          </w:tcPr>
          <w:p w:rsidR="00CE24F9" w:rsidRDefault="00CE24F9">
            <w:pPr>
              <w:spacing w:line="560" w:lineRule="exact"/>
              <w:jc w:val="left"/>
              <w:outlineLvl w:val="0"/>
              <w:rPr>
                <w:rFonts w:ascii="宋体" w:eastAsia="宋体" w:hAnsi="宋体" w:cs="Times New Roman"/>
              </w:rPr>
            </w:pPr>
          </w:p>
        </w:tc>
      </w:tr>
      <w:tr w:rsidR="00CE24F9">
        <w:trPr>
          <w:jc w:val="center"/>
        </w:trPr>
        <w:tc>
          <w:tcPr>
            <w:tcW w:w="1494" w:type="dxa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方正书宋_GBK" w:hint="eastAsia"/>
                <w:b/>
                <w:bCs/>
              </w:rPr>
              <w:t>合　计</w:t>
            </w:r>
          </w:p>
        </w:tc>
        <w:tc>
          <w:tcPr>
            <w:tcW w:w="667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:rsidR="00CE24F9" w:rsidRDefault="00CE24F9">
            <w:pPr>
              <w:spacing w:line="560" w:lineRule="exact"/>
              <w:jc w:val="lef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873" w:type="dxa"/>
            <w:vAlign w:val="center"/>
          </w:tcPr>
          <w:p w:rsidR="00CE24F9" w:rsidRDefault="00CE24F9">
            <w:pPr>
              <w:spacing w:line="560" w:lineRule="exact"/>
              <w:jc w:val="lef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:rsidR="00CE24F9" w:rsidRDefault="00CE24F9">
            <w:pPr>
              <w:spacing w:line="560" w:lineRule="exact"/>
              <w:jc w:val="lef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64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62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62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62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1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5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5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16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</w:tr>
      <w:tr w:rsidR="00CE24F9">
        <w:trPr>
          <w:jc w:val="center"/>
        </w:trPr>
        <w:tc>
          <w:tcPr>
            <w:tcW w:w="1494" w:type="dxa"/>
            <w:vAlign w:val="center"/>
          </w:tcPr>
          <w:p w:rsidR="00CE24F9" w:rsidRDefault="00230D73">
            <w:pPr>
              <w:spacing w:line="560" w:lineRule="exact"/>
              <w:jc w:val="center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Times New Roman" w:hint="eastAsia"/>
                <w:b/>
                <w:bCs/>
              </w:rPr>
              <w:t>电脑</w:t>
            </w:r>
          </w:p>
        </w:tc>
        <w:tc>
          <w:tcPr>
            <w:tcW w:w="667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:rsidR="00CE24F9" w:rsidRDefault="00CE24F9">
            <w:pPr>
              <w:spacing w:line="560" w:lineRule="exact"/>
              <w:jc w:val="lef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873" w:type="dxa"/>
            <w:vAlign w:val="center"/>
          </w:tcPr>
          <w:p w:rsidR="00CE24F9" w:rsidRDefault="00CE24F9">
            <w:pPr>
              <w:spacing w:line="560" w:lineRule="exact"/>
              <w:jc w:val="lef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:rsidR="00CE24F9" w:rsidRDefault="00230D73">
            <w:pPr>
              <w:spacing w:line="560" w:lineRule="exact"/>
              <w:jc w:val="left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Times New Roman" w:hint="eastAsia"/>
                <w:b/>
                <w:bCs/>
              </w:rPr>
              <w:t>台</w:t>
            </w:r>
          </w:p>
        </w:tc>
        <w:tc>
          <w:tcPr>
            <w:tcW w:w="549" w:type="dxa"/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Times New Roman" w:hint="eastAsia"/>
                <w:b/>
                <w:bCs/>
              </w:rPr>
              <w:t>3</w:t>
            </w:r>
          </w:p>
        </w:tc>
        <w:tc>
          <w:tcPr>
            <w:tcW w:w="564" w:type="dxa"/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Times New Roman" w:hint="eastAsia"/>
                <w:b/>
                <w:bCs/>
              </w:rPr>
              <w:t>0.4</w:t>
            </w:r>
          </w:p>
        </w:tc>
        <w:tc>
          <w:tcPr>
            <w:tcW w:w="562" w:type="dxa"/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  <w:r>
              <w:rPr>
                <w:rFonts w:ascii="宋体" w:eastAsia="宋体" w:hAnsi="宋体" w:cs="Times New Roman" w:hint="eastAsia"/>
                <w:b/>
                <w:bCs/>
              </w:rPr>
              <w:t>1.2</w:t>
            </w:r>
          </w:p>
        </w:tc>
        <w:tc>
          <w:tcPr>
            <w:tcW w:w="562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62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1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5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5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  <w:tc>
          <w:tcPr>
            <w:tcW w:w="516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  <w:b/>
                <w:bCs/>
              </w:rPr>
            </w:pPr>
          </w:p>
        </w:tc>
      </w:tr>
      <w:tr w:rsidR="00CE24F9">
        <w:trPr>
          <w:jc w:val="center"/>
        </w:trPr>
        <w:tc>
          <w:tcPr>
            <w:tcW w:w="1494" w:type="dxa"/>
            <w:vAlign w:val="center"/>
          </w:tcPr>
          <w:p w:rsidR="00CE24F9" w:rsidRDefault="00230D73">
            <w:pPr>
              <w:spacing w:line="560" w:lineRule="exact"/>
              <w:jc w:val="lef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 xml:space="preserve">  打印机</w:t>
            </w:r>
          </w:p>
        </w:tc>
        <w:tc>
          <w:tcPr>
            <w:tcW w:w="667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49" w:type="dxa"/>
            <w:vAlign w:val="center"/>
          </w:tcPr>
          <w:p w:rsidR="00CE24F9" w:rsidRDefault="00CE24F9">
            <w:pPr>
              <w:spacing w:line="560" w:lineRule="exact"/>
              <w:jc w:val="left"/>
              <w:rPr>
                <w:rFonts w:ascii="宋体" w:eastAsia="宋体" w:hAnsi="宋体" w:cs="Times New Roman"/>
              </w:rPr>
            </w:pPr>
          </w:p>
        </w:tc>
        <w:tc>
          <w:tcPr>
            <w:tcW w:w="873" w:type="dxa"/>
            <w:vAlign w:val="center"/>
          </w:tcPr>
          <w:p w:rsidR="00CE24F9" w:rsidRDefault="00CE24F9">
            <w:pPr>
              <w:spacing w:line="560" w:lineRule="exact"/>
              <w:jc w:val="left"/>
              <w:rPr>
                <w:rFonts w:ascii="宋体" w:eastAsia="宋体" w:hAnsi="宋体" w:cs="Times New Roman"/>
              </w:rPr>
            </w:pPr>
          </w:p>
        </w:tc>
        <w:tc>
          <w:tcPr>
            <w:tcW w:w="549" w:type="dxa"/>
            <w:vAlign w:val="center"/>
          </w:tcPr>
          <w:p w:rsidR="00CE24F9" w:rsidRDefault="00230D73">
            <w:pPr>
              <w:spacing w:line="560" w:lineRule="exact"/>
              <w:jc w:val="lef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>台</w:t>
            </w:r>
          </w:p>
        </w:tc>
        <w:tc>
          <w:tcPr>
            <w:tcW w:w="549" w:type="dxa"/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>3</w:t>
            </w:r>
          </w:p>
        </w:tc>
        <w:tc>
          <w:tcPr>
            <w:tcW w:w="564" w:type="dxa"/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>0.3</w:t>
            </w:r>
          </w:p>
        </w:tc>
        <w:tc>
          <w:tcPr>
            <w:tcW w:w="562" w:type="dxa"/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>0.9</w:t>
            </w:r>
          </w:p>
        </w:tc>
        <w:tc>
          <w:tcPr>
            <w:tcW w:w="562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62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1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5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5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16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</w:tr>
      <w:tr w:rsidR="00CE24F9">
        <w:trPr>
          <w:jc w:val="center"/>
        </w:trPr>
        <w:tc>
          <w:tcPr>
            <w:tcW w:w="1494" w:type="dxa"/>
            <w:vAlign w:val="center"/>
          </w:tcPr>
          <w:p w:rsidR="00CE24F9" w:rsidRDefault="00230D73">
            <w:pPr>
              <w:spacing w:line="560" w:lineRule="exact"/>
              <w:jc w:val="lef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 xml:space="preserve">  空调</w:t>
            </w:r>
          </w:p>
        </w:tc>
        <w:tc>
          <w:tcPr>
            <w:tcW w:w="667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49" w:type="dxa"/>
            <w:vAlign w:val="center"/>
          </w:tcPr>
          <w:p w:rsidR="00CE24F9" w:rsidRDefault="00CE24F9">
            <w:pPr>
              <w:spacing w:line="560" w:lineRule="exact"/>
              <w:jc w:val="left"/>
              <w:rPr>
                <w:rFonts w:ascii="宋体" w:eastAsia="宋体" w:hAnsi="宋体" w:cs="Times New Roman"/>
              </w:rPr>
            </w:pPr>
          </w:p>
        </w:tc>
        <w:tc>
          <w:tcPr>
            <w:tcW w:w="873" w:type="dxa"/>
            <w:vAlign w:val="center"/>
          </w:tcPr>
          <w:p w:rsidR="00CE24F9" w:rsidRDefault="00CE24F9">
            <w:pPr>
              <w:spacing w:line="560" w:lineRule="exact"/>
              <w:jc w:val="left"/>
              <w:rPr>
                <w:rFonts w:ascii="宋体" w:eastAsia="宋体" w:hAnsi="宋体" w:cs="Times New Roman"/>
              </w:rPr>
            </w:pPr>
          </w:p>
        </w:tc>
        <w:tc>
          <w:tcPr>
            <w:tcW w:w="549" w:type="dxa"/>
            <w:vAlign w:val="center"/>
          </w:tcPr>
          <w:p w:rsidR="00CE24F9" w:rsidRDefault="00230D73">
            <w:pPr>
              <w:spacing w:line="560" w:lineRule="exact"/>
              <w:jc w:val="lef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>台</w:t>
            </w:r>
          </w:p>
        </w:tc>
        <w:tc>
          <w:tcPr>
            <w:tcW w:w="549" w:type="dxa"/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>3</w:t>
            </w:r>
          </w:p>
        </w:tc>
        <w:tc>
          <w:tcPr>
            <w:tcW w:w="564" w:type="dxa"/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>0.3</w:t>
            </w:r>
          </w:p>
        </w:tc>
        <w:tc>
          <w:tcPr>
            <w:tcW w:w="562" w:type="dxa"/>
            <w:vAlign w:val="center"/>
          </w:tcPr>
          <w:p w:rsidR="00CE24F9" w:rsidRDefault="00230D73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  <w:r>
              <w:rPr>
                <w:rFonts w:ascii="宋体" w:eastAsia="宋体" w:hAnsi="宋体" w:cs="Times New Roman" w:hint="eastAsia"/>
              </w:rPr>
              <w:t>0.9</w:t>
            </w:r>
          </w:p>
        </w:tc>
        <w:tc>
          <w:tcPr>
            <w:tcW w:w="562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62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1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5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51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  <w:tc>
          <w:tcPr>
            <w:tcW w:w="516" w:type="dxa"/>
            <w:vAlign w:val="center"/>
          </w:tcPr>
          <w:p w:rsidR="00CE24F9" w:rsidRDefault="00CE24F9">
            <w:pPr>
              <w:spacing w:line="560" w:lineRule="exact"/>
              <w:jc w:val="right"/>
              <w:rPr>
                <w:rFonts w:ascii="宋体" w:eastAsia="宋体" w:hAnsi="宋体" w:cs="Times New Roman"/>
              </w:rPr>
            </w:pPr>
          </w:p>
        </w:tc>
      </w:tr>
    </w:tbl>
    <w:p w:rsidR="00CE24F9" w:rsidRDefault="00230D73">
      <w:pPr>
        <w:autoSpaceDE w:val="0"/>
        <w:autoSpaceDN w:val="0"/>
        <w:adjustRightInd w:val="0"/>
        <w:spacing w:line="560" w:lineRule="exact"/>
        <w:jc w:val="left"/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 xml:space="preserve">  七、国有资产信息</w:t>
      </w:r>
    </w:p>
    <w:p w:rsidR="00CE24F9" w:rsidRDefault="00230D73">
      <w:pPr>
        <w:spacing w:line="560" w:lineRule="exact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成安县畜牧水产局部门（含所属单位）上年末固定资产金额为156.6万元，本年度拟购置固定资产主要为计算机设备、打印设备、空调、办公家具等，已列入政府采购预算。详见下表。</w:t>
      </w:r>
    </w:p>
    <w:tbl>
      <w:tblPr>
        <w:tblW w:w="9060" w:type="dxa"/>
        <w:tblInd w:w="-106" w:type="dxa"/>
        <w:tblLayout w:type="fixed"/>
        <w:tblLook w:val="04A0" w:firstRow="1" w:lastRow="0" w:firstColumn="1" w:lastColumn="0" w:noHBand="0" w:noVBand="1"/>
      </w:tblPr>
      <w:tblGrid>
        <w:gridCol w:w="4139"/>
        <w:gridCol w:w="855"/>
        <w:gridCol w:w="4066"/>
      </w:tblGrid>
      <w:tr w:rsidR="00CE24F9">
        <w:trPr>
          <w:trHeight w:val="705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24F9" w:rsidRDefault="00CE24F9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32"/>
                <w:szCs w:val="32"/>
              </w:rPr>
            </w:pPr>
          </w:p>
          <w:p w:rsidR="00CE24F9" w:rsidRDefault="00CE24F9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32"/>
                <w:szCs w:val="32"/>
              </w:rPr>
            </w:pPr>
          </w:p>
          <w:p w:rsidR="00CE24F9" w:rsidRDefault="00CE24F9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32"/>
                <w:szCs w:val="32"/>
              </w:rPr>
            </w:pPr>
          </w:p>
          <w:p w:rsidR="00CE24F9" w:rsidRDefault="00CE24F9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32"/>
                <w:szCs w:val="32"/>
              </w:rPr>
            </w:pPr>
          </w:p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ascii="楷体" w:eastAsia="楷体" w:hAnsi="楷体" w:cs="楷体" w:hint="eastAsia"/>
                <w:b/>
                <w:bCs/>
                <w:kern w:val="0"/>
                <w:sz w:val="32"/>
                <w:szCs w:val="32"/>
              </w:rPr>
              <w:t>部门固定资产占用情况表</w:t>
            </w:r>
          </w:p>
        </w:tc>
      </w:tr>
      <w:tr w:rsidR="00CE24F9">
        <w:trPr>
          <w:trHeight w:val="510"/>
        </w:trPr>
        <w:tc>
          <w:tcPr>
            <w:tcW w:w="4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24F9" w:rsidRDefault="00230D73">
            <w:pPr>
              <w:widowControl/>
              <w:jc w:val="left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lastRenderedPageBreak/>
              <w:t>编制部门:成安县畜牧水产局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24F9" w:rsidRDefault="00230D73" w:rsidP="00230D73">
            <w:pPr>
              <w:widowControl/>
              <w:ind w:firstLineChars="250" w:firstLine="550"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截止时间：</w:t>
            </w:r>
            <w:r>
              <w:rPr>
                <w:rFonts w:ascii="宋体" w:eastAsia="宋体" w:hAnsi="宋体" w:cs="宋体"/>
                <w:kern w:val="0"/>
                <w:sz w:val="22"/>
              </w:rPr>
              <w:t>2016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年</w:t>
            </w:r>
            <w:r>
              <w:rPr>
                <w:rFonts w:ascii="宋体" w:eastAsia="宋体" w:hAnsi="宋体" w:cs="宋体"/>
                <w:kern w:val="0"/>
                <w:sz w:val="22"/>
              </w:rPr>
              <w:t>12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月</w:t>
            </w:r>
            <w:r>
              <w:rPr>
                <w:rFonts w:ascii="宋体" w:eastAsia="宋体" w:hAnsi="宋体" w:cs="宋体"/>
                <w:kern w:val="0"/>
                <w:sz w:val="22"/>
              </w:rPr>
              <w:t>31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日</w:t>
            </w:r>
            <w:r>
              <w:rPr>
                <w:rFonts w:ascii="宋体" w:eastAsia="宋体" w:hAnsi="宋体" w:cs="宋体"/>
                <w:kern w:val="0"/>
                <w:sz w:val="22"/>
              </w:rPr>
              <w:t xml:space="preserve">  </w:t>
            </w:r>
          </w:p>
        </w:tc>
      </w:tr>
      <w:tr w:rsidR="00CE24F9">
        <w:trPr>
          <w:trHeight w:val="645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项</w:t>
            </w:r>
            <w:r>
              <w:rPr>
                <w:rFonts w:ascii="宋体" w:eastAsia="宋体" w:hAnsi="宋体" w:cs="宋体"/>
                <w:b/>
                <w:bCs/>
                <w:kern w:val="0"/>
                <w:sz w:val="22"/>
              </w:rPr>
              <w:t xml:space="preserve">   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目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数量</w:t>
            </w:r>
          </w:p>
        </w:tc>
        <w:tc>
          <w:tcPr>
            <w:tcW w:w="4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价值（金额单位：万元）</w:t>
            </w:r>
          </w:p>
        </w:tc>
      </w:tr>
      <w:tr w:rsidR="00CE24F9">
        <w:trPr>
          <w:trHeight w:val="645"/>
        </w:trPr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资产总额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/>
                <w:kern w:val="0"/>
                <w:sz w:val="22"/>
              </w:rPr>
              <w:t>——</w:t>
            </w:r>
          </w:p>
        </w:tc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156.6</w:t>
            </w:r>
          </w:p>
        </w:tc>
      </w:tr>
      <w:tr w:rsidR="00CE24F9">
        <w:trPr>
          <w:trHeight w:val="645"/>
        </w:trPr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left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宋体"/>
                <w:kern w:val="0"/>
                <w:sz w:val="22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、房屋（平方米）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CE24F9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CE24F9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</w:p>
        </w:tc>
      </w:tr>
      <w:tr w:rsidR="00CE24F9">
        <w:trPr>
          <w:trHeight w:val="645"/>
        </w:trPr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left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宋体"/>
                <w:kern w:val="0"/>
                <w:sz w:val="22"/>
              </w:rPr>
              <w:t xml:space="preserve">   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其中：办公用房（平方米）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Times New Roman" w:hint="eastAsia"/>
                <w:kern w:val="0"/>
                <w:sz w:val="22"/>
              </w:rPr>
              <w:t>260</w:t>
            </w:r>
          </w:p>
        </w:tc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Times New Roman" w:hint="eastAsia"/>
                <w:kern w:val="0"/>
                <w:sz w:val="22"/>
              </w:rPr>
              <w:t>55</w:t>
            </w:r>
          </w:p>
        </w:tc>
      </w:tr>
      <w:tr w:rsidR="00CE24F9">
        <w:trPr>
          <w:trHeight w:val="645"/>
        </w:trPr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left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宋体"/>
                <w:kern w:val="0"/>
                <w:sz w:val="22"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、车辆（台、辆）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Times New Roman" w:hint="eastAsia"/>
                <w:kern w:val="0"/>
                <w:sz w:val="22"/>
              </w:rPr>
              <w:t>6</w:t>
            </w:r>
          </w:p>
        </w:tc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Times New Roman" w:hint="eastAsia"/>
                <w:kern w:val="0"/>
                <w:sz w:val="22"/>
              </w:rPr>
              <w:t>35.8</w:t>
            </w:r>
          </w:p>
        </w:tc>
      </w:tr>
      <w:tr w:rsidR="00CE24F9">
        <w:trPr>
          <w:trHeight w:val="645"/>
        </w:trPr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left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宋体"/>
                <w:kern w:val="0"/>
                <w:sz w:val="22"/>
              </w:rPr>
              <w:t>3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、单价在</w:t>
            </w:r>
            <w:r>
              <w:rPr>
                <w:rFonts w:ascii="宋体" w:eastAsia="宋体" w:hAnsi="宋体" w:cs="宋体"/>
                <w:kern w:val="0"/>
                <w:sz w:val="22"/>
              </w:rPr>
              <w:t>50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万元以上的设备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CE24F9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CE24F9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</w:p>
        </w:tc>
      </w:tr>
      <w:tr w:rsidR="00CE24F9">
        <w:trPr>
          <w:trHeight w:val="645"/>
        </w:trPr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left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宋体"/>
                <w:kern w:val="0"/>
                <w:sz w:val="22"/>
              </w:rPr>
              <w:t>4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、其他固定资产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CE24F9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4F9" w:rsidRDefault="00230D7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2"/>
              </w:rPr>
            </w:pPr>
            <w:r>
              <w:rPr>
                <w:rFonts w:ascii="宋体" w:eastAsia="宋体" w:hAnsi="宋体" w:cs="Times New Roman" w:hint="eastAsia"/>
                <w:kern w:val="0"/>
                <w:sz w:val="22"/>
              </w:rPr>
              <w:t>65.8</w:t>
            </w:r>
          </w:p>
        </w:tc>
      </w:tr>
    </w:tbl>
    <w:p w:rsidR="00CE24F9" w:rsidRDefault="00CE24F9">
      <w:pPr>
        <w:widowControl/>
        <w:spacing w:line="360" w:lineRule="auto"/>
        <w:jc w:val="left"/>
        <w:rPr>
          <w:rFonts w:ascii="仿宋" w:eastAsia="仿宋" w:hAnsi="仿宋" w:cs="仿宋"/>
          <w:b/>
          <w:kern w:val="0"/>
          <w:sz w:val="32"/>
          <w:szCs w:val="32"/>
        </w:rPr>
      </w:pPr>
    </w:p>
    <w:p w:rsidR="00CE24F9" w:rsidRDefault="00230D73">
      <w:pPr>
        <w:spacing w:line="560" w:lineRule="exact"/>
        <w:ind w:firstLine="645"/>
        <w:rPr>
          <w:rFonts w:ascii="黑体" w:eastAsia="黑体" w:hAnsi="黑体" w:cs="黑体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333333"/>
          <w:kern w:val="0"/>
          <w:sz w:val="32"/>
          <w:szCs w:val="32"/>
        </w:rPr>
        <w:t xml:space="preserve">  </w:t>
      </w:r>
      <w:r>
        <w:rPr>
          <w:rFonts w:ascii="黑体" w:eastAsia="黑体" w:hAnsi="黑体" w:cs="黑体" w:hint="eastAsia"/>
          <w:bCs/>
          <w:kern w:val="0"/>
          <w:sz w:val="32"/>
          <w:szCs w:val="32"/>
        </w:rPr>
        <w:t>八、名词解释  </w:t>
      </w:r>
    </w:p>
    <w:p w:rsidR="00CE24F9" w:rsidRDefault="00230D73" w:rsidP="00230D73">
      <w:pPr>
        <w:widowControl/>
        <w:spacing w:line="360" w:lineRule="auto"/>
        <w:ind w:firstLineChars="200" w:firstLine="643"/>
        <w:jc w:val="left"/>
        <w:rPr>
          <w:rFonts w:ascii="仿宋" w:eastAsia="仿宋" w:hAnsi="仿宋" w:cs="仿宋"/>
          <w:kern w:val="0"/>
          <w:sz w:val="32"/>
          <w:szCs w:val="32"/>
        </w:rPr>
      </w:pPr>
      <w:r>
        <w:rPr>
          <w:rFonts w:ascii="楷体" w:eastAsia="楷体" w:hAnsi="楷体" w:cs="楷体" w:hint="eastAsia"/>
          <w:b/>
          <w:kern w:val="0"/>
          <w:sz w:val="32"/>
          <w:szCs w:val="32"/>
        </w:rPr>
        <w:t>1、财政拨款收入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t>：指</w:t>
      </w:r>
      <w:r>
        <w:rPr>
          <w:rFonts w:ascii="仿宋" w:eastAsia="仿宋" w:hAnsi="仿宋" w:cs="仿宋" w:hint="eastAsia"/>
          <w:kern w:val="0"/>
          <w:sz w:val="32"/>
          <w:szCs w:val="32"/>
        </w:rPr>
        <w:t>财政当年拨付的资金。</w:t>
      </w:r>
    </w:p>
    <w:p w:rsidR="00CE24F9" w:rsidRDefault="00230D73" w:rsidP="00230D73">
      <w:pPr>
        <w:widowControl/>
        <w:spacing w:line="360" w:lineRule="auto"/>
        <w:ind w:firstLineChars="200" w:firstLine="643"/>
        <w:jc w:val="left"/>
        <w:rPr>
          <w:rFonts w:ascii="仿宋" w:eastAsia="仿宋" w:hAnsi="仿宋" w:cs="仿宋"/>
          <w:kern w:val="0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kern w:val="0"/>
          <w:sz w:val="32"/>
          <w:szCs w:val="32"/>
        </w:rPr>
        <w:t>2、“三公”经费</w:t>
      </w:r>
      <w:r>
        <w:rPr>
          <w:rFonts w:ascii="仿宋" w:eastAsia="仿宋" w:hAnsi="仿宋" w:cs="仿宋" w:hint="eastAsia"/>
          <w:kern w:val="0"/>
          <w:sz w:val="32"/>
          <w:szCs w:val="32"/>
        </w:rPr>
        <w:t xml:space="preserve">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、等支出，公务用车指用于履行公务的机动车辆，包括领导干部专车、一般公务用车和执法执勤等业务用车。 </w:t>
      </w:r>
    </w:p>
    <w:p w:rsidR="00CE24F9" w:rsidRDefault="00230D73" w:rsidP="00230D73">
      <w:pPr>
        <w:widowControl/>
        <w:spacing w:line="360" w:lineRule="auto"/>
        <w:ind w:firstLineChars="200" w:firstLine="643"/>
        <w:jc w:val="left"/>
        <w:rPr>
          <w:rFonts w:ascii="仿宋" w:eastAsia="仿宋" w:hAnsi="仿宋" w:cs="仿宋"/>
          <w:kern w:val="0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kern w:val="0"/>
          <w:sz w:val="32"/>
          <w:szCs w:val="32"/>
        </w:rPr>
        <w:t>3、年初结转和结余</w:t>
      </w:r>
      <w:r>
        <w:rPr>
          <w:rFonts w:ascii="仿宋" w:eastAsia="仿宋" w:hAnsi="仿宋" w:cs="仿宋" w:hint="eastAsia"/>
          <w:kern w:val="0"/>
          <w:sz w:val="32"/>
          <w:szCs w:val="32"/>
        </w:rPr>
        <w:t>：指以前年度尚未完成，结转到本年仍按照原规定用途继续使用的资金，或项目已完成等产生的结余资金。</w:t>
      </w:r>
    </w:p>
    <w:p w:rsidR="00CE24F9" w:rsidRDefault="00230D73" w:rsidP="00230D73">
      <w:pPr>
        <w:widowControl/>
        <w:spacing w:line="360" w:lineRule="auto"/>
        <w:ind w:firstLineChars="200" w:firstLine="480"/>
        <w:jc w:val="left"/>
        <w:rPr>
          <w:rFonts w:ascii="仿宋" w:eastAsia="仿宋" w:hAnsi="仿宋" w:cs="仿宋"/>
          <w:kern w:val="0"/>
          <w:sz w:val="32"/>
          <w:szCs w:val="32"/>
        </w:rPr>
      </w:pPr>
      <w:r>
        <w:rPr>
          <w:rFonts w:ascii="仿宋" w:eastAsia="仿宋" w:hAnsi="仿宋" w:cs="仿宋" w:hint="eastAsia"/>
          <w:kern w:val="0"/>
          <w:sz w:val="24"/>
          <w:szCs w:val="24"/>
        </w:rPr>
        <w:lastRenderedPageBreak/>
        <w:t xml:space="preserve"> </w:t>
      </w:r>
      <w:r>
        <w:rPr>
          <w:rFonts w:ascii="仿宋" w:eastAsia="仿宋" w:hAnsi="仿宋" w:cs="仿宋" w:hint="eastAsia"/>
          <w:b/>
          <w:kern w:val="0"/>
          <w:sz w:val="32"/>
          <w:szCs w:val="32"/>
        </w:rPr>
        <w:t> </w:t>
      </w:r>
      <w:r>
        <w:rPr>
          <w:rFonts w:ascii="楷体" w:eastAsia="楷体" w:hAnsi="楷体" w:cs="楷体" w:hint="eastAsia"/>
          <w:b/>
          <w:kern w:val="0"/>
          <w:sz w:val="32"/>
          <w:szCs w:val="32"/>
        </w:rPr>
        <w:t>4、基本支出</w:t>
      </w:r>
      <w:r>
        <w:rPr>
          <w:rFonts w:ascii="仿宋" w:eastAsia="仿宋" w:hAnsi="仿宋" w:cs="仿宋" w:hint="eastAsia"/>
          <w:kern w:val="0"/>
          <w:sz w:val="32"/>
          <w:szCs w:val="32"/>
        </w:rPr>
        <w:t xml:space="preserve">：指单位为了保障其正常运转、完成日常工作任务而发生的人员支出和公用支出。 </w:t>
      </w:r>
    </w:p>
    <w:p w:rsidR="00CE24F9" w:rsidRDefault="00230D73" w:rsidP="00230D73">
      <w:pPr>
        <w:widowControl/>
        <w:spacing w:line="360" w:lineRule="auto"/>
        <w:ind w:firstLineChars="200" w:firstLine="643"/>
        <w:jc w:val="left"/>
        <w:rPr>
          <w:rFonts w:ascii="仿宋" w:eastAsia="仿宋" w:hAnsi="仿宋" w:cs="仿宋"/>
          <w:kern w:val="0"/>
          <w:sz w:val="32"/>
          <w:szCs w:val="32"/>
        </w:rPr>
      </w:pPr>
      <w:r>
        <w:rPr>
          <w:rFonts w:ascii="楷体" w:eastAsia="楷体" w:hAnsi="楷体" w:cs="楷体" w:hint="eastAsia"/>
          <w:b/>
          <w:kern w:val="0"/>
          <w:sz w:val="32"/>
          <w:szCs w:val="32"/>
        </w:rPr>
        <w:t> 5、项目支出</w:t>
      </w:r>
      <w:r>
        <w:rPr>
          <w:rFonts w:ascii="仿宋" w:eastAsia="仿宋" w:hAnsi="仿宋" w:cs="仿宋" w:hint="eastAsia"/>
          <w:b/>
          <w:kern w:val="0"/>
          <w:sz w:val="32"/>
          <w:szCs w:val="32"/>
        </w:rPr>
        <w:t>：</w:t>
      </w:r>
      <w:r>
        <w:rPr>
          <w:rFonts w:ascii="仿宋" w:eastAsia="仿宋" w:hAnsi="仿宋" w:cs="仿宋" w:hint="eastAsia"/>
          <w:kern w:val="0"/>
          <w:sz w:val="32"/>
          <w:szCs w:val="32"/>
        </w:rPr>
        <w:t>指单位为了特定的工作任务和事业发展目标，在基本支出之外所发生的支出。</w:t>
      </w:r>
    </w:p>
    <w:p w:rsidR="00CE24F9" w:rsidRDefault="00230D73">
      <w:pPr>
        <w:widowControl/>
        <w:spacing w:line="360" w:lineRule="auto"/>
        <w:ind w:firstLineChars="200" w:firstLine="640"/>
        <w:jc w:val="left"/>
        <w:rPr>
          <w:rFonts w:ascii="黑体" w:eastAsia="黑体" w:hAnsi="黑体" w:cs="仿宋"/>
          <w:kern w:val="0"/>
          <w:sz w:val="32"/>
          <w:szCs w:val="32"/>
        </w:rPr>
      </w:pPr>
      <w:r>
        <w:rPr>
          <w:rFonts w:ascii="黑体" w:eastAsia="黑体" w:hAnsi="黑体" w:cs="仿宋" w:hint="eastAsia"/>
          <w:kern w:val="0"/>
          <w:sz w:val="32"/>
          <w:szCs w:val="32"/>
        </w:rPr>
        <w:t>九、其他需要说明的事项</w:t>
      </w:r>
    </w:p>
    <w:p w:rsidR="00CE24F9" w:rsidRPr="00230D73" w:rsidRDefault="00230D73" w:rsidP="00230D73">
      <w:pPr>
        <w:tabs>
          <w:tab w:val="left" w:pos="11490"/>
        </w:tabs>
        <w:ind w:firstLineChars="200" w:firstLine="640"/>
        <w:rPr>
          <w:rFonts w:ascii="仿宋" w:eastAsia="仿宋" w:hAnsi="仿宋" w:cs="楷体"/>
          <w:bCs/>
          <w:sz w:val="32"/>
          <w:szCs w:val="32"/>
        </w:rPr>
      </w:pPr>
      <w:r w:rsidRPr="00230D73">
        <w:rPr>
          <w:rFonts w:ascii="仿宋" w:eastAsia="仿宋" w:hAnsi="仿宋" w:cs="楷体" w:hint="eastAsia"/>
          <w:bCs/>
          <w:sz w:val="32"/>
          <w:szCs w:val="32"/>
        </w:rPr>
        <w:t>无其它需要说明的事项。</w:t>
      </w:r>
    </w:p>
    <w:p w:rsidR="00CE24F9" w:rsidRDefault="00CE24F9" w:rsidP="00230D73">
      <w:pPr>
        <w:widowControl/>
        <w:spacing w:line="360" w:lineRule="auto"/>
        <w:ind w:firstLineChars="200" w:firstLine="420"/>
        <w:jc w:val="left"/>
        <w:rPr>
          <w:rFonts w:ascii="仿宋" w:eastAsia="仿宋" w:hAnsi="仿宋" w:cs="仿宋"/>
          <w:szCs w:val="24"/>
        </w:rPr>
      </w:pPr>
    </w:p>
    <w:p w:rsidR="00CE24F9" w:rsidRDefault="00CE24F9">
      <w:pPr>
        <w:widowControl/>
        <w:spacing w:line="360" w:lineRule="auto"/>
        <w:ind w:firstLineChars="200" w:firstLine="420"/>
        <w:jc w:val="left"/>
        <w:rPr>
          <w:rFonts w:ascii="仿宋" w:eastAsia="仿宋" w:hAnsi="仿宋" w:cs="仿宋"/>
        </w:rPr>
      </w:pPr>
    </w:p>
    <w:sectPr w:rsidR="00CE24F9">
      <w:pgSz w:w="11907" w:h="16839"/>
      <w:pgMar w:top="1020" w:right="1134" w:bottom="102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8DA" w:rsidRDefault="00D838DA" w:rsidP="009307C9">
      <w:r>
        <w:separator/>
      </w:r>
    </w:p>
  </w:endnote>
  <w:endnote w:type="continuationSeparator" w:id="0">
    <w:p w:rsidR="00D838DA" w:rsidRDefault="00D838DA" w:rsidP="0093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宋体"/>
    <w:charset w:val="86"/>
    <w:family w:val="roman"/>
    <w:pitch w:val="default"/>
  </w:font>
  <w:font w:name="方正书宋_GBK">
    <w:altName w:val="宋体"/>
    <w:charset w:val="86"/>
    <w:family w:val="roman"/>
    <w:pitch w:val="default"/>
  </w:font>
  <w:font w:name="方正仿宋_GBK">
    <w:altName w:val="宋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8DA" w:rsidRDefault="00D838DA" w:rsidP="009307C9">
      <w:r>
        <w:separator/>
      </w:r>
    </w:p>
  </w:footnote>
  <w:footnote w:type="continuationSeparator" w:id="0">
    <w:p w:rsidR="00D838DA" w:rsidRDefault="00D838DA" w:rsidP="00930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CCB38"/>
    <w:multiLevelType w:val="singleLevel"/>
    <w:tmpl w:val="58BCCB38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20"/>
  <w:drawingGridHorizontalSpacing w:val="105"/>
  <w:drawingGridVerticalSpacing w:val="159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1C4038"/>
    <w:rsid w:val="00230D73"/>
    <w:rsid w:val="00271BC2"/>
    <w:rsid w:val="002E3A95"/>
    <w:rsid w:val="002F2E76"/>
    <w:rsid w:val="00322C73"/>
    <w:rsid w:val="003838C1"/>
    <w:rsid w:val="003964D2"/>
    <w:rsid w:val="003B151D"/>
    <w:rsid w:val="003E33EE"/>
    <w:rsid w:val="00410038"/>
    <w:rsid w:val="004515A4"/>
    <w:rsid w:val="00534939"/>
    <w:rsid w:val="00573859"/>
    <w:rsid w:val="00583AB4"/>
    <w:rsid w:val="005D136A"/>
    <w:rsid w:val="00607774"/>
    <w:rsid w:val="0062621A"/>
    <w:rsid w:val="00654A92"/>
    <w:rsid w:val="00685811"/>
    <w:rsid w:val="00691041"/>
    <w:rsid w:val="006D1C5B"/>
    <w:rsid w:val="006E7D3B"/>
    <w:rsid w:val="007A507B"/>
    <w:rsid w:val="007D6BF0"/>
    <w:rsid w:val="008058DC"/>
    <w:rsid w:val="00833CE1"/>
    <w:rsid w:val="008C7744"/>
    <w:rsid w:val="0090601F"/>
    <w:rsid w:val="009307C9"/>
    <w:rsid w:val="009517E6"/>
    <w:rsid w:val="00A07D70"/>
    <w:rsid w:val="00AA0383"/>
    <w:rsid w:val="00B22F4C"/>
    <w:rsid w:val="00C029C5"/>
    <w:rsid w:val="00C06630"/>
    <w:rsid w:val="00CD391C"/>
    <w:rsid w:val="00CE24F9"/>
    <w:rsid w:val="00D838DA"/>
    <w:rsid w:val="00DC58A2"/>
    <w:rsid w:val="00E810D6"/>
    <w:rsid w:val="00F32A9D"/>
    <w:rsid w:val="00F56FFF"/>
    <w:rsid w:val="00F77235"/>
    <w:rsid w:val="00FC3CB1"/>
    <w:rsid w:val="013B67CD"/>
    <w:rsid w:val="01CA412B"/>
    <w:rsid w:val="036F0BF6"/>
    <w:rsid w:val="037D399A"/>
    <w:rsid w:val="03B213E5"/>
    <w:rsid w:val="06096D52"/>
    <w:rsid w:val="06550E5D"/>
    <w:rsid w:val="06BD37C0"/>
    <w:rsid w:val="0726741C"/>
    <w:rsid w:val="08D34D69"/>
    <w:rsid w:val="09356377"/>
    <w:rsid w:val="09E50DB9"/>
    <w:rsid w:val="0BB759F9"/>
    <w:rsid w:val="0CBF7A43"/>
    <w:rsid w:val="0DD4180B"/>
    <w:rsid w:val="1056309F"/>
    <w:rsid w:val="11CD4482"/>
    <w:rsid w:val="130B706D"/>
    <w:rsid w:val="139106CF"/>
    <w:rsid w:val="13CD73BE"/>
    <w:rsid w:val="13DB7749"/>
    <w:rsid w:val="13DE0FA8"/>
    <w:rsid w:val="163506CD"/>
    <w:rsid w:val="16694C19"/>
    <w:rsid w:val="169B588D"/>
    <w:rsid w:val="17252863"/>
    <w:rsid w:val="175940C0"/>
    <w:rsid w:val="17C16AC9"/>
    <w:rsid w:val="17FE1FFC"/>
    <w:rsid w:val="180D78B9"/>
    <w:rsid w:val="19B05E24"/>
    <w:rsid w:val="1AEF7278"/>
    <w:rsid w:val="1B2A5EA4"/>
    <w:rsid w:val="1CC97251"/>
    <w:rsid w:val="1CEB0A1C"/>
    <w:rsid w:val="1E8167C1"/>
    <w:rsid w:val="1EAA0AE1"/>
    <w:rsid w:val="20F301FC"/>
    <w:rsid w:val="21A264EC"/>
    <w:rsid w:val="21B66276"/>
    <w:rsid w:val="21DB04FB"/>
    <w:rsid w:val="228819EE"/>
    <w:rsid w:val="25F3667E"/>
    <w:rsid w:val="2716314B"/>
    <w:rsid w:val="278F3184"/>
    <w:rsid w:val="27B129E0"/>
    <w:rsid w:val="288A4B30"/>
    <w:rsid w:val="28A16476"/>
    <w:rsid w:val="28E516DB"/>
    <w:rsid w:val="299267B6"/>
    <w:rsid w:val="2A491200"/>
    <w:rsid w:val="2AD57C75"/>
    <w:rsid w:val="2BAA47A7"/>
    <w:rsid w:val="2D6205A8"/>
    <w:rsid w:val="2DCE40BA"/>
    <w:rsid w:val="2E066AE5"/>
    <w:rsid w:val="2E2777CE"/>
    <w:rsid w:val="2EE04A84"/>
    <w:rsid w:val="31D059F4"/>
    <w:rsid w:val="332A0BBD"/>
    <w:rsid w:val="3387759D"/>
    <w:rsid w:val="349D1138"/>
    <w:rsid w:val="351C5D1D"/>
    <w:rsid w:val="35CF7246"/>
    <w:rsid w:val="36DF5EE5"/>
    <w:rsid w:val="38825D9D"/>
    <w:rsid w:val="38963AA1"/>
    <w:rsid w:val="39461E7C"/>
    <w:rsid w:val="39A75722"/>
    <w:rsid w:val="3A7A4E04"/>
    <w:rsid w:val="3A7B65C1"/>
    <w:rsid w:val="3B435F9F"/>
    <w:rsid w:val="3B6E7B6E"/>
    <w:rsid w:val="3C712CD5"/>
    <w:rsid w:val="3CEC5D53"/>
    <w:rsid w:val="3D954A02"/>
    <w:rsid w:val="3DAB1C7B"/>
    <w:rsid w:val="3EFC6443"/>
    <w:rsid w:val="3F282864"/>
    <w:rsid w:val="408301F2"/>
    <w:rsid w:val="421E7A9D"/>
    <w:rsid w:val="441C57E9"/>
    <w:rsid w:val="44240E6E"/>
    <w:rsid w:val="44986D47"/>
    <w:rsid w:val="451531FC"/>
    <w:rsid w:val="456A5D0D"/>
    <w:rsid w:val="457C0C14"/>
    <w:rsid w:val="45944B1D"/>
    <w:rsid w:val="45A5719D"/>
    <w:rsid w:val="45B90BF3"/>
    <w:rsid w:val="460143F1"/>
    <w:rsid w:val="475B18CD"/>
    <w:rsid w:val="4A4F1F05"/>
    <w:rsid w:val="4B7040C7"/>
    <w:rsid w:val="4BA55C18"/>
    <w:rsid w:val="4CA957E7"/>
    <w:rsid w:val="4D9730D4"/>
    <w:rsid w:val="4DC462DE"/>
    <w:rsid w:val="4E4335D2"/>
    <w:rsid w:val="4F930A7C"/>
    <w:rsid w:val="506169B2"/>
    <w:rsid w:val="53FD2A96"/>
    <w:rsid w:val="550B5EB4"/>
    <w:rsid w:val="55CE2AFA"/>
    <w:rsid w:val="57353782"/>
    <w:rsid w:val="59AF56D7"/>
    <w:rsid w:val="5B2B3FCD"/>
    <w:rsid w:val="5BAE356C"/>
    <w:rsid w:val="5C0144BE"/>
    <w:rsid w:val="5CB07A05"/>
    <w:rsid w:val="5D5D477C"/>
    <w:rsid w:val="5ED17601"/>
    <w:rsid w:val="611477AA"/>
    <w:rsid w:val="612722D2"/>
    <w:rsid w:val="612F2391"/>
    <w:rsid w:val="61502BBC"/>
    <w:rsid w:val="61897173"/>
    <w:rsid w:val="63076A16"/>
    <w:rsid w:val="63C01227"/>
    <w:rsid w:val="63F21B1B"/>
    <w:rsid w:val="65493192"/>
    <w:rsid w:val="66593E59"/>
    <w:rsid w:val="666C26EF"/>
    <w:rsid w:val="67182F92"/>
    <w:rsid w:val="6B511389"/>
    <w:rsid w:val="6D5763C1"/>
    <w:rsid w:val="6D81148F"/>
    <w:rsid w:val="6E8006EE"/>
    <w:rsid w:val="6EAF7CB6"/>
    <w:rsid w:val="6ECC4D84"/>
    <w:rsid w:val="704C1D42"/>
    <w:rsid w:val="70BA2DA1"/>
    <w:rsid w:val="7108511B"/>
    <w:rsid w:val="71097922"/>
    <w:rsid w:val="716A56C3"/>
    <w:rsid w:val="71B87B2B"/>
    <w:rsid w:val="729B4F6A"/>
    <w:rsid w:val="733E01F4"/>
    <w:rsid w:val="7424079F"/>
    <w:rsid w:val="74D4598A"/>
    <w:rsid w:val="75965845"/>
    <w:rsid w:val="76FD3FC3"/>
    <w:rsid w:val="77C25D5F"/>
    <w:rsid w:val="7AA5545A"/>
    <w:rsid w:val="7AC26185"/>
    <w:rsid w:val="7B9D3F58"/>
    <w:rsid w:val="7BAA5900"/>
    <w:rsid w:val="7BBF4A88"/>
    <w:rsid w:val="7D9A3104"/>
    <w:rsid w:val="7DB9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">
    <w:name w:val="toc 1"/>
    <w:basedOn w:val="a"/>
    <w:next w:val="a"/>
    <w:uiPriority w:val="39"/>
    <w:unhideWhenUsed/>
    <w:qFormat/>
  </w:style>
  <w:style w:type="paragraph" w:styleId="2">
    <w:name w:val="toc 2"/>
    <w:basedOn w:val="a"/>
    <w:next w:val="a"/>
    <w:uiPriority w:val="39"/>
    <w:unhideWhenUsed/>
    <w:qFormat/>
    <w:pPr>
      <w:ind w:leftChars="200" w:left="420"/>
    </w:pPr>
  </w:style>
  <w:style w:type="character" w:customStyle="1" w:styleId="Char0">
    <w:name w:val="页眉 Char"/>
    <w:basedOn w:val="a0"/>
    <w:link w:val="a4"/>
    <w:uiPriority w:val="99"/>
    <w:semiHidden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Pr>
      <w:sz w:val="18"/>
      <w:szCs w:val="18"/>
    </w:rPr>
  </w:style>
  <w:style w:type="paragraph" w:customStyle="1" w:styleId="10">
    <w:name w:val="列出段落1"/>
    <w:basedOn w:val="a"/>
    <w:uiPriority w:val="99"/>
    <w:unhideWhenUsed/>
    <w:qFormat/>
    <w:pPr>
      <w:ind w:firstLineChars="200" w:firstLine="420"/>
    </w:pPr>
  </w:style>
  <w:style w:type="paragraph" w:customStyle="1" w:styleId="20">
    <w:name w:val="列出段落2"/>
    <w:basedOn w:val="a"/>
    <w:uiPriority w:val="99"/>
    <w:unhideWhenUsed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8FFC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1073</Words>
  <Characters>6120</Characters>
  <Application>Microsoft Office Word</Application>
  <DocSecurity>0</DocSecurity>
  <Lines>51</Lines>
  <Paragraphs>14</Paragraphs>
  <ScaleCrop>false</ScaleCrop>
  <Company>Microsoft</Company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28</cp:revision>
  <cp:lastPrinted>2016-04-01T02:44:00Z</cp:lastPrinted>
  <dcterms:created xsi:type="dcterms:W3CDTF">2016-04-01T02:15:00Z</dcterms:created>
  <dcterms:modified xsi:type="dcterms:W3CDTF">2017-11-15T06:19:00Z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