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090C7">
      <w:pPr>
        <w:jc w:val="center"/>
        <w:rPr>
          <w:rFonts w:cs="黑体" w:asciiTheme="majorEastAsia" w:hAnsiTheme="majorEastAsia" w:eastAsiaTheme="majorEastAsia"/>
          <w:b/>
          <w:sz w:val="44"/>
          <w:szCs w:val="44"/>
        </w:rPr>
      </w:pPr>
    </w:p>
    <w:p w14:paraId="553C6E3A">
      <w:pPr>
        <w:jc w:val="center"/>
        <w:rPr>
          <w:rFonts w:cs="黑体" w:asciiTheme="majorEastAsia" w:hAnsiTheme="majorEastAsia" w:eastAsiaTheme="majorEastAsia"/>
          <w:b/>
          <w:sz w:val="44"/>
          <w:szCs w:val="44"/>
        </w:rPr>
      </w:pPr>
      <w:bookmarkStart w:id="2" w:name="_GoBack"/>
      <w:r>
        <w:rPr>
          <w:rFonts w:hint="eastAsia" w:cs="黑体" w:asciiTheme="majorEastAsia" w:hAnsiTheme="majorEastAsia" w:eastAsiaTheme="majorEastAsia"/>
          <w:b/>
          <w:sz w:val="44"/>
          <w:szCs w:val="44"/>
        </w:rPr>
        <w:t>成安县文化广电和旅游局</w:t>
      </w:r>
    </w:p>
    <w:p w14:paraId="5EAD6068">
      <w:pPr>
        <w:jc w:val="center"/>
        <w:rPr>
          <w:rFonts w:cs="黑体" w:asciiTheme="majorEastAsia" w:hAnsiTheme="majorEastAsia" w:eastAsiaTheme="majorEastAsia"/>
          <w:sz w:val="44"/>
          <w:szCs w:val="44"/>
        </w:rPr>
      </w:pPr>
      <w:r>
        <w:rPr>
          <w:rFonts w:hint="eastAsia" w:cs="黑体" w:asciiTheme="majorEastAsia" w:hAnsiTheme="majorEastAsia" w:eastAsiaTheme="majorEastAsia"/>
          <w:b/>
          <w:sz w:val="44"/>
          <w:szCs w:val="44"/>
        </w:rPr>
        <w:t>202</w:t>
      </w:r>
      <w:r>
        <w:rPr>
          <w:rFonts w:hint="eastAsia" w:cs="黑体" w:asciiTheme="majorEastAsia" w:hAnsiTheme="majorEastAsia" w:eastAsiaTheme="majorEastAsia"/>
          <w:b/>
          <w:sz w:val="44"/>
          <w:szCs w:val="44"/>
          <w:lang w:val="en-US" w:eastAsia="zh-CN"/>
        </w:rPr>
        <w:t>1</w:t>
      </w:r>
      <w:r>
        <w:rPr>
          <w:rFonts w:hint="eastAsia" w:cs="黑体" w:asciiTheme="majorEastAsia" w:hAnsiTheme="majorEastAsia" w:eastAsiaTheme="majorEastAsia"/>
          <w:b/>
          <w:sz w:val="44"/>
          <w:szCs w:val="44"/>
        </w:rPr>
        <w:t>年部门预算公开情况说明</w:t>
      </w:r>
    </w:p>
    <w:bookmarkEnd w:id="2"/>
    <w:p w14:paraId="5366B91A">
      <w:pPr>
        <w:rPr>
          <w:rFonts w:ascii="黑体" w:hAnsi="黑体" w:eastAsia="黑体" w:cs="黑体"/>
          <w:sz w:val="32"/>
          <w:szCs w:val="32"/>
        </w:rPr>
      </w:pPr>
    </w:p>
    <w:p w14:paraId="1539FF6F">
      <w:pPr>
        <w:ind w:firstLine="640" w:firstLineChars="200"/>
        <w:rPr>
          <w:rFonts w:ascii="仿宋" w:hAnsi="仿宋" w:eastAsia="仿宋" w:cs="黑体"/>
          <w:sz w:val="32"/>
          <w:szCs w:val="32"/>
        </w:rPr>
      </w:pPr>
      <w:r>
        <w:rPr>
          <w:rFonts w:ascii="仿宋" w:hAnsi="仿宋" w:eastAsia="仿宋" w:cs="仿宋_GB2312"/>
          <w:sz w:val="32"/>
          <w:szCs w:val="32"/>
        </w:rPr>
        <w:t>按照</w:t>
      </w:r>
      <w:r>
        <w:rPr>
          <w:rFonts w:hint="eastAsia" w:ascii="仿宋" w:hAnsi="仿宋" w:eastAsia="仿宋" w:cs="仿宋_GB2312"/>
          <w:sz w:val="32"/>
          <w:szCs w:val="32"/>
        </w:rPr>
        <w:t>《中华人民共和国预算法》</w:t>
      </w:r>
      <w:r>
        <w:rPr>
          <w:rFonts w:ascii="仿宋" w:hAnsi="仿宋" w:eastAsia="仿宋" w:cs="仿宋_GB2312"/>
          <w:sz w:val="32"/>
          <w:szCs w:val="32"/>
        </w:rPr>
        <w:t>有关规定</w:t>
      </w:r>
      <w:r>
        <w:rPr>
          <w:rFonts w:hint="eastAsia" w:ascii="仿宋" w:hAnsi="仿宋" w:eastAsia="仿宋" w:cs="仿宋_GB2312"/>
          <w:sz w:val="32"/>
          <w:szCs w:val="32"/>
        </w:rPr>
        <w:t>和</w:t>
      </w:r>
      <w:r>
        <w:rPr>
          <w:rFonts w:ascii="仿宋" w:hAnsi="仿宋" w:eastAsia="仿宋" w:cs="仿宋_GB2312"/>
          <w:sz w:val="32"/>
          <w:szCs w:val="32"/>
        </w:rPr>
        <w:t>财政部关于印发《地方预决算公开操作规程》的通知，</w:t>
      </w:r>
      <w:r>
        <w:rPr>
          <w:rFonts w:ascii="仿宋" w:hAnsi="仿宋" w:eastAsia="仿宋" w:cs="仿宋_GB2312"/>
          <w:kern w:val="0"/>
          <w:sz w:val="32"/>
          <w:szCs w:val="32"/>
        </w:rPr>
        <w:t>现将</w:t>
      </w:r>
      <w:r>
        <w:rPr>
          <w:rFonts w:hint="eastAsia" w:ascii="仿宋" w:hAnsi="仿宋" w:eastAsia="仿宋" w:cs="仿宋_GB2312"/>
          <w:kern w:val="0"/>
          <w:sz w:val="32"/>
          <w:szCs w:val="32"/>
        </w:rPr>
        <w:t>成安县</w:t>
      </w:r>
      <w:r>
        <w:rPr>
          <w:rFonts w:hint="eastAsia" w:ascii="仿宋" w:hAnsi="仿宋" w:eastAsia="仿宋" w:cs="仿宋"/>
          <w:bCs/>
          <w:sz w:val="32"/>
          <w:szCs w:val="32"/>
        </w:rPr>
        <w:t>文化广电和旅游局</w:t>
      </w:r>
      <w:r>
        <w:rPr>
          <w:rFonts w:hint="eastAsia" w:ascii="仿宋" w:hAnsi="仿宋" w:eastAsia="仿宋" w:cs="仿宋"/>
          <w:bCs/>
          <w:kern w:val="0"/>
          <w:sz w:val="32"/>
          <w:szCs w:val="32"/>
        </w:rPr>
        <w:t>202</w:t>
      </w:r>
      <w:r>
        <w:rPr>
          <w:rFonts w:hint="eastAsia" w:ascii="仿宋" w:hAnsi="仿宋" w:eastAsia="仿宋" w:cs="仿宋"/>
          <w:bCs/>
          <w:kern w:val="0"/>
          <w:sz w:val="32"/>
          <w:szCs w:val="32"/>
          <w:lang w:val="en-US" w:eastAsia="zh-CN"/>
        </w:rPr>
        <w:t>1</w:t>
      </w:r>
      <w:r>
        <w:rPr>
          <w:rFonts w:hint="eastAsia" w:ascii="仿宋" w:hAnsi="仿宋" w:eastAsia="仿宋" w:cs="仿宋"/>
          <w:bCs/>
          <w:kern w:val="0"/>
          <w:sz w:val="32"/>
          <w:szCs w:val="32"/>
        </w:rPr>
        <w:t>年部门</w:t>
      </w:r>
      <w:r>
        <w:rPr>
          <w:rFonts w:ascii="仿宋" w:hAnsi="仿宋" w:eastAsia="仿宋" w:cs="仿宋_GB2312"/>
          <w:kern w:val="0"/>
          <w:sz w:val="32"/>
          <w:szCs w:val="32"/>
        </w:rPr>
        <w:t>预算公开如下</w:t>
      </w:r>
      <w:r>
        <w:rPr>
          <w:rFonts w:hint="eastAsia" w:ascii="仿宋" w:hAnsi="仿宋" w:eastAsia="仿宋" w:cs="仿宋_GB2312"/>
          <w:kern w:val="0"/>
          <w:sz w:val="32"/>
          <w:szCs w:val="32"/>
        </w:rPr>
        <w:t>：</w:t>
      </w:r>
    </w:p>
    <w:p w14:paraId="3BA1B413">
      <w:pPr>
        <w:ind w:firstLine="640" w:firstLineChars="200"/>
        <w:rPr>
          <w:rFonts w:ascii="黑体" w:hAnsi="黑体" w:eastAsia="黑体" w:cs="Times New Roman"/>
          <w:sz w:val="32"/>
          <w:szCs w:val="32"/>
        </w:rPr>
      </w:pPr>
      <w:r>
        <w:rPr>
          <w:rFonts w:hint="eastAsia" w:ascii="黑体" w:hAnsi="黑体" w:eastAsia="黑体" w:cs="黑体"/>
          <w:sz w:val="32"/>
          <w:szCs w:val="32"/>
        </w:rPr>
        <w:t>一、部门职责及机构设置情况</w:t>
      </w:r>
    </w:p>
    <w:p w14:paraId="7E5CD50C">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贯彻落实党中央、省委、市委和县委关于文化、创作、广播电视、网络视听节目和旅游工作的方针政策和决策部署，坚持和加强党对文化、广播电视、网络视听节目和旅游工作的集中统一领导。主要职责是：</w:t>
      </w:r>
    </w:p>
    <w:p w14:paraId="7BFB7772">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（一）贯彻执行党和国家文化、广播电视、网络视听节目和旅游工作方针政策和法律法规。研究拟订全县文化、广播电视和旅游办法措施。</w:t>
      </w:r>
    </w:p>
    <w:p w14:paraId="29A85CED">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（二）拟订全县文化事业、文化产业、广播电视领域和旅游业发展规划并组织实施，推进文化、广播电视和旅游融合发展，推进文化、广播电视和旅游体制机制改革。</w:t>
      </w:r>
    </w:p>
    <w:p w14:paraId="6857FFE9">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三）管理和组织全县性重大文化和旅游活动，组织实施全县广播电视公共服务重大公益工程和公益活动。监管全县重点文化和旅游设施建设，组织成安文化和旅游整体形象推广，促进对外合作和国际市场推广；组织推进全域旅游。</w:t>
      </w:r>
    </w:p>
    <w:p w14:paraId="42EA0969">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（四）管理全县文艺事业。指导艺术创作生产，扶持体现社会主义核心价值观、具有导向性代表性示范性的文艺作品，推动全县各门类艺术、各艺术品种发展。指导全县电视剧行业发展和电视剧创作生产。</w:t>
      </w:r>
    </w:p>
    <w:p w14:paraId="7FB12684">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（五）负责全县文化、广播电视和旅游事业发展。推动全县文化、广播电视和旅游公共服务体系建设，深入实施文化惠民工程，统筹推进全县文化、广播电视和旅游服务标准化、均等化。</w:t>
      </w:r>
    </w:p>
    <w:p w14:paraId="74E9D323">
      <w:pPr>
        <w:ind w:firstLine="600" w:firstLineChars="200"/>
        <w:rPr>
          <w:rFonts w:ascii="仿宋_GB2312" w:hAnsi="仿宋_GB2312" w:eastAsia="仿宋_GB2312" w:cs="仿宋_GB2312"/>
          <w:color w:val="FF0000"/>
          <w:sz w:val="30"/>
          <w:szCs w:val="30"/>
        </w:rPr>
      </w:pPr>
      <w:r>
        <w:rPr>
          <w:rFonts w:hint="eastAsia" w:ascii="仿宋_GB2312" w:hAnsi="仿宋_GB2312" w:eastAsia="仿宋_GB2312" w:cs="仿宋_GB2312"/>
          <w:sz w:val="30"/>
          <w:szCs w:val="30"/>
        </w:rPr>
        <w:t>（六）推进全县文化、广播电视和旅游科技创新发展，推进文化和旅游行业信息化、标准化建设；</w:t>
      </w:r>
      <w:r>
        <w:rPr>
          <w:rFonts w:hint="eastAsia" w:ascii="仿宋_GB2312" w:hAnsi="仿宋_GB2312" w:eastAsia="仿宋_GB2312" w:cs="仿宋_GB2312"/>
          <w:color w:val="000000"/>
          <w:sz w:val="30"/>
          <w:szCs w:val="30"/>
        </w:rPr>
        <w:t>负责对广播电视节目传输覆盖、监听、监看、监测的监管，指导、监管全县广播电视广告播放；推进全县应急广播体系建设，监管协调调度全县广播电视安全播出。</w:t>
      </w:r>
    </w:p>
    <w:p w14:paraId="6F0ED38E">
      <w:pPr>
        <w:pStyle w:val="2"/>
        <w:spacing w:line="560" w:lineRule="exact"/>
        <w:ind w:firstLine="600" w:firstLineChars="2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（七）负责对广播电视机构进行业务指导和监管，会同有关部门对全县网络视听节目服务机构进行管理，推进广播电视与新媒体新技术新业态融合发展，推进广电网与电信网、互联网三网融合。</w:t>
      </w:r>
    </w:p>
    <w:p w14:paraId="21D42350">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（八）负责全县非物质文化遗产保护，推动非物质文化遗产的保护、传承、普及、弘扬和振兴。</w:t>
      </w:r>
    </w:p>
    <w:p w14:paraId="3C6854FC">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（九）统筹规划全县文化产业、广播电视产业和旅游产业。组织实施文化和旅游资源普查、挖掘、保护和开发利用工作，促进文化产业、广播电视产业和旅游产业发展。</w:t>
      </w:r>
    </w:p>
    <w:p w14:paraId="161FDE41">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（十）指导全县文化、广播电视和旅游市场发展。对文化、广播电视和旅游市场经营进行行业监管，推进全县文化、广播电视和旅游行业信用体系建设，依法规范文化、广播电视和旅游市场。</w:t>
      </w:r>
    </w:p>
    <w:p w14:paraId="70345450">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（十一）监督全县文化、文物、出版、广播电视、电影、旅游等市场综合执法。督查督办大案要案，维护市场秩序。</w:t>
      </w:r>
    </w:p>
    <w:p w14:paraId="522623F3">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（十二）组织协调文化遗产的管理和保护，指导和管理文物事业，组织指导文物的保护抢救、考古发掘和开发利用工作。</w:t>
      </w:r>
    </w:p>
    <w:p w14:paraId="328DFDC3">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（十三）承担全县文化、广播电视和旅游行业安全综合协调和监督管理工作，负责全县文化、广播电视和旅游行业突发应急事件的处理工作。</w:t>
      </w:r>
    </w:p>
    <w:p w14:paraId="0AF919D5">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（十四）完成县委、县政府交办的其他任务。</w:t>
      </w:r>
    </w:p>
    <w:p w14:paraId="2CEE8CE0">
      <w:pPr>
        <w:widowControl/>
        <w:spacing w:line="360" w:lineRule="auto"/>
        <w:ind w:firstLine="960" w:firstLineChars="300"/>
        <w:jc w:val="left"/>
        <w:rPr>
          <w:rFonts w:ascii="楷体" w:hAnsi="楷体" w:eastAsia="楷体" w:cs="Calibri"/>
          <w:b/>
          <w:kern w:val="0"/>
          <w:sz w:val="32"/>
          <w:szCs w:val="32"/>
        </w:rPr>
      </w:pPr>
      <w:r>
        <w:rPr>
          <w:rFonts w:hint="eastAsia" w:ascii="楷体" w:hAnsi="楷体" w:eastAsia="楷体" w:cs="Calibri"/>
          <w:b/>
          <w:kern w:val="0"/>
          <w:sz w:val="32"/>
          <w:szCs w:val="32"/>
        </w:rPr>
        <w:t>内设</w:t>
      </w:r>
      <w:r>
        <w:rPr>
          <w:rFonts w:ascii="楷体" w:hAnsi="楷体" w:eastAsia="楷体" w:cs="Calibri"/>
          <w:b/>
          <w:kern w:val="0"/>
          <w:sz w:val="32"/>
          <w:szCs w:val="32"/>
        </w:rPr>
        <w:t>机构</w:t>
      </w:r>
      <w:r>
        <w:rPr>
          <w:rFonts w:hint="eastAsia" w:ascii="楷体" w:hAnsi="楷体" w:eastAsia="楷体" w:cs="Calibri"/>
          <w:b/>
          <w:kern w:val="0"/>
          <w:sz w:val="32"/>
          <w:szCs w:val="32"/>
        </w:rPr>
        <w:t>及职责：</w:t>
      </w:r>
    </w:p>
    <w:p w14:paraId="00D12612">
      <w:pPr>
        <w:pStyle w:val="2"/>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一）办公室。负责机关日常运转工作。组织协调机关和所属单位业务，负责重大事项的落实；承担政务公开、机要保密、信访、值班、机关安全保卫、建议提案办理和综合性大专项任务等工作。拟订全县文化、广播电视和旅游方法措施。负责重要政策调研工作；拟订全县文化、广播电视和旅游发展总体性规划并组织实施；负责全县文化、广播电视和旅游领域体制机制改革工作；开展法律法规宣传教育。承担机关行政复议和行政应诉工作。</w:t>
      </w:r>
    </w:p>
    <w:p w14:paraId="497172D9">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按有关规定拟订全县文化、广播电视和旅游行业人才队伍建设规划并组织实施。负责机关、所属单位的人事管理、机构编制及队伍建设等工作。负责部门预决算和相关财政资金管理工作；负责机关财务管理和资产相关工作；负责全县文化、广播电视和旅游统计工作；负责机关和所属单位内部审计、协调各股室政府采购工作；监督所属单位财务、财产管理；负责全县重点文化、广播电视和旅游设施建设。</w:t>
      </w:r>
    </w:p>
    <w:p w14:paraId="5526D821">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二）综合股。拟订全县音乐、舞蹈、戏曲、戏剧、美术等文艺事业发展规划和扶持方法并组织实施;扶持体现社会主义核心价值观、具有导向性代表性示范性的文艺作品和代表县级水准及成安特色的文艺院团;推动全县各门类艺术、各艺术品种发展;指导协调全县性艺术展演、展览以及重大文艺活动。电视剧制作的指导、监管工作，鼓励、引导、扶持成安电视剧精品生产。</w:t>
      </w:r>
    </w:p>
    <w:p w14:paraId="1AC338F0">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拟订全县文化和旅游公共服务办法发展规划并组织实施;承担全县文化和旅游公共服务的指导、协调和推动工作;负责旅游集散中心、咨询中心、驿站、旅游交通标识、旅游厕所、绿道、风景道建设；组织推动全县文化和旅游公共服务标准的实施;负责全县群众文化、少数民族文化、未成年人文化和老年文化工作;负责县图书馆、文化馆事业和基层综合性文化服务中心建设。拟订全县非物质文化遗产保护办法和规划并组织实施。组织开展非物质文化遗产保护工作;负责全县非物质文化遗产调查、记录、确认和建立名录;组织非物质文化遗产研究、宣传和传播工作。</w:t>
      </w:r>
    </w:p>
    <w:p w14:paraId="1660E061">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拟定全县广播电视播出机构的发展规划和政策；对广播电视播出机构和业务、广播电视节目制作机构、广播电视节目传送、有线电视付费频道、移动电视业务进行行业监督管理；对全县广播电视播出机构落实宣传管理制度进行督导检查；监督全县广播电视广告播放；组织全县广播电视节目监测工作。负责全县网络视听节目服务的发展和宣传；对信息网络和公共载体传播的视听节目进行监管，审查其内容和质量，承担节目应急处置工作；负责全县视听节目监管体系建设；协调推进广电网与电信网、互联网三网融合，推进广播电视与新媒体技术新业态创新融合发展。负责协调全县广播电视传输覆盖网和监测监管网的规划并推进建设；协调、监管全县广播电视安全播出工作和设施保护工作；负责协调卫星电视接收设施、境外卫星电视节目的落地和接收的监督管理工作；负责推进全县应急广播体系建设；协调推进广播电视公共服务均等化和城乡一体化发展，负责推进全县广播电视“户户通”工程。 </w:t>
      </w:r>
    </w:p>
    <w:p w14:paraId="0DF8ACA9">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拟订全县文化产业和旅游产业政策和发展规划并组织实施。促进文化产业相关门类和旅游产业及新型业态发展;推动全县文化产业和旅游产业投融资体系建设;促进文化和旅游与相关产业融合发展。参与全县文化产业园区基地建设相关工作。</w:t>
      </w:r>
    </w:p>
    <w:p w14:paraId="039E6B7A">
      <w:pPr>
        <w:spacing w:line="590" w:lineRule="exact"/>
        <w:ind w:firstLine="600" w:firstLineChars="200"/>
        <w:rPr>
          <w:rFonts w:ascii="仿宋_GB2312" w:hAnsi="仿宋_GB2312" w:eastAsia="仿宋_GB2312" w:cs="仿宋_GB2312"/>
          <w:color w:val="FF0000"/>
          <w:sz w:val="30"/>
          <w:szCs w:val="30"/>
        </w:rPr>
      </w:pPr>
      <w:r>
        <w:rPr>
          <w:rFonts w:hint="eastAsia" w:ascii="仿宋_GB2312" w:hAnsi="仿宋_GB2312" w:eastAsia="仿宋_GB2312" w:cs="仿宋_GB2312"/>
          <w:sz w:val="30"/>
          <w:szCs w:val="30"/>
        </w:rPr>
        <w:t>承担全县文化和旅游资源普查、规划、开发和保护。负责全县乡村旅游和旅游扶贫工作;指导推进全县全域旅游示范区、旅游度假区等创建工作;负责全县重点旅游区域、目的地、线路的规划工作;负责全县文化、广播电视和旅游产品创新及开发体系建设；承担红色旅游相关工作。</w:t>
      </w:r>
    </w:p>
    <w:p w14:paraId="29FE20A5">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拟订全县文化市场和旅游市场办法和发展规划并组织实施。对全县文化和旅游市场经营进行行业监管;组织实施全县文化和旅游行业信用体系建设;组织推动全县文化和旅游市场经营场所、设施、服务、产品等标准并监督实施;监管全县文化和旅游市场服务质量,负责并推进服务质量提升;承担全县旅游经济运行监测、假日旅游市场监督管理。指导监督全县文化、文物、出版、广播电视、电影、旅游市场综合执法工作，督查督办全县性、跨区域重大案件。</w:t>
      </w:r>
    </w:p>
    <w:p w14:paraId="5D7B14E8">
      <w:pPr>
        <w:spacing w:line="590"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研究和负责全县不可移动文物的普查、认定、保护和利用工作；负责协调考古调查、勘探、发掘以及大遗址保护工作；负责文物修缮和保护设施建设项目的组织、论证、实施和经费协调工作；申报和推荐县级、市级、省级、全国重点文物保护单位；协同城乡建设规划部门负责文物保护单位建设控制地带划定和管理，以及历史文化名城（镇、村）、历史建筑、传统村落、工业遗产保护和监督管理工作。</w:t>
      </w:r>
    </w:p>
    <w:p w14:paraId="2C55D796">
      <w:pPr>
        <w:spacing w:line="590" w:lineRule="exact"/>
        <w:ind w:firstLine="600" w:firstLineChars="200"/>
        <w:rPr>
          <w:rFonts w:ascii="仿宋_GB2312" w:hAnsi="仿宋_GB2312" w:eastAsia="仿宋_GB2312" w:cs="仿宋_GB2312"/>
          <w:sz w:val="30"/>
          <w:szCs w:val="30"/>
          <w:shd w:val="clear" w:color="auto" w:fill="FFFFFF"/>
        </w:rPr>
      </w:pPr>
      <w:r>
        <w:rPr>
          <w:rFonts w:hint="eastAsia" w:ascii="仿宋_GB2312" w:hAnsi="仿宋_GB2312" w:eastAsia="仿宋_GB2312" w:cs="仿宋_GB2312"/>
          <w:sz w:val="30"/>
          <w:szCs w:val="30"/>
        </w:rPr>
        <w:t>承担全县文化、广播电视和旅游行业安全综合协调和监督管理工作，负责全县文化、广播电视和旅游行业突发应急事件的处理工作。</w:t>
      </w:r>
      <w:r>
        <w:rPr>
          <w:rFonts w:hint="eastAsia" w:ascii="仿宋_GB2312" w:hAnsi="仿宋_GB2312" w:eastAsia="仿宋_GB2312" w:cs="仿宋_GB2312"/>
          <w:sz w:val="30"/>
          <w:szCs w:val="30"/>
          <w:shd w:val="clear" w:color="auto" w:fill="FFFFFF"/>
        </w:rPr>
        <w:t>负责全县文物安全督察工作，组织开展各级文物保护单位安全保卫督察。</w:t>
      </w:r>
    </w:p>
    <w:p w14:paraId="1C083007">
      <w:pPr>
        <w:spacing w:line="590" w:lineRule="exact"/>
        <w:ind w:firstLine="600" w:firstLineChars="200"/>
        <w:rPr>
          <w:rFonts w:ascii="仿宋_GB2312" w:hAnsi="仿宋_GB2312" w:eastAsia="仿宋_GB2312" w:cs="仿宋_GB2312"/>
          <w:sz w:val="30"/>
          <w:szCs w:val="30"/>
          <w:shd w:val="clear" w:color="auto" w:fill="FFFFFF"/>
        </w:rPr>
      </w:pPr>
      <w:r>
        <w:rPr>
          <w:rFonts w:hint="eastAsia" w:ascii="仿宋_GB2312" w:hAnsi="仿宋_GB2312" w:eastAsia="仿宋_GB2312" w:cs="仿宋_GB2312"/>
          <w:sz w:val="30"/>
          <w:szCs w:val="30"/>
        </w:rPr>
        <w:t>拟订全县文化、广播电视和旅游对外及对港澳台交流合作办法。组织全县文化和旅游形象推广;指导管理全县文化、广播电视和旅游对外及对港澳台交流、合作;指导并承办文化、广播电视和旅游对外合作协定及其他合作文件的商签工作;承担政府、民间及国际组织在文化、广播电视和旅游领域交流合作相关事务;组织实施大型文化、广播电视和旅游活动。承担机关新闻宣传、信息发布及政务信息化建设工作。拟订全县广播电视、旅游科技创新发展规划和艺术科研规划并组织实施。组织开展文化、广播电视和旅游科研工作及成果推广;组织协调全县文化、广播电视和旅游行业信息化、标准化工作;负责全县文化、广播电视和旅游装备技术提升工作。</w:t>
      </w:r>
    </w:p>
    <w:p w14:paraId="4CEFB798">
      <w:pPr>
        <w:spacing w:line="590" w:lineRule="exact"/>
        <w:ind w:firstLine="640" w:firstLineChars="200"/>
        <w:jc w:val="left"/>
        <w:rPr>
          <w:rFonts w:ascii="仿宋_GB2312" w:hAnsi="仿宋_GB2312" w:eastAsia="仿宋_GB2312" w:cs="仿宋_GB2312"/>
          <w:spacing w:val="6"/>
          <w:sz w:val="30"/>
          <w:szCs w:val="30"/>
        </w:rPr>
      </w:pPr>
      <w:r>
        <w:rPr>
          <w:rFonts w:hint="eastAsia" w:ascii="仿宋" w:hAnsi="仿宋" w:eastAsia="仿宋"/>
          <w:sz w:val="32"/>
          <w:szCs w:val="32"/>
        </w:rPr>
        <w:t>机关行政编制7名，股级领导职数2名。科级领导职数设置另行明确。所属事业单位的设置、职责和编制事项另行规定。</w:t>
      </w:r>
    </w:p>
    <w:p w14:paraId="08376059">
      <w:pPr>
        <w:widowControl/>
        <w:spacing w:line="360" w:lineRule="auto"/>
        <w:ind w:firstLine="640"/>
        <w:jc w:val="left"/>
        <w:rPr>
          <w:rFonts w:ascii="仿宋" w:hAnsi="仿宋" w:eastAsia="仿宋" w:cs="仿宋"/>
          <w:bCs/>
          <w:kern w:val="0"/>
          <w:sz w:val="32"/>
          <w:szCs w:val="32"/>
        </w:rPr>
      </w:pPr>
      <w:r>
        <w:rPr>
          <w:rFonts w:hint="eastAsia" w:ascii="楷体" w:hAnsi="楷体" w:eastAsia="楷体" w:cs="方正仿宋_GBK"/>
          <w:b/>
          <w:bCs/>
          <w:sz w:val="32"/>
          <w:szCs w:val="32"/>
        </w:rPr>
        <w:t>机构设置</w:t>
      </w:r>
      <w:r>
        <w:rPr>
          <w:rFonts w:hint="eastAsia" w:ascii="仿宋" w:hAnsi="仿宋" w:eastAsia="仿宋" w:cs="方正仿宋_GBK"/>
          <w:b/>
          <w:bCs/>
          <w:sz w:val="32"/>
          <w:szCs w:val="32"/>
        </w:rPr>
        <w:t>：</w:t>
      </w:r>
    </w:p>
    <w:p w14:paraId="4E0AF141">
      <w:pPr>
        <w:jc w:val="center"/>
        <w:outlineLvl w:val="0"/>
        <w:rPr>
          <w:rFonts w:ascii="仿宋" w:hAnsi="仿宋" w:eastAsia="仿宋" w:cs="方正小标宋_GBK"/>
          <w:sz w:val="32"/>
          <w:szCs w:val="32"/>
        </w:rPr>
      </w:pPr>
    </w:p>
    <w:p w14:paraId="2EAE7BA9">
      <w:pPr>
        <w:jc w:val="center"/>
        <w:outlineLvl w:val="0"/>
        <w:rPr>
          <w:rFonts w:ascii="仿宋" w:hAnsi="仿宋" w:eastAsia="仿宋" w:cs="方正小标宋_GBK"/>
          <w:sz w:val="32"/>
          <w:szCs w:val="32"/>
        </w:rPr>
      </w:pPr>
    </w:p>
    <w:p w14:paraId="73D534C8">
      <w:pPr>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7"/>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17"/>
        <w:gridCol w:w="1134"/>
        <w:gridCol w:w="1276"/>
        <w:gridCol w:w="2902"/>
      </w:tblGrid>
      <w:tr w14:paraId="06E63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restart"/>
            <w:vAlign w:val="center"/>
          </w:tcPr>
          <w:p w14:paraId="3B841AE8">
            <w:pPr>
              <w:spacing w:line="300" w:lineRule="exact"/>
              <w:jc w:val="center"/>
              <w:rPr>
                <w:rFonts w:cs="Times New Roman" w:asciiTheme="minorEastAsia" w:hAnsiTheme="minorEastAsia"/>
                <w:b/>
                <w:bCs/>
              </w:rPr>
            </w:pPr>
            <w:r>
              <w:rPr>
                <w:rFonts w:hint="eastAsia" w:cs="方正书宋_GBK" w:asciiTheme="minorEastAsia" w:hAnsiTheme="minorEastAsia"/>
                <w:b/>
                <w:bCs/>
              </w:rPr>
              <w:t>单位名称</w:t>
            </w:r>
          </w:p>
        </w:tc>
        <w:tc>
          <w:tcPr>
            <w:tcW w:w="1134" w:type="dxa"/>
            <w:vMerge w:val="restart"/>
            <w:vAlign w:val="center"/>
          </w:tcPr>
          <w:p w14:paraId="134D034E">
            <w:pPr>
              <w:spacing w:line="300" w:lineRule="exact"/>
              <w:jc w:val="center"/>
              <w:rPr>
                <w:rFonts w:cs="Times New Roman" w:asciiTheme="minorEastAsia" w:hAnsiTheme="minorEastAsia"/>
                <w:b/>
                <w:bCs/>
              </w:rPr>
            </w:pPr>
            <w:r>
              <w:rPr>
                <w:rFonts w:hint="eastAsia" w:cs="方正书宋_GBK" w:asciiTheme="minorEastAsia" w:hAnsiTheme="minorEastAsia"/>
                <w:b/>
                <w:bCs/>
              </w:rPr>
              <w:t>单位性质</w:t>
            </w:r>
          </w:p>
        </w:tc>
        <w:tc>
          <w:tcPr>
            <w:tcW w:w="1276" w:type="dxa"/>
            <w:vMerge w:val="restart"/>
            <w:vAlign w:val="center"/>
          </w:tcPr>
          <w:p w14:paraId="6B167DED">
            <w:pPr>
              <w:spacing w:line="300" w:lineRule="exact"/>
              <w:jc w:val="center"/>
              <w:rPr>
                <w:rFonts w:cs="Times New Roman" w:asciiTheme="minorEastAsia" w:hAnsiTheme="minorEastAsia"/>
                <w:b/>
                <w:bCs/>
              </w:rPr>
            </w:pPr>
            <w:r>
              <w:rPr>
                <w:rFonts w:hint="eastAsia" w:cs="方正书宋_GBK" w:asciiTheme="minorEastAsia" w:hAnsiTheme="minorEastAsia"/>
                <w:b/>
                <w:bCs/>
              </w:rPr>
              <w:t>单位规格</w:t>
            </w:r>
          </w:p>
        </w:tc>
        <w:tc>
          <w:tcPr>
            <w:tcW w:w="2902" w:type="dxa"/>
            <w:vMerge w:val="restart"/>
            <w:vAlign w:val="center"/>
          </w:tcPr>
          <w:p w14:paraId="63BE1171">
            <w:pPr>
              <w:spacing w:line="300" w:lineRule="exact"/>
              <w:jc w:val="center"/>
              <w:rPr>
                <w:rFonts w:cs="Times New Roman" w:asciiTheme="minorEastAsia" w:hAnsiTheme="minorEastAsia"/>
                <w:b/>
                <w:bCs/>
              </w:rPr>
            </w:pPr>
            <w:r>
              <w:rPr>
                <w:rFonts w:hint="eastAsia" w:cs="方正书宋_GBK" w:asciiTheme="minorEastAsia" w:hAnsiTheme="minorEastAsia"/>
                <w:b/>
                <w:bCs/>
              </w:rPr>
              <w:t>经费保障形式</w:t>
            </w:r>
          </w:p>
        </w:tc>
      </w:tr>
      <w:tr w14:paraId="6C84F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317" w:type="dxa"/>
            <w:vMerge w:val="continue"/>
            <w:vAlign w:val="center"/>
          </w:tcPr>
          <w:p w14:paraId="22413054">
            <w:pPr>
              <w:spacing w:line="300" w:lineRule="exact"/>
              <w:jc w:val="left"/>
              <w:outlineLvl w:val="0"/>
              <w:rPr>
                <w:rFonts w:cs="Times New Roman" w:asciiTheme="minorEastAsia" w:hAnsiTheme="minorEastAsia"/>
              </w:rPr>
            </w:pPr>
          </w:p>
        </w:tc>
        <w:tc>
          <w:tcPr>
            <w:tcW w:w="1134" w:type="dxa"/>
            <w:vMerge w:val="continue"/>
            <w:vAlign w:val="center"/>
          </w:tcPr>
          <w:p w14:paraId="043E83D6">
            <w:pPr>
              <w:spacing w:line="300" w:lineRule="exact"/>
              <w:jc w:val="left"/>
              <w:outlineLvl w:val="0"/>
              <w:rPr>
                <w:rFonts w:cs="Times New Roman" w:asciiTheme="minorEastAsia" w:hAnsiTheme="minorEastAsia"/>
              </w:rPr>
            </w:pPr>
          </w:p>
        </w:tc>
        <w:tc>
          <w:tcPr>
            <w:tcW w:w="1276" w:type="dxa"/>
            <w:vMerge w:val="continue"/>
            <w:vAlign w:val="center"/>
          </w:tcPr>
          <w:p w14:paraId="1D5CBA1F">
            <w:pPr>
              <w:spacing w:line="300" w:lineRule="exact"/>
              <w:jc w:val="left"/>
              <w:outlineLvl w:val="0"/>
              <w:rPr>
                <w:rFonts w:cs="Times New Roman" w:asciiTheme="minorEastAsia" w:hAnsiTheme="minorEastAsia"/>
              </w:rPr>
            </w:pPr>
          </w:p>
        </w:tc>
        <w:tc>
          <w:tcPr>
            <w:tcW w:w="2902" w:type="dxa"/>
            <w:vMerge w:val="continue"/>
            <w:vAlign w:val="center"/>
          </w:tcPr>
          <w:p w14:paraId="0993E06A">
            <w:pPr>
              <w:spacing w:line="300" w:lineRule="exact"/>
              <w:jc w:val="left"/>
              <w:outlineLvl w:val="0"/>
              <w:rPr>
                <w:rFonts w:cs="Times New Roman" w:asciiTheme="minorEastAsia" w:hAnsiTheme="minorEastAsia"/>
              </w:rPr>
            </w:pPr>
          </w:p>
        </w:tc>
      </w:tr>
      <w:tr w14:paraId="621A2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54" w:hRule="atLeast"/>
          <w:jc w:val="center"/>
        </w:trPr>
        <w:tc>
          <w:tcPr>
            <w:tcW w:w="3317" w:type="dxa"/>
          </w:tcPr>
          <w:p w14:paraId="65B5DAEC">
            <w:pPr>
              <w:widowControl/>
              <w:spacing w:line="360" w:lineRule="auto"/>
              <w:rPr>
                <w:rFonts w:cs="仿宋" w:asciiTheme="minorEastAsia" w:hAnsiTheme="minorEastAsia"/>
                <w:bCs/>
                <w:kern w:val="0"/>
                <w:szCs w:val="21"/>
              </w:rPr>
            </w:pPr>
            <w:r>
              <w:rPr>
                <w:rFonts w:hint="eastAsia" w:cs="黑体" w:asciiTheme="majorEastAsia" w:hAnsiTheme="majorEastAsia" w:eastAsiaTheme="majorEastAsia"/>
                <w:szCs w:val="21"/>
              </w:rPr>
              <w:t>成安县文化广电和旅游局</w:t>
            </w:r>
          </w:p>
        </w:tc>
        <w:tc>
          <w:tcPr>
            <w:tcW w:w="1134" w:type="dxa"/>
            <w:vAlign w:val="center"/>
          </w:tcPr>
          <w:p w14:paraId="590FBC32">
            <w:pPr>
              <w:spacing w:line="300" w:lineRule="exact"/>
              <w:jc w:val="left"/>
              <w:rPr>
                <w:rFonts w:cs="Times New Roman" w:asciiTheme="minorEastAsia" w:hAnsiTheme="minorEastAsia"/>
              </w:rPr>
            </w:pPr>
            <w:r>
              <w:rPr>
                <w:rFonts w:hint="eastAsia" w:cs="Times New Roman" w:asciiTheme="minorEastAsia" w:hAnsiTheme="minorEastAsia"/>
              </w:rPr>
              <w:t>行政</w:t>
            </w:r>
          </w:p>
        </w:tc>
        <w:tc>
          <w:tcPr>
            <w:tcW w:w="1276" w:type="dxa"/>
            <w:vAlign w:val="center"/>
          </w:tcPr>
          <w:p w14:paraId="585FAB88">
            <w:pPr>
              <w:spacing w:line="300" w:lineRule="exact"/>
              <w:jc w:val="left"/>
              <w:rPr>
                <w:rFonts w:cs="Times New Roman" w:asciiTheme="minorEastAsia" w:hAnsiTheme="minorEastAsia"/>
              </w:rPr>
            </w:pPr>
            <w:r>
              <w:rPr>
                <w:rFonts w:hint="eastAsia" w:cs="Times New Roman" w:asciiTheme="minorEastAsia" w:hAnsiTheme="minorEastAsia"/>
              </w:rPr>
              <w:t>正科</w:t>
            </w:r>
          </w:p>
        </w:tc>
        <w:tc>
          <w:tcPr>
            <w:tcW w:w="2902" w:type="dxa"/>
            <w:vAlign w:val="center"/>
          </w:tcPr>
          <w:p w14:paraId="3475D477">
            <w:pPr>
              <w:spacing w:line="300" w:lineRule="exact"/>
              <w:jc w:val="left"/>
              <w:rPr>
                <w:rFonts w:cs="Times New Roman" w:asciiTheme="minorEastAsia" w:hAnsiTheme="minorEastAsia"/>
              </w:rPr>
            </w:pPr>
            <w:r>
              <w:rPr>
                <w:rFonts w:hint="eastAsia" w:cs="Times New Roman" w:asciiTheme="minorEastAsia" w:hAnsiTheme="minorEastAsia"/>
              </w:rPr>
              <w:t>财政拨款</w:t>
            </w:r>
          </w:p>
        </w:tc>
      </w:tr>
    </w:tbl>
    <w:p w14:paraId="3C720A55">
      <w:pPr>
        <w:spacing w:line="560" w:lineRule="exact"/>
        <w:rPr>
          <w:rFonts w:ascii="黑体" w:hAnsi="黑体" w:eastAsia="黑体" w:cs="黑体"/>
          <w:sz w:val="32"/>
          <w:szCs w:val="32"/>
        </w:rPr>
      </w:pPr>
      <w:r>
        <w:rPr>
          <w:rFonts w:hint="eastAsia" w:ascii="仿宋" w:hAnsi="仿宋" w:eastAsia="仿宋" w:cs="Times New Roman"/>
          <w:sz w:val="32"/>
          <w:szCs w:val="32"/>
        </w:rPr>
        <w:t>　　</w:t>
      </w:r>
      <w:r>
        <w:rPr>
          <w:rFonts w:hint="eastAsia" w:ascii="黑体" w:hAnsi="黑体" w:eastAsia="黑体" w:cs="黑体"/>
          <w:sz w:val="32"/>
          <w:szCs w:val="32"/>
        </w:rPr>
        <w:t>二、部门预算安排的总体情况</w:t>
      </w:r>
    </w:p>
    <w:p w14:paraId="5E6BC306">
      <w:pPr>
        <w:spacing w:line="560" w:lineRule="exact"/>
        <w:ind w:firstLine="640"/>
        <w:rPr>
          <w:rFonts w:ascii="仿宋" w:hAnsi="仿宋" w:eastAsia="仿宋" w:cs="方正仿宋_GBK"/>
          <w:sz w:val="32"/>
          <w:szCs w:val="32"/>
        </w:rPr>
      </w:pPr>
      <w:r>
        <w:rPr>
          <w:rFonts w:hint="eastAsia" w:ascii="仿宋" w:hAnsi="仿宋" w:eastAsia="仿宋" w:cs="方正仿宋_GBK"/>
          <w:sz w:val="32"/>
          <w:szCs w:val="32"/>
        </w:rPr>
        <w:t>按照预算管理有关规定，目前我部门预算的编制实行综合预算制度，即全部收入和支出都反映在预算中。</w:t>
      </w:r>
    </w:p>
    <w:p w14:paraId="404AA512">
      <w:pPr>
        <w:spacing w:line="560" w:lineRule="exact"/>
        <w:ind w:firstLine="640"/>
        <w:rPr>
          <w:rFonts w:ascii="楷体" w:hAnsi="楷体" w:eastAsia="楷体" w:cs="楷体"/>
          <w:b/>
          <w:bCs/>
          <w:sz w:val="32"/>
          <w:szCs w:val="32"/>
        </w:rPr>
      </w:pPr>
      <w:r>
        <w:rPr>
          <w:rFonts w:ascii="楷体" w:hAnsi="楷体" w:eastAsia="楷体" w:cs="楷体"/>
          <w:b/>
          <w:bCs/>
          <w:sz w:val="32"/>
          <w:szCs w:val="32"/>
        </w:rPr>
        <w:t>1</w:t>
      </w:r>
      <w:r>
        <w:rPr>
          <w:rFonts w:hint="eastAsia" w:ascii="楷体" w:hAnsi="楷体" w:eastAsia="楷体" w:cs="楷体"/>
          <w:b/>
          <w:bCs/>
          <w:sz w:val="32"/>
          <w:szCs w:val="32"/>
        </w:rPr>
        <w:t>、收入说明</w:t>
      </w:r>
    </w:p>
    <w:p w14:paraId="463D0516">
      <w:pPr>
        <w:spacing w:line="560" w:lineRule="exact"/>
        <w:ind w:firstLine="640"/>
        <w:rPr>
          <w:rFonts w:ascii="仿宋" w:hAnsi="仿宋" w:eastAsia="仿宋" w:cs="方正仿宋_GBK"/>
          <w:sz w:val="32"/>
          <w:szCs w:val="32"/>
        </w:rPr>
      </w:pPr>
      <w:r>
        <w:rPr>
          <w:rFonts w:hint="eastAsia" w:ascii="仿宋" w:hAnsi="仿宋" w:eastAsia="仿宋" w:cs="Times New Roman"/>
          <w:sz w:val="32"/>
          <w:szCs w:val="32"/>
        </w:rPr>
        <w:t>202</w:t>
      </w:r>
      <w:r>
        <w:rPr>
          <w:rFonts w:hint="eastAsia" w:ascii="仿宋" w:hAnsi="仿宋" w:eastAsia="仿宋" w:cs="Times New Roman"/>
          <w:sz w:val="32"/>
          <w:szCs w:val="32"/>
          <w:lang w:val="en-US" w:eastAsia="zh-CN"/>
        </w:rPr>
        <w:t>1</w:t>
      </w:r>
      <w:r>
        <w:rPr>
          <w:rFonts w:hint="eastAsia" w:ascii="仿宋" w:hAnsi="仿宋" w:eastAsia="仿宋" w:cs="方正仿宋_GBK"/>
          <w:sz w:val="32"/>
          <w:szCs w:val="32"/>
        </w:rPr>
        <w:t>年预算收入</w:t>
      </w:r>
      <w:r>
        <w:rPr>
          <w:rFonts w:hint="eastAsia" w:ascii="仿宋" w:hAnsi="仿宋" w:eastAsia="仿宋" w:cs="方正仿宋_GBK"/>
          <w:sz w:val="32"/>
          <w:szCs w:val="32"/>
          <w:lang w:val="en-US" w:eastAsia="zh-CN"/>
        </w:rPr>
        <w:t>270.26</w:t>
      </w:r>
      <w:r>
        <w:rPr>
          <w:rFonts w:hint="eastAsia" w:ascii="仿宋" w:hAnsi="仿宋" w:eastAsia="仿宋" w:cs="方正仿宋_GBK"/>
          <w:sz w:val="32"/>
          <w:szCs w:val="32"/>
        </w:rPr>
        <w:t>万元，其中：一般公共预算收入</w:t>
      </w:r>
      <w:r>
        <w:rPr>
          <w:rFonts w:hint="eastAsia" w:ascii="仿宋" w:hAnsi="仿宋" w:eastAsia="仿宋" w:cs="方正仿宋_GBK"/>
          <w:sz w:val="32"/>
          <w:szCs w:val="32"/>
          <w:lang w:val="en-US" w:eastAsia="zh-CN"/>
        </w:rPr>
        <w:t>270.26</w:t>
      </w:r>
      <w:r>
        <w:rPr>
          <w:rFonts w:hint="eastAsia" w:ascii="仿宋" w:hAnsi="仿宋" w:eastAsia="仿宋" w:cs="方正仿宋_GBK"/>
          <w:sz w:val="32"/>
          <w:szCs w:val="32"/>
        </w:rPr>
        <w:t>万元，政府性基金收入0万元，国有资本经营收入0万元，事业收入0万元，其他收入0万元。</w:t>
      </w:r>
    </w:p>
    <w:p w14:paraId="4E53052D">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2</w:t>
      </w:r>
      <w:r>
        <w:rPr>
          <w:rFonts w:hint="eastAsia" w:ascii="楷体" w:hAnsi="楷体" w:eastAsia="楷体" w:cs="楷体"/>
          <w:b/>
          <w:bCs/>
          <w:sz w:val="32"/>
          <w:szCs w:val="32"/>
        </w:rPr>
        <w:t>、支出说明</w:t>
      </w:r>
    </w:p>
    <w:p w14:paraId="0989C27D">
      <w:pPr>
        <w:spacing w:line="560" w:lineRule="exact"/>
        <w:ind w:firstLine="640"/>
        <w:rPr>
          <w:rFonts w:ascii="仿宋" w:hAnsi="仿宋" w:eastAsia="仿宋" w:cs="Times New Roman"/>
          <w:sz w:val="32"/>
          <w:szCs w:val="32"/>
        </w:rPr>
      </w:pPr>
      <w:r>
        <w:rPr>
          <w:rFonts w:hint="eastAsia" w:ascii="仿宋" w:hAnsi="仿宋" w:eastAsia="仿宋" w:cs="Times New Roman"/>
          <w:sz w:val="32"/>
          <w:szCs w:val="32"/>
        </w:rPr>
        <w:t>202</w:t>
      </w:r>
      <w:r>
        <w:rPr>
          <w:rFonts w:hint="eastAsia" w:ascii="仿宋" w:hAnsi="仿宋" w:eastAsia="仿宋" w:cs="Times New Roman"/>
          <w:sz w:val="32"/>
          <w:szCs w:val="32"/>
          <w:lang w:val="en-US" w:eastAsia="zh-CN"/>
        </w:rPr>
        <w:t>1</w:t>
      </w:r>
      <w:r>
        <w:rPr>
          <w:rFonts w:hint="eastAsia" w:ascii="仿宋" w:hAnsi="仿宋" w:eastAsia="仿宋" w:cs="方正仿宋_GBK"/>
          <w:sz w:val="32"/>
          <w:szCs w:val="32"/>
        </w:rPr>
        <w:t>年支出预算</w:t>
      </w:r>
      <w:r>
        <w:rPr>
          <w:rFonts w:hint="eastAsia" w:ascii="仿宋" w:hAnsi="仿宋" w:eastAsia="仿宋" w:cs="方正仿宋_GBK"/>
          <w:sz w:val="32"/>
          <w:szCs w:val="32"/>
          <w:lang w:val="en-US" w:eastAsia="zh-CN"/>
        </w:rPr>
        <w:t>270.26</w:t>
      </w:r>
      <w:r>
        <w:rPr>
          <w:rFonts w:hint="eastAsia" w:ascii="仿宋" w:hAnsi="仿宋" w:eastAsia="仿宋" w:cs="方正仿宋_GBK"/>
          <w:sz w:val="32"/>
          <w:szCs w:val="32"/>
        </w:rPr>
        <w:t>万元，其中基本支出</w:t>
      </w:r>
      <w:r>
        <w:rPr>
          <w:rFonts w:hint="eastAsia" w:ascii="仿宋" w:hAnsi="仿宋" w:eastAsia="仿宋" w:cs="方正仿宋_GBK"/>
          <w:sz w:val="32"/>
          <w:szCs w:val="32"/>
          <w:lang w:val="en-US" w:eastAsia="zh-CN"/>
        </w:rPr>
        <w:t>72.74</w:t>
      </w:r>
      <w:r>
        <w:rPr>
          <w:rFonts w:hint="eastAsia" w:ascii="仿宋" w:hAnsi="仿宋" w:eastAsia="仿宋" w:cs="方正仿宋_GBK"/>
          <w:sz w:val="32"/>
          <w:szCs w:val="32"/>
        </w:rPr>
        <w:t>万元，包括人员经费和日常公用经费；项目支出</w:t>
      </w:r>
      <w:r>
        <w:rPr>
          <w:rFonts w:hint="eastAsia" w:ascii="仿宋_GB2312" w:hAnsi="Calibri" w:eastAsia="仿宋_GB2312" w:cs="仿宋_GB2312"/>
          <w:kern w:val="0"/>
          <w:sz w:val="32"/>
          <w:szCs w:val="32"/>
          <w:lang w:val="en-US" w:eastAsia="zh-CN"/>
        </w:rPr>
        <w:t>197.52</w:t>
      </w:r>
      <w:r>
        <w:rPr>
          <w:rFonts w:hint="eastAsia" w:ascii="仿宋" w:hAnsi="仿宋" w:eastAsia="仿宋" w:cs="方正仿宋_GBK"/>
          <w:sz w:val="32"/>
          <w:szCs w:val="32"/>
        </w:rPr>
        <w:t>万元，主要为上级下达的文化旅游专项资金。</w:t>
      </w:r>
    </w:p>
    <w:p w14:paraId="753F13BD">
      <w:pPr>
        <w:spacing w:line="560" w:lineRule="exact"/>
        <w:ind w:firstLine="640"/>
        <w:rPr>
          <w:rFonts w:ascii="楷体" w:hAnsi="楷体" w:eastAsia="楷体" w:cs="Times New Roman"/>
          <w:b/>
          <w:bCs/>
          <w:sz w:val="32"/>
          <w:szCs w:val="32"/>
        </w:rPr>
      </w:pPr>
      <w:r>
        <w:rPr>
          <w:rFonts w:ascii="楷体" w:hAnsi="楷体" w:eastAsia="楷体" w:cs="楷体"/>
          <w:b/>
          <w:bCs/>
          <w:sz w:val="32"/>
          <w:szCs w:val="32"/>
        </w:rPr>
        <w:t>3</w:t>
      </w:r>
      <w:r>
        <w:rPr>
          <w:rFonts w:hint="eastAsia" w:ascii="楷体" w:hAnsi="楷体" w:eastAsia="楷体" w:cs="楷体"/>
          <w:b/>
          <w:bCs/>
          <w:sz w:val="32"/>
          <w:szCs w:val="32"/>
        </w:rPr>
        <w:t>、比上年增减变化情况</w:t>
      </w:r>
    </w:p>
    <w:p w14:paraId="398D552A">
      <w:pPr>
        <w:spacing w:line="560" w:lineRule="exact"/>
        <w:ind w:firstLine="640"/>
        <w:rPr>
          <w:rFonts w:ascii="仿宋" w:hAnsi="仿宋" w:eastAsia="仿宋" w:cs="Times New Roman"/>
          <w:sz w:val="32"/>
          <w:szCs w:val="32"/>
        </w:rPr>
      </w:pPr>
      <w:r>
        <w:rPr>
          <w:rFonts w:hint="eastAsia" w:ascii="仿宋" w:hAnsi="仿宋" w:eastAsia="仿宋" w:cs="Times New Roman"/>
          <w:sz w:val="32"/>
          <w:szCs w:val="32"/>
        </w:rPr>
        <w:t>202</w:t>
      </w:r>
      <w:r>
        <w:rPr>
          <w:rFonts w:hint="eastAsia" w:ascii="仿宋" w:hAnsi="仿宋" w:eastAsia="仿宋" w:cs="Times New Roman"/>
          <w:sz w:val="32"/>
          <w:szCs w:val="32"/>
          <w:lang w:val="en-US" w:eastAsia="zh-CN"/>
        </w:rPr>
        <w:t>1</w:t>
      </w:r>
      <w:r>
        <w:rPr>
          <w:rFonts w:hint="eastAsia" w:ascii="仿宋" w:hAnsi="仿宋" w:eastAsia="仿宋" w:cs="方正仿宋_GBK"/>
          <w:sz w:val="32"/>
          <w:szCs w:val="32"/>
        </w:rPr>
        <w:t>年预算收支安排</w:t>
      </w:r>
      <w:r>
        <w:rPr>
          <w:rFonts w:hint="eastAsia" w:ascii="仿宋" w:hAnsi="仿宋" w:eastAsia="仿宋" w:cs="方正仿宋_GBK"/>
          <w:sz w:val="32"/>
          <w:szCs w:val="32"/>
          <w:lang w:val="en-US" w:eastAsia="zh-CN"/>
        </w:rPr>
        <w:t>270.26</w:t>
      </w:r>
      <w:r>
        <w:rPr>
          <w:rFonts w:hint="eastAsia" w:ascii="仿宋" w:hAnsi="仿宋" w:eastAsia="仿宋" w:cs="方正仿宋_GBK"/>
          <w:sz w:val="32"/>
          <w:szCs w:val="32"/>
        </w:rPr>
        <w:t>万元，较</w:t>
      </w:r>
      <w:r>
        <w:rPr>
          <w:rFonts w:hint="eastAsia" w:ascii="仿宋" w:hAnsi="仿宋" w:eastAsia="仿宋" w:cs="Times New Roman"/>
          <w:sz w:val="32"/>
          <w:szCs w:val="32"/>
        </w:rPr>
        <w:t>20</w:t>
      </w:r>
      <w:r>
        <w:rPr>
          <w:rFonts w:hint="eastAsia" w:ascii="仿宋" w:hAnsi="仿宋" w:eastAsia="仿宋" w:cs="Times New Roman"/>
          <w:sz w:val="32"/>
          <w:szCs w:val="32"/>
          <w:lang w:val="en-US" w:eastAsia="zh-CN"/>
        </w:rPr>
        <w:t>20</w:t>
      </w:r>
      <w:r>
        <w:rPr>
          <w:rFonts w:hint="eastAsia" w:ascii="仿宋" w:hAnsi="仿宋" w:eastAsia="仿宋" w:cs="方正仿宋_GBK"/>
          <w:sz w:val="32"/>
          <w:szCs w:val="32"/>
        </w:rPr>
        <w:t>年预算减少</w:t>
      </w:r>
      <w:r>
        <w:rPr>
          <w:rFonts w:hint="eastAsia" w:ascii="仿宋" w:hAnsi="仿宋" w:eastAsia="仿宋" w:cs="方正仿宋_GBK"/>
          <w:sz w:val="32"/>
          <w:szCs w:val="32"/>
          <w:lang w:val="en-US" w:eastAsia="zh-CN"/>
        </w:rPr>
        <w:t>310.66</w:t>
      </w:r>
      <w:r>
        <w:rPr>
          <w:rFonts w:hint="eastAsia" w:ascii="仿宋" w:hAnsi="仿宋" w:eastAsia="仿宋" w:cs="方正仿宋_GBK"/>
          <w:sz w:val="32"/>
          <w:szCs w:val="32"/>
        </w:rPr>
        <w:t>万元，主要202</w:t>
      </w:r>
      <w:r>
        <w:rPr>
          <w:rFonts w:hint="eastAsia" w:ascii="仿宋" w:hAnsi="仿宋" w:eastAsia="仿宋" w:cs="方正仿宋_GBK"/>
          <w:sz w:val="32"/>
          <w:szCs w:val="32"/>
          <w:lang w:val="en-US" w:eastAsia="zh-CN"/>
        </w:rPr>
        <w:t>1</w:t>
      </w:r>
      <w:r>
        <w:rPr>
          <w:rFonts w:hint="eastAsia" w:ascii="仿宋" w:hAnsi="仿宋" w:eastAsia="仿宋" w:cs="方正仿宋_GBK"/>
          <w:sz w:val="32"/>
          <w:szCs w:val="32"/>
        </w:rPr>
        <w:t>年提前下达专款减少。</w:t>
      </w:r>
    </w:p>
    <w:p w14:paraId="2AF4916E">
      <w:pPr>
        <w:autoSpaceDE w:val="0"/>
        <w:autoSpaceDN w:val="0"/>
        <w:adjustRightInd w:val="0"/>
        <w:spacing w:line="560" w:lineRule="exact"/>
        <w:ind w:left="198"/>
        <w:jc w:val="left"/>
        <w:rPr>
          <w:rFonts w:ascii="黑体" w:hAnsi="黑体" w:eastAsia="黑体" w:cs="黑体"/>
          <w:sz w:val="32"/>
          <w:szCs w:val="32"/>
        </w:rPr>
      </w:pPr>
      <w:r>
        <w:rPr>
          <w:rFonts w:hint="eastAsia" w:ascii="黑体" w:hAnsi="黑体" w:eastAsia="黑体" w:cs="黑体"/>
          <w:sz w:val="32"/>
          <w:szCs w:val="32"/>
        </w:rPr>
        <w:t>三、机关运行经费安排情况</w:t>
      </w:r>
    </w:p>
    <w:p w14:paraId="2B7B7ABA">
      <w:pPr>
        <w:autoSpaceDE w:val="0"/>
        <w:autoSpaceDN w:val="0"/>
        <w:adjustRightInd w:val="0"/>
        <w:spacing w:line="560" w:lineRule="exact"/>
        <w:ind w:left="198" w:firstLine="640" w:firstLineChars="200"/>
        <w:jc w:val="left"/>
        <w:rPr>
          <w:rFonts w:ascii="仿宋" w:hAnsi="仿宋" w:eastAsia="仿宋" w:cs="Times New Roman"/>
          <w:sz w:val="32"/>
          <w:szCs w:val="32"/>
        </w:rPr>
      </w:pPr>
      <w:r>
        <w:rPr>
          <w:rFonts w:hint="eastAsia" w:ascii="仿宋" w:hAnsi="仿宋" w:eastAsia="仿宋" w:cs="方正仿宋_GBK"/>
          <w:sz w:val="32"/>
          <w:szCs w:val="32"/>
        </w:rPr>
        <w:t>机关运行经费共计安排</w:t>
      </w:r>
      <w:r>
        <w:rPr>
          <w:rFonts w:hint="eastAsia" w:ascii="仿宋" w:hAnsi="仿宋" w:eastAsia="仿宋" w:cs="方正仿宋_GBK"/>
          <w:sz w:val="32"/>
          <w:szCs w:val="32"/>
          <w:lang w:val="en-US" w:eastAsia="zh-CN"/>
        </w:rPr>
        <w:t>72.74</w:t>
      </w:r>
      <w:r>
        <w:rPr>
          <w:rFonts w:hint="eastAsia" w:ascii="仿宋" w:hAnsi="仿宋" w:eastAsia="仿宋" w:cs="方正仿宋_GBK"/>
          <w:sz w:val="32"/>
          <w:szCs w:val="32"/>
        </w:rPr>
        <w:t>万元，主要用于办公区的日常维修、办公用房水电费、邮电费、办公用房取暖费、办公用房物业管理费等日常运行支出。</w:t>
      </w:r>
    </w:p>
    <w:p w14:paraId="5C728664">
      <w:pPr>
        <w:widowControl/>
        <w:spacing w:line="360" w:lineRule="auto"/>
        <w:ind w:firstLine="972" w:firstLineChars="304"/>
        <w:jc w:val="left"/>
        <w:rPr>
          <w:rFonts w:ascii="黑体" w:hAnsi="黑体" w:eastAsia="黑体" w:cs="仿宋_GB2312"/>
          <w:bCs/>
          <w:kern w:val="0"/>
          <w:sz w:val="32"/>
          <w:szCs w:val="32"/>
        </w:rPr>
      </w:pPr>
      <w:r>
        <w:rPr>
          <w:rFonts w:hint="eastAsia" w:ascii="黑体" w:hAnsi="黑体" w:eastAsia="黑体" w:cs="仿宋_GB2312"/>
          <w:bCs/>
          <w:kern w:val="0"/>
          <w:sz w:val="32"/>
          <w:szCs w:val="32"/>
        </w:rPr>
        <w:t>四、财政拨款“三公”经费预算情况及增减变化原因</w:t>
      </w:r>
    </w:p>
    <w:p w14:paraId="18FE8D81">
      <w:pPr>
        <w:widowControl/>
        <w:spacing w:line="360" w:lineRule="auto"/>
        <w:ind w:left="420" w:leftChars="200" w:firstLine="640" w:firstLineChars="200"/>
        <w:jc w:val="left"/>
        <w:rPr>
          <w:rFonts w:ascii="仿宋" w:hAnsi="仿宋" w:eastAsia="仿宋" w:cs="仿宋_GB2312"/>
          <w:kern w:val="0"/>
          <w:sz w:val="32"/>
          <w:szCs w:val="32"/>
        </w:rPr>
      </w:pPr>
      <w:bookmarkStart w:id="0" w:name="_Toc482009857"/>
      <w:r>
        <w:rPr>
          <w:rFonts w:hint="eastAsia" w:ascii="仿宋" w:hAnsi="仿宋" w:eastAsia="仿宋" w:cs="仿宋_GB2312"/>
          <w:kern w:val="0"/>
          <w:sz w:val="32"/>
          <w:szCs w:val="32"/>
        </w:rPr>
        <w:t>202</w:t>
      </w:r>
      <w:r>
        <w:rPr>
          <w:rFonts w:hint="eastAsia" w:ascii="仿宋" w:hAnsi="仿宋" w:eastAsia="仿宋" w:cs="仿宋_GB2312"/>
          <w:kern w:val="0"/>
          <w:sz w:val="32"/>
          <w:szCs w:val="32"/>
          <w:lang w:val="en-US" w:eastAsia="zh-CN"/>
        </w:rPr>
        <w:t>1</w:t>
      </w:r>
      <w:r>
        <w:rPr>
          <w:rFonts w:hint="eastAsia" w:ascii="仿宋" w:hAnsi="仿宋" w:eastAsia="仿宋" w:cs="仿宋_GB2312"/>
          <w:kern w:val="0"/>
          <w:sz w:val="32"/>
          <w:szCs w:val="32"/>
        </w:rPr>
        <w:t>年度“三公”预算支出</w:t>
      </w:r>
      <w:r>
        <w:rPr>
          <w:rFonts w:hint="eastAsia" w:ascii="仿宋" w:hAnsi="仿宋" w:eastAsia="仿宋" w:cs="仿宋_GB2312"/>
          <w:kern w:val="0"/>
          <w:sz w:val="32"/>
          <w:szCs w:val="32"/>
          <w:lang w:val="en-US" w:eastAsia="zh-CN"/>
        </w:rPr>
        <w:t>1.4</w:t>
      </w:r>
      <w:r>
        <w:rPr>
          <w:rFonts w:hint="eastAsia" w:ascii="仿宋" w:hAnsi="仿宋" w:eastAsia="仿宋" w:cs="仿宋_GB2312"/>
          <w:kern w:val="0"/>
          <w:sz w:val="32"/>
          <w:szCs w:val="32"/>
        </w:rPr>
        <w:t>万元，其中：因公出国（境）费零元，与上年</w:t>
      </w:r>
      <w:r>
        <w:rPr>
          <w:rFonts w:hint="eastAsia" w:ascii="仿宋" w:hAnsi="仿宋" w:eastAsia="仿宋" w:cs="仿宋_GB2312"/>
          <w:kern w:val="0"/>
          <w:sz w:val="32"/>
          <w:szCs w:val="32"/>
          <w:lang w:eastAsia="zh-CN"/>
        </w:rPr>
        <w:t>持平</w:t>
      </w:r>
      <w:r>
        <w:rPr>
          <w:rFonts w:hint="eastAsia" w:ascii="仿宋" w:hAnsi="仿宋" w:eastAsia="仿宋" w:cs="仿宋_GB2312"/>
          <w:kern w:val="0"/>
          <w:sz w:val="32"/>
          <w:szCs w:val="32"/>
        </w:rPr>
        <w:t>；安排公务用车维护费</w:t>
      </w:r>
      <w:r>
        <w:rPr>
          <w:rFonts w:hint="eastAsia" w:ascii="仿宋" w:hAnsi="仿宋" w:eastAsia="仿宋" w:cs="仿宋_GB2312"/>
          <w:kern w:val="0"/>
          <w:sz w:val="32"/>
          <w:szCs w:val="32"/>
          <w:lang w:val="en-US" w:eastAsia="zh-CN"/>
        </w:rPr>
        <w:t>1.4</w:t>
      </w:r>
      <w:r>
        <w:rPr>
          <w:rFonts w:hint="eastAsia" w:ascii="仿宋" w:hAnsi="仿宋" w:eastAsia="仿宋" w:cs="仿宋_GB2312"/>
          <w:kern w:val="0"/>
          <w:sz w:val="32"/>
          <w:szCs w:val="32"/>
        </w:rPr>
        <w:t>万元。（其中：公务用车购置费零元，与上年</w:t>
      </w:r>
      <w:r>
        <w:rPr>
          <w:rFonts w:hint="eastAsia" w:ascii="仿宋" w:hAnsi="仿宋" w:eastAsia="仿宋" w:cs="仿宋_GB2312"/>
          <w:kern w:val="0"/>
          <w:sz w:val="32"/>
          <w:szCs w:val="32"/>
          <w:lang w:eastAsia="zh-CN"/>
        </w:rPr>
        <w:t>持平</w:t>
      </w:r>
      <w:r>
        <w:rPr>
          <w:rFonts w:hint="eastAsia" w:ascii="仿宋" w:hAnsi="仿宋" w:eastAsia="仿宋" w:cs="仿宋_GB2312"/>
          <w:kern w:val="0"/>
          <w:sz w:val="32"/>
          <w:szCs w:val="32"/>
        </w:rPr>
        <w:t>；公务用车运行维护费</w:t>
      </w:r>
      <w:r>
        <w:rPr>
          <w:rFonts w:hint="eastAsia" w:ascii="仿宋" w:hAnsi="仿宋" w:eastAsia="仿宋" w:cs="仿宋_GB2312"/>
          <w:kern w:val="0"/>
          <w:sz w:val="32"/>
          <w:szCs w:val="32"/>
          <w:lang w:val="en-US" w:eastAsia="zh-CN"/>
        </w:rPr>
        <w:t>1.4</w:t>
      </w:r>
      <w:r>
        <w:rPr>
          <w:rFonts w:hint="eastAsia" w:ascii="仿宋" w:hAnsi="仿宋" w:eastAsia="仿宋" w:cs="仿宋_GB2312"/>
          <w:kern w:val="0"/>
          <w:sz w:val="32"/>
          <w:szCs w:val="32"/>
        </w:rPr>
        <w:t>万元，较上年增加</w:t>
      </w:r>
      <w:r>
        <w:rPr>
          <w:rFonts w:hint="eastAsia" w:ascii="仿宋" w:hAnsi="仿宋" w:eastAsia="仿宋" w:cs="仿宋_GB2312"/>
          <w:kern w:val="0"/>
          <w:sz w:val="32"/>
          <w:szCs w:val="32"/>
          <w:lang w:val="en-US" w:eastAsia="zh-CN"/>
        </w:rPr>
        <w:t>25</w:t>
      </w:r>
      <w:r>
        <w:rPr>
          <w:rFonts w:hint="eastAsia" w:ascii="仿宋" w:hAnsi="仿宋" w:eastAsia="仿宋" w:cs="仿宋_GB2312"/>
          <w:kern w:val="0"/>
          <w:sz w:val="32"/>
          <w:szCs w:val="32"/>
        </w:rPr>
        <w:t>%，主要原因为车辆老旧，维修费增加。）公务接</w:t>
      </w:r>
      <w:r>
        <w:rPr>
          <w:rFonts w:hint="eastAsia" w:ascii="仿宋" w:hAnsi="仿宋" w:eastAsia="仿宋" w:cs="仿宋_GB2312"/>
          <w:kern w:val="0"/>
          <w:sz w:val="32"/>
          <w:szCs w:val="32"/>
          <w:lang w:eastAsia="zh-CN"/>
        </w:rPr>
        <w:t>待</w:t>
      </w:r>
      <w:r>
        <w:rPr>
          <w:rFonts w:hint="eastAsia" w:ascii="仿宋" w:hAnsi="仿宋" w:eastAsia="仿宋" w:cs="仿宋_GB2312"/>
          <w:kern w:val="0"/>
          <w:sz w:val="32"/>
          <w:szCs w:val="32"/>
        </w:rPr>
        <w:t>费0万元，与上年持平。</w:t>
      </w:r>
    </w:p>
    <w:p w14:paraId="1499DEFC">
      <w:pPr>
        <w:widowControl/>
        <w:numPr>
          <w:ilvl w:val="0"/>
          <w:numId w:val="1"/>
        </w:numPr>
        <w:spacing w:line="360" w:lineRule="auto"/>
        <w:ind w:left="420" w:leftChars="200" w:firstLine="640" w:firstLineChars="200"/>
        <w:jc w:val="left"/>
        <w:rPr>
          <w:rFonts w:hint="eastAsia" w:ascii="黑体" w:hAnsi="黑体" w:eastAsia="黑体" w:cs="Calibri"/>
          <w:kern w:val="0"/>
          <w:sz w:val="32"/>
          <w:szCs w:val="32"/>
        </w:rPr>
      </w:pPr>
      <w:r>
        <w:rPr>
          <w:rFonts w:hint="eastAsia" w:ascii="黑体" w:hAnsi="黑体" w:eastAsia="黑体" w:cs="Calibri"/>
          <w:kern w:val="0"/>
          <w:sz w:val="32"/>
          <w:szCs w:val="32"/>
        </w:rPr>
        <w:t>绩效预算情况</w:t>
      </w:r>
    </w:p>
    <w:p w14:paraId="1855F1E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 xml:space="preserve">    总体绩效目标： </w:t>
      </w:r>
    </w:p>
    <w:p w14:paraId="6BA53EBF">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2021 年，坚持以习近平新时代中国特色社会主义思想为指导，贯彻落实党中央和省委、市委关于文化、创作、广播电视、网络视听节目和旅游工作的方针政策和决策部署，坚持和加强党对文化、广播电视、网络视听节目和旅游工作的集中统一领导，积极打造原创精品、积极构建文化服务网络、举办大型文化旅游艺术活动、推进文化遗产保护和文物保护工作，真正让党的文化惠民工程落到实处。</w:t>
      </w:r>
    </w:p>
    <w:p w14:paraId="7F8D55A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职责分类绩效目标：</w:t>
      </w:r>
    </w:p>
    <w:p w14:paraId="69D41E21">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一）加快推进文化惠民工程；（二）落实好中共中央办公厅、国务院办公厅《关于加快构建现代公共文化服务体系的意见》精神，完善我县公共文化服务体系建设。（三）积极推动重点旅游基础设施及公共服务项目建设。（四）加快推进全域、智慧旅游建设。（五）全面加强旅游市场监管，不断优化旅游发展环境。（六）承担培养舞台艺术人才，壮大基层群众文艺骨干队伍。（七）做精做细做强舞台艺术、美术展览等，加强对外交流。（八）大力实施文化惠民工程，形成文艺舞台不落幕、文化广场不停演、艺术展览不断档的生动局面，拓展公共文化服务渠道，丰富文化产品供给，做优做强群众文化活动品牌。（九）抓好重点文物保护修缮，稳步推进长城保护工作。（十）进一步做好我市非物质文化遗产抢救保护传承工作。（十一）制定文化事业、产业、旅游业发展规划，积极落实机构改革任务。</w:t>
      </w:r>
    </w:p>
    <w:p w14:paraId="02593AC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工作保障措施：</w:t>
      </w:r>
    </w:p>
    <w:p w14:paraId="77F67BE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960" w:firstLineChars="3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（一）完善制度建设，强化制度执行</w:t>
      </w:r>
    </w:p>
    <w:p w14:paraId="6FEB10C8">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认真执行《邯郸市文化广电和旅游局财政性资金预算绩效管理办法》，深化全面实施预算绩效管理改革，研究制定配套的相关绩效管理制度，完善资金管理办法，在更大程度上提高资金绩效水平，为全年绩效目标的实现奠定坚实基础。</w:t>
      </w:r>
    </w:p>
    <w:p w14:paraId="5D11420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960" w:firstLineChars="3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（二）加强支出管理，提升支出进度</w:t>
      </w:r>
    </w:p>
    <w:p w14:paraId="4DC5A0A5">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一是加强支出预算管理，编细编实预算，坚决防止无预算支出；二是优化支出结构，把有限的财政资金用在关键地方，充分发挥资金使用效益；三是加快履行政府采购手续，灵活运用政府采购方式，注重货物和服务采购效率；四是及时申请拨付财政专项资金，尽快启动专项项目，加快实施进度，尽早进入验收、支付阶段；五是严格执行季度支出调度制度，做到基本支出和项目支出并重，确保支出进度达标。</w:t>
      </w:r>
    </w:p>
    <w:p w14:paraId="4ABBCE7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（三）加强绩效运行监控，确保绩效目标实现</w:t>
      </w:r>
    </w:p>
    <w:p w14:paraId="3A9C3B4D">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根据邯郸市财政局关于印发《邯郸市市级部门分预算绩效运行监控工作规程》的通知要求，进一步加强和规范预算绩效运行监控工作，坚持目标导向、权责对等、全面覆盖、突出重点、适时适当的原则，及时完成对部门整体绩效目标、专项资金绩效目标和预算项目资金绩效目标的实现程度及预算资金执行情况监控到位，确保绩效目标如期保质保量实现。</w:t>
      </w:r>
    </w:p>
    <w:p w14:paraId="19C7ACC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（四）做好绩效自评，完善自评流程</w:t>
      </w:r>
    </w:p>
    <w:p w14:paraId="08C28ECF">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按要求开展上年度部门预算自评工作，着重对预算资金投向的精准性、安排使用的有效性、投入方式的科学性、产出效益的经济性等进行客观、公正的评价，科学设置评价内容，加强评价流程管理，确保评价依据充分有效，同时委托第三方对资金量大、社会关注度高、体现部门特色的项目开展重点评价，对评价中发现的问题及时整改，调整优化支出结构，提高财政资金使用效益。</w:t>
      </w:r>
    </w:p>
    <w:p w14:paraId="7CD0935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（五）规范资产管理，保障安全完整</w:t>
      </w:r>
    </w:p>
    <w:p w14:paraId="7E3DC900">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严格执行财政部门国有资产管理规定，明确资产管理机构，严格资产的采购、配置、维护、处置、出租、出借等管理程序，接受同级财政部门的监督、指导，不断规范资产管理，做到支出合理、物尽其用，严防国有资产流失，保障国有资产安全完整。</w:t>
      </w:r>
    </w:p>
    <w:p w14:paraId="4FA1EB0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1280" w:firstLineChars="400"/>
        <w:jc w:val="left"/>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（六）加强内部监督，强化内控建设</w:t>
      </w:r>
    </w:p>
    <w:p w14:paraId="27FF943F">
      <w:pPr>
        <w:keepNext w:val="0"/>
        <w:keepLines w:val="0"/>
        <w:pageBreakBefore w:val="0"/>
        <w:widowControl/>
        <w:numPr>
          <w:ilvl w:val="0"/>
          <w:numId w:val="0"/>
        </w:numPr>
        <w:kinsoku/>
        <w:wordWrap/>
        <w:overflowPunct/>
        <w:topLinePunct w:val="0"/>
        <w:autoSpaceDE/>
        <w:autoSpaceDN/>
        <w:bidi w:val="0"/>
        <w:adjustRightInd/>
        <w:snapToGrid/>
        <w:spacing w:line="360" w:lineRule="auto"/>
        <w:ind w:left="638" w:leftChars="304" w:firstLine="640" w:firstLineChars="200"/>
        <w:jc w:val="left"/>
        <w:textAlignment w:val="auto"/>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 xml:space="preserve">不断完善内部控制制度，扩大内控范围，逐步形成一套以内控制度为核心、量化标准为支撑的规范化、科学化管理体系，进一步提高单位内部管理水平，规范内部控制，加强廉政风险防控机制建设，实现财务管理的规范化、科学化和信息化，保障单位各项工作高效运行，增强单位的履职能力。通过强化内控建设，进一步加强对绩效运行情况、重大支出决策、对外投资、资产处置及其他重要经济业务事项的决策和执行进行督导，对会计资料进行内部审计，并配合做好审计、财政监督等外部监督工作，确保财政资金安全有效。  </w:t>
      </w:r>
    </w:p>
    <w:p w14:paraId="33C41B88">
      <w:pPr>
        <w:jc w:val="center"/>
        <w:outlineLvl w:val="0"/>
        <w:rPr>
          <w:rFonts w:ascii="方正小标宋_GBK" w:eastAsia="方正小标宋_GBK"/>
          <w:sz w:val="32"/>
        </w:rPr>
      </w:pPr>
      <w:r>
        <w:rPr>
          <w:rFonts w:hint="eastAsia" w:ascii="方正小标宋_GBK" w:eastAsia="方正小标宋_GBK"/>
          <w:sz w:val="32"/>
        </w:rPr>
        <w:t>部门职责-工作活动绩效目标</w:t>
      </w:r>
      <w:bookmarkEnd w:id="0"/>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230"/>
        <w:gridCol w:w="863"/>
        <w:gridCol w:w="798"/>
        <w:gridCol w:w="737"/>
        <w:gridCol w:w="737"/>
      </w:tblGrid>
      <w:tr w14:paraId="3BD23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tblHeader/>
          <w:jc w:val="center"/>
        </w:trPr>
        <w:tc>
          <w:tcPr>
            <w:tcW w:w="10799" w:type="dxa"/>
            <w:gridSpan w:val="5"/>
            <w:tcBorders>
              <w:top w:val="single" w:color="FFFFFF" w:sz="6" w:space="0"/>
              <w:left w:val="single" w:color="FFFFFF" w:sz="6" w:space="0"/>
              <w:right w:val="single" w:color="FFFFFF" w:sz="6" w:space="0"/>
            </w:tcBorders>
            <w:shd w:val="clear" w:color="auto" w:fill="auto"/>
            <w:vAlign w:val="center"/>
          </w:tcPr>
          <w:p w14:paraId="6E8FA86D">
            <w:pPr>
              <w:spacing w:line="300" w:lineRule="exact"/>
              <w:jc w:val="left"/>
              <w:rPr>
                <w:rFonts w:ascii="方正小标宋_GBK" w:eastAsia="方正小标宋_GBK"/>
                <w:sz w:val="24"/>
              </w:rPr>
            </w:pPr>
            <w:r>
              <w:rPr>
                <w:rFonts w:ascii="方正小标宋_GBK" w:eastAsia="方正小标宋_GBK"/>
                <w:sz w:val="24"/>
              </w:rPr>
              <w:t>821</w:t>
            </w:r>
            <w:r>
              <w:rPr>
                <w:rFonts w:hint="eastAsia" w:ascii="方正小标宋_GBK" w:eastAsia="方正小标宋_GBK"/>
                <w:sz w:val="24"/>
              </w:rPr>
              <w:t>成安县文化广电和旅游局</w:t>
            </w:r>
          </w:p>
        </w:tc>
        <w:tc>
          <w:tcPr>
            <w:tcW w:w="3135" w:type="dxa"/>
            <w:gridSpan w:val="4"/>
            <w:tcBorders>
              <w:top w:val="single" w:color="FFFFFF" w:sz="6" w:space="0"/>
              <w:left w:val="single" w:color="FFFFFF" w:sz="6" w:space="0"/>
              <w:right w:val="single" w:color="FFFFFF" w:sz="6" w:space="0"/>
            </w:tcBorders>
            <w:shd w:val="clear" w:color="auto" w:fill="auto"/>
            <w:vAlign w:val="center"/>
          </w:tcPr>
          <w:p w14:paraId="7455FB61">
            <w:pPr>
              <w:spacing w:line="300" w:lineRule="exact"/>
              <w:jc w:val="right"/>
              <w:rPr>
                <w:rFonts w:ascii="方正书宋_GBK" w:eastAsia="方正书宋_GBK"/>
                <w:sz w:val="24"/>
              </w:rPr>
            </w:pPr>
            <w:r>
              <w:rPr>
                <w:rFonts w:hint="eastAsia" w:ascii="方正书宋_GBK" w:eastAsia="方正书宋_GBK"/>
                <w:sz w:val="24"/>
              </w:rPr>
              <w:t>单位：万元</w:t>
            </w:r>
          </w:p>
        </w:tc>
      </w:tr>
      <w:tr w14:paraId="48EB3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606736BA">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55B133CE">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4022A277">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6AECF959">
            <w:pPr>
              <w:spacing w:line="300" w:lineRule="exact"/>
              <w:jc w:val="center"/>
              <w:rPr>
                <w:rFonts w:ascii="方正书宋_GBK" w:eastAsia="方正书宋_GBK"/>
                <w:b/>
              </w:rPr>
            </w:pPr>
            <w:r>
              <w:rPr>
                <w:rFonts w:hint="eastAsia" w:ascii="方正书宋_GBK" w:eastAsia="方正书宋_GBK"/>
                <w:b/>
              </w:rPr>
              <w:t>绩效目标</w:t>
            </w:r>
          </w:p>
        </w:tc>
        <w:tc>
          <w:tcPr>
            <w:tcW w:w="1230" w:type="dxa"/>
            <w:vMerge w:val="restart"/>
            <w:shd w:val="clear" w:color="auto" w:fill="auto"/>
            <w:vAlign w:val="center"/>
          </w:tcPr>
          <w:p w14:paraId="2879A877">
            <w:pPr>
              <w:spacing w:line="300" w:lineRule="exact"/>
              <w:jc w:val="center"/>
              <w:rPr>
                <w:rFonts w:ascii="方正书宋_GBK" w:eastAsia="方正书宋_GBK"/>
                <w:b/>
              </w:rPr>
            </w:pPr>
            <w:r>
              <w:rPr>
                <w:rFonts w:hint="eastAsia" w:ascii="方正书宋_GBK" w:eastAsia="方正书宋_GBK"/>
                <w:b/>
              </w:rPr>
              <w:t>绩效指标</w:t>
            </w:r>
          </w:p>
        </w:tc>
        <w:tc>
          <w:tcPr>
            <w:tcW w:w="3135" w:type="dxa"/>
            <w:gridSpan w:val="4"/>
            <w:shd w:val="clear" w:color="auto" w:fill="auto"/>
            <w:vAlign w:val="center"/>
          </w:tcPr>
          <w:p w14:paraId="79980A34">
            <w:pPr>
              <w:spacing w:line="300" w:lineRule="exact"/>
              <w:jc w:val="center"/>
              <w:rPr>
                <w:rFonts w:ascii="方正书宋_GBK" w:eastAsia="方正书宋_GBK"/>
                <w:b/>
              </w:rPr>
            </w:pPr>
            <w:r>
              <w:rPr>
                <w:rFonts w:hint="eastAsia" w:ascii="方正书宋_GBK" w:eastAsia="方正书宋_GBK"/>
                <w:b/>
              </w:rPr>
              <w:t>评价标准</w:t>
            </w:r>
          </w:p>
        </w:tc>
      </w:tr>
      <w:tr w14:paraId="3B75F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762E4471">
            <w:pPr>
              <w:spacing w:line="300" w:lineRule="exact"/>
              <w:jc w:val="left"/>
              <w:outlineLvl w:val="0"/>
            </w:pPr>
          </w:p>
        </w:tc>
        <w:tc>
          <w:tcPr>
            <w:tcW w:w="1276" w:type="dxa"/>
            <w:vMerge w:val="continue"/>
            <w:shd w:val="clear" w:color="auto" w:fill="auto"/>
            <w:vAlign w:val="center"/>
          </w:tcPr>
          <w:p w14:paraId="593F4685">
            <w:pPr>
              <w:spacing w:line="300" w:lineRule="exact"/>
              <w:jc w:val="left"/>
              <w:outlineLvl w:val="0"/>
            </w:pPr>
          </w:p>
        </w:tc>
        <w:tc>
          <w:tcPr>
            <w:tcW w:w="2976" w:type="dxa"/>
            <w:vMerge w:val="continue"/>
            <w:shd w:val="clear" w:color="auto" w:fill="auto"/>
            <w:vAlign w:val="center"/>
          </w:tcPr>
          <w:p w14:paraId="337DED9A">
            <w:pPr>
              <w:spacing w:line="300" w:lineRule="exact"/>
              <w:jc w:val="left"/>
              <w:outlineLvl w:val="0"/>
            </w:pPr>
          </w:p>
        </w:tc>
        <w:tc>
          <w:tcPr>
            <w:tcW w:w="2976" w:type="dxa"/>
            <w:vMerge w:val="continue"/>
            <w:shd w:val="clear" w:color="auto" w:fill="auto"/>
            <w:vAlign w:val="center"/>
          </w:tcPr>
          <w:p w14:paraId="590E8ECA">
            <w:pPr>
              <w:spacing w:line="300" w:lineRule="exact"/>
              <w:jc w:val="left"/>
              <w:outlineLvl w:val="0"/>
            </w:pPr>
          </w:p>
        </w:tc>
        <w:tc>
          <w:tcPr>
            <w:tcW w:w="1230" w:type="dxa"/>
            <w:vMerge w:val="continue"/>
            <w:shd w:val="clear" w:color="auto" w:fill="auto"/>
            <w:vAlign w:val="center"/>
          </w:tcPr>
          <w:p w14:paraId="3AE0ED65">
            <w:pPr>
              <w:spacing w:line="300" w:lineRule="exact"/>
              <w:jc w:val="left"/>
              <w:outlineLvl w:val="0"/>
            </w:pPr>
          </w:p>
        </w:tc>
        <w:tc>
          <w:tcPr>
            <w:tcW w:w="863" w:type="dxa"/>
            <w:shd w:val="clear" w:color="auto" w:fill="auto"/>
            <w:vAlign w:val="center"/>
          </w:tcPr>
          <w:p w14:paraId="51FD0D43">
            <w:pPr>
              <w:spacing w:line="300" w:lineRule="exact"/>
              <w:jc w:val="center"/>
              <w:rPr>
                <w:rFonts w:ascii="方正书宋_GBK" w:eastAsia="方正书宋_GBK"/>
                <w:b/>
              </w:rPr>
            </w:pPr>
            <w:r>
              <w:rPr>
                <w:rFonts w:hint="eastAsia" w:ascii="方正书宋_GBK" w:eastAsia="方正书宋_GBK"/>
                <w:b/>
              </w:rPr>
              <w:t>优</w:t>
            </w:r>
          </w:p>
        </w:tc>
        <w:tc>
          <w:tcPr>
            <w:tcW w:w="798" w:type="dxa"/>
            <w:shd w:val="clear" w:color="auto" w:fill="auto"/>
            <w:vAlign w:val="center"/>
          </w:tcPr>
          <w:p w14:paraId="1D4F1A04">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2A521786">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0C646364">
            <w:pPr>
              <w:spacing w:line="300" w:lineRule="exact"/>
              <w:jc w:val="center"/>
              <w:rPr>
                <w:rFonts w:ascii="方正书宋_GBK" w:eastAsia="方正书宋_GBK"/>
                <w:b/>
              </w:rPr>
            </w:pPr>
            <w:r>
              <w:rPr>
                <w:rFonts w:hint="eastAsia" w:ascii="方正书宋_GBK" w:eastAsia="方正书宋_GBK"/>
                <w:b/>
              </w:rPr>
              <w:t>差</w:t>
            </w:r>
          </w:p>
        </w:tc>
      </w:tr>
      <w:tr w14:paraId="09536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F112A45">
            <w:pPr>
              <w:spacing w:line="300" w:lineRule="exact"/>
              <w:jc w:val="left"/>
              <w:rPr>
                <w:rFonts w:ascii="方正书宋_GBK" w:eastAsia="方正书宋_GBK"/>
                <w:b/>
              </w:rPr>
            </w:pPr>
            <w:r>
              <w:rPr>
                <w:rFonts w:hint="eastAsia" w:ascii="方正书宋_GBK" w:eastAsia="方正书宋_GBK"/>
                <w:b/>
              </w:rPr>
              <w:t>文化保护</w:t>
            </w:r>
          </w:p>
        </w:tc>
        <w:tc>
          <w:tcPr>
            <w:tcW w:w="1276" w:type="dxa"/>
            <w:shd w:val="clear" w:color="auto" w:fill="auto"/>
            <w:vAlign w:val="center"/>
          </w:tcPr>
          <w:p w14:paraId="1BEDB57B">
            <w:pPr>
              <w:spacing w:line="300" w:lineRule="exact"/>
              <w:jc w:val="left"/>
              <w:rPr>
                <w:rFonts w:ascii="方正书宋_GBK" w:eastAsia="方正书宋_GBK"/>
              </w:rPr>
            </w:pPr>
            <w:r>
              <w:rPr>
                <w:rFonts w:ascii="方正书宋_GBK" w:eastAsia="方正书宋_GBK"/>
              </w:rPr>
              <w:t>8.19</w:t>
            </w:r>
          </w:p>
        </w:tc>
        <w:tc>
          <w:tcPr>
            <w:tcW w:w="2976" w:type="dxa"/>
            <w:shd w:val="clear" w:color="auto" w:fill="auto"/>
            <w:vAlign w:val="center"/>
          </w:tcPr>
          <w:p w14:paraId="20FB7FC8">
            <w:pPr>
              <w:spacing w:line="300" w:lineRule="exact"/>
              <w:jc w:val="left"/>
              <w:rPr>
                <w:rFonts w:ascii="方正书宋_GBK" w:eastAsia="方正书宋_GBK"/>
              </w:rPr>
            </w:pPr>
            <w:r>
              <w:rPr>
                <w:rFonts w:hint="eastAsia" w:ascii="方正书宋_GBK" w:eastAsia="方正书宋_GBK"/>
              </w:rPr>
              <w:t>指导、组织开展文化保护工作；组织实施优秀民族文化的传承普及工作；维护国家文化安全。</w:t>
            </w:r>
          </w:p>
        </w:tc>
        <w:tc>
          <w:tcPr>
            <w:tcW w:w="2976" w:type="dxa"/>
            <w:shd w:val="clear" w:color="auto" w:fill="auto"/>
            <w:vAlign w:val="center"/>
          </w:tcPr>
          <w:p w14:paraId="7661FA2B">
            <w:pPr>
              <w:spacing w:line="300" w:lineRule="exact"/>
              <w:jc w:val="left"/>
              <w:rPr>
                <w:rFonts w:ascii="方正书宋_GBK" w:eastAsia="方正书宋_GBK"/>
              </w:rPr>
            </w:pPr>
            <w:r>
              <w:rPr>
                <w:rFonts w:hint="eastAsia" w:ascii="方正书宋_GBK" w:eastAsia="方正书宋_GBK"/>
              </w:rPr>
              <w:t>构建健全的文化保护体系，文化保护工作得到全面加强，优秀文化得到传承和发扬。</w:t>
            </w:r>
          </w:p>
        </w:tc>
        <w:tc>
          <w:tcPr>
            <w:tcW w:w="1230" w:type="dxa"/>
            <w:shd w:val="clear" w:color="auto" w:fill="auto"/>
            <w:vAlign w:val="center"/>
          </w:tcPr>
          <w:p w14:paraId="0DC668E9">
            <w:pPr>
              <w:spacing w:line="300" w:lineRule="exact"/>
              <w:jc w:val="left"/>
              <w:rPr>
                <w:rFonts w:ascii="方正书宋_GBK" w:eastAsia="方正书宋_GBK"/>
              </w:rPr>
            </w:pPr>
          </w:p>
        </w:tc>
        <w:tc>
          <w:tcPr>
            <w:tcW w:w="863" w:type="dxa"/>
            <w:shd w:val="clear" w:color="auto" w:fill="auto"/>
            <w:vAlign w:val="center"/>
          </w:tcPr>
          <w:p w14:paraId="5729736C">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≥98%</w:t>
            </w:r>
          </w:p>
        </w:tc>
        <w:tc>
          <w:tcPr>
            <w:tcW w:w="798" w:type="dxa"/>
            <w:shd w:val="clear" w:color="auto" w:fill="auto"/>
            <w:vAlign w:val="center"/>
          </w:tcPr>
          <w:p w14:paraId="68B4C8F6">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751E0B52">
            <w:pPr>
              <w:spacing w:line="300" w:lineRule="exact"/>
              <w:jc w:val="center"/>
              <w:rPr>
                <w:rFonts w:hint="default" w:ascii="方正书宋_GBK" w:eastAsia="方正书宋_GBK"/>
                <w:lang w:val="en-US" w:eastAsia="zh-CN"/>
              </w:rPr>
            </w:pPr>
            <w:r>
              <w:rPr>
                <w:rFonts w:hint="eastAsia" w:ascii="方正书宋_GBK" w:eastAsia="方正书宋_GBK"/>
                <w:lang w:eastAsia="zh-CN"/>
              </w:rPr>
              <w:t>≥</w:t>
            </w:r>
            <w:r>
              <w:rPr>
                <w:rFonts w:ascii="方正书宋_GBK" w:eastAsia="方正书宋_GBK"/>
              </w:rPr>
              <w:t>8</w:t>
            </w:r>
            <w:r>
              <w:rPr>
                <w:rFonts w:hint="eastAsia" w:ascii="方正书宋_GBK" w:eastAsia="方正书宋_GBK"/>
                <w:lang w:val="en-US" w:eastAsia="zh-CN"/>
              </w:rPr>
              <w:t>0%</w:t>
            </w:r>
          </w:p>
        </w:tc>
        <w:tc>
          <w:tcPr>
            <w:tcW w:w="737" w:type="dxa"/>
            <w:shd w:val="clear" w:color="auto" w:fill="auto"/>
            <w:vAlign w:val="center"/>
          </w:tcPr>
          <w:p w14:paraId="671F189E">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635BD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5620B8F">
            <w:pPr>
              <w:spacing w:line="300" w:lineRule="exact"/>
              <w:jc w:val="left"/>
              <w:rPr>
                <w:rFonts w:ascii="方正书宋_GBK" w:eastAsia="方正书宋_GBK"/>
                <w:b/>
              </w:rPr>
            </w:pPr>
            <w:r>
              <w:rPr>
                <w:rFonts w:hint="eastAsia" w:ascii="方正书宋_GBK" w:eastAsia="方正书宋_GBK"/>
                <w:b/>
              </w:rPr>
              <w:t>　　文化保护</w:t>
            </w:r>
          </w:p>
        </w:tc>
        <w:tc>
          <w:tcPr>
            <w:tcW w:w="1276" w:type="dxa"/>
            <w:vMerge w:val="restart"/>
            <w:shd w:val="clear" w:color="auto" w:fill="auto"/>
            <w:vAlign w:val="center"/>
          </w:tcPr>
          <w:p w14:paraId="4361E5C5">
            <w:pPr>
              <w:spacing w:line="300" w:lineRule="exact"/>
              <w:jc w:val="left"/>
              <w:rPr>
                <w:rFonts w:ascii="方正书宋_GBK" w:eastAsia="方正书宋_GBK"/>
              </w:rPr>
            </w:pPr>
            <w:r>
              <w:rPr>
                <w:rFonts w:ascii="方正书宋_GBK" w:eastAsia="方正书宋_GBK"/>
              </w:rPr>
              <w:t>8.19</w:t>
            </w:r>
          </w:p>
        </w:tc>
        <w:tc>
          <w:tcPr>
            <w:tcW w:w="2976" w:type="dxa"/>
            <w:vMerge w:val="restart"/>
            <w:shd w:val="clear" w:color="auto" w:fill="auto"/>
            <w:vAlign w:val="center"/>
          </w:tcPr>
          <w:p w14:paraId="3E3F33EB">
            <w:pPr>
              <w:spacing w:line="300" w:lineRule="exact"/>
              <w:jc w:val="left"/>
              <w:rPr>
                <w:rFonts w:ascii="方正书宋_GBK" w:eastAsia="方正书宋_GBK"/>
              </w:rPr>
            </w:pPr>
            <w:r>
              <w:rPr>
                <w:rFonts w:hint="eastAsia" w:ascii="方正书宋_GBK" w:eastAsia="方正书宋_GBK"/>
              </w:rPr>
              <w:t>组织开展非物质文化保护工作；组织实施优秀民族文化的传承普及工作。对城乡特色鲜明的艺术形式和文化活动进行扶持和保护，推动特色文化传承发扬。</w:t>
            </w:r>
          </w:p>
        </w:tc>
        <w:tc>
          <w:tcPr>
            <w:tcW w:w="2976" w:type="dxa"/>
            <w:vMerge w:val="restart"/>
            <w:shd w:val="clear" w:color="auto" w:fill="auto"/>
            <w:vAlign w:val="center"/>
          </w:tcPr>
          <w:p w14:paraId="10B4C483">
            <w:pPr>
              <w:spacing w:line="300" w:lineRule="exact"/>
              <w:jc w:val="left"/>
              <w:rPr>
                <w:rFonts w:ascii="方正书宋_GBK" w:eastAsia="方正书宋_GBK"/>
              </w:rPr>
            </w:pPr>
            <w:r>
              <w:rPr>
                <w:rFonts w:hint="eastAsia" w:ascii="方正书宋_GBK" w:eastAsia="方正书宋_GBK"/>
              </w:rPr>
              <w:t>珍贵、濒危的非物质文化遗产得到有效抢救和保护，优秀特色文化得到传承和发扬。</w:t>
            </w:r>
          </w:p>
        </w:tc>
        <w:tc>
          <w:tcPr>
            <w:tcW w:w="1230" w:type="dxa"/>
            <w:shd w:val="clear" w:color="auto" w:fill="auto"/>
            <w:vAlign w:val="center"/>
          </w:tcPr>
          <w:p w14:paraId="4B51CA06">
            <w:pPr>
              <w:spacing w:line="300" w:lineRule="exact"/>
              <w:jc w:val="left"/>
              <w:rPr>
                <w:rFonts w:ascii="方正书宋_GBK" w:eastAsia="方正书宋_GBK"/>
              </w:rPr>
            </w:pPr>
            <w:r>
              <w:rPr>
                <w:rFonts w:hint="eastAsia" w:ascii="方正书宋_GBK" w:eastAsia="方正书宋_GBK"/>
              </w:rPr>
              <w:t>濒危和重点项目有效保护覆盖率</w:t>
            </w:r>
          </w:p>
        </w:tc>
        <w:tc>
          <w:tcPr>
            <w:tcW w:w="863" w:type="dxa"/>
            <w:shd w:val="clear" w:color="auto" w:fill="auto"/>
            <w:vAlign w:val="center"/>
          </w:tcPr>
          <w:p w14:paraId="2CA63FD0">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≥98%</w:t>
            </w:r>
          </w:p>
        </w:tc>
        <w:tc>
          <w:tcPr>
            <w:tcW w:w="798" w:type="dxa"/>
            <w:shd w:val="clear" w:color="auto" w:fill="auto"/>
            <w:vAlign w:val="center"/>
          </w:tcPr>
          <w:p w14:paraId="66DCE60C">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0CBDBB9A">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08181524">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0A3F0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17D47C5">
            <w:pPr>
              <w:spacing w:line="300" w:lineRule="exact"/>
              <w:jc w:val="left"/>
              <w:rPr>
                <w:rFonts w:ascii="方正书宋_GBK" w:eastAsia="方正书宋_GBK"/>
                <w:b/>
              </w:rPr>
            </w:pPr>
          </w:p>
        </w:tc>
        <w:tc>
          <w:tcPr>
            <w:tcW w:w="1276" w:type="dxa"/>
            <w:vMerge w:val="continue"/>
            <w:shd w:val="clear" w:color="auto" w:fill="auto"/>
            <w:vAlign w:val="center"/>
          </w:tcPr>
          <w:p w14:paraId="6042908F">
            <w:pPr>
              <w:spacing w:line="300" w:lineRule="exact"/>
              <w:jc w:val="left"/>
              <w:rPr>
                <w:rFonts w:ascii="方正书宋_GBK" w:eastAsia="方正书宋_GBK"/>
              </w:rPr>
            </w:pPr>
          </w:p>
        </w:tc>
        <w:tc>
          <w:tcPr>
            <w:tcW w:w="2976" w:type="dxa"/>
            <w:vMerge w:val="continue"/>
            <w:shd w:val="clear" w:color="auto" w:fill="auto"/>
            <w:vAlign w:val="center"/>
          </w:tcPr>
          <w:p w14:paraId="0595621F">
            <w:pPr>
              <w:spacing w:line="300" w:lineRule="exact"/>
              <w:jc w:val="left"/>
              <w:rPr>
                <w:rFonts w:ascii="方正书宋_GBK" w:eastAsia="方正书宋_GBK"/>
              </w:rPr>
            </w:pPr>
          </w:p>
        </w:tc>
        <w:tc>
          <w:tcPr>
            <w:tcW w:w="2976" w:type="dxa"/>
            <w:vMerge w:val="continue"/>
            <w:shd w:val="clear" w:color="auto" w:fill="auto"/>
            <w:vAlign w:val="center"/>
          </w:tcPr>
          <w:p w14:paraId="39622480">
            <w:pPr>
              <w:spacing w:line="300" w:lineRule="exact"/>
              <w:jc w:val="left"/>
              <w:rPr>
                <w:rFonts w:ascii="方正书宋_GBK" w:eastAsia="方正书宋_GBK"/>
              </w:rPr>
            </w:pPr>
          </w:p>
        </w:tc>
        <w:tc>
          <w:tcPr>
            <w:tcW w:w="1230" w:type="dxa"/>
            <w:shd w:val="clear" w:color="auto" w:fill="auto"/>
            <w:vAlign w:val="center"/>
          </w:tcPr>
          <w:p w14:paraId="7588F5B1">
            <w:pPr>
              <w:spacing w:line="300" w:lineRule="exact"/>
              <w:jc w:val="left"/>
              <w:rPr>
                <w:rFonts w:ascii="方正书宋_GBK" w:eastAsia="方正书宋_GBK"/>
              </w:rPr>
            </w:pPr>
            <w:r>
              <w:rPr>
                <w:rFonts w:hint="eastAsia" w:ascii="方正书宋_GBK" w:eastAsia="方正书宋_GBK"/>
              </w:rPr>
              <w:t>展示和传承优秀项目数量</w:t>
            </w:r>
          </w:p>
        </w:tc>
        <w:tc>
          <w:tcPr>
            <w:tcW w:w="863" w:type="dxa"/>
            <w:shd w:val="clear" w:color="auto" w:fill="auto"/>
            <w:vAlign w:val="center"/>
          </w:tcPr>
          <w:p w14:paraId="13341014">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≥95%</w:t>
            </w:r>
          </w:p>
        </w:tc>
        <w:tc>
          <w:tcPr>
            <w:tcW w:w="798" w:type="dxa"/>
            <w:shd w:val="clear" w:color="auto" w:fill="auto"/>
            <w:vAlign w:val="center"/>
          </w:tcPr>
          <w:p w14:paraId="3397ED0F">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0CABF0A7">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11C059C8">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0A69C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4BCC606">
            <w:pPr>
              <w:spacing w:line="300" w:lineRule="exact"/>
              <w:jc w:val="left"/>
              <w:rPr>
                <w:rFonts w:ascii="方正书宋_GBK" w:eastAsia="方正书宋_GBK"/>
                <w:b/>
              </w:rPr>
            </w:pPr>
          </w:p>
        </w:tc>
        <w:tc>
          <w:tcPr>
            <w:tcW w:w="1276" w:type="dxa"/>
            <w:vMerge w:val="continue"/>
            <w:shd w:val="clear" w:color="auto" w:fill="auto"/>
            <w:vAlign w:val="center"/>
          </w:tcPr>
          <w:p w14:paraId="0CC48E3D">
            <w:pPr>
              <w:spacing w:line="300" w:lineRule="exact"/>
              <w:jc w:val="left"/>
              <w:rPr>
                <w:rFonts w:ascii="方正书宋_GBK" w:eastAsia="方正书宋_GBK"/>
              </w:rPr>
            </w:pPr>
          </w:p>
        </w:tc>
        <w:tc>
          <w:tcPr>
            <w:tcW w:w="2976" w:type="dxa"/>
            <w:vMerge w:val="continue"/>
            <w:shd w:val="clear" w:color="auto" w:fill="auto"/>
            <w:vAlign w:val="center"/>
          </w:tcPr>
          <w:p w14:paraId="42742F53">
            <w:pPr>
              <w:spacing w:line="300" w:lineRule="exact"/>
              <w:jc w:val="left"/>
              <w:rPr>
                <w:rFonts w:ascii="方正书宋_GBK" w:eastAsia="方正书宋_GBK"/>
              </w:rPr>
            </w:pPr>
          </w:p>
        </w:tc>
        <w:tc>
          <w:tcPr>
            <w:tcW w:w="2976" w:type="dxa"/>
            <w:vMerge w:val="continue"/>
            <w:shd w:val="clear" w:color="auto" w:fill="auto"/>
            <w:vAlign w:val="center"/>
          </w:tcPr>
          <w:p w14:paraId="59F20A4D">
            <w:pPr>
              <w:spacing w:line="300" w:lineRule="exact"/>
              <w:jc w:val="left"/>
              <w:rPr>
                <w:rFonts w:ascii="方正书宋_GBK" w:eastAsia="方正书宋_GBK"/>
              </w:rPr>
            </w:pPr>
          </w:p>
        </w:tc>
        <w:tc>
          <w:tcPr>
            <w:tcW w:w="1230" w:type="dxa"/>
            <w:shd w:val="clear" w:color="auto" w:fill="auto"/>
            <w:vAlign w:val="center"/>
          </w:tcPr>
          <w:p w14:paraId="15CFB1D7">
            <w:pPr>
              <w:spacing w:line="300" w:lineRule="exact"/>
              <w:jc w:val="left"/>
              <w:rPr>
                <w:rFonts w:ascii="方正书宋_GBK" w:eastAsia="方正书宋_GBK"/>
              </w:rPr>
            </w:pPr>
            <w:r>
              <w:rPr>
                <w:rFonts w:hint="eastAsia" w:ascii="方正书宋_GBK" w:eastAsia="方正书宋_GBK"/>
              </w:rPr>
              <w:t>健全各级非遗保护名录数量</w:t>
            </w:r>
          </w:p>
        </w:tc>
        <w:tc>
          <w:tcPr>
            <w:tcW w:w="863" w:type="dxa"/>
            <w:shd w:val="clear" w:color="auto" w:fill="auto"/>
            <w:vAlign w:val="center"/>
          </w:tcPr>
          <w:p w14:paraId="0F3C92DC">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≥96%</w:t>
            </w:r>
          </w:p>
        </w:tc>
        <w:tc>
          <w:tcPr>
            <w:tcW w:w="798" w:type="dxa"/>
            <w:shd w:val="clear" w:color="auto" w:fill="auto"/>
            <w:vAlign w:val="center"/>
          </w:tcPr>
          <w:p w14:paraId="45A01511">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6C649FEA">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4371F683">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6A351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0F4AACA">
            <w:pPr>
              <w:spacing w:line="300" w:lineRule="exact"/>
              <w:jc w:val="left"/>
              <w:rPr>
                <w:rFonts w:ascii="方正书宋_GBK" w:eastAsia="方正书宋_GBK"/>
                <w:b/>
              </w:rPr>
            </w:pPr>
            <w:r>
              <w:rPr>
                <w:rFonts w:hint="eastAsia" w:ascii="方正书宋_GBK" w:eastAsia="方正书宋_GBK"/>
                <w:b/>
              </w:rPr>
              <w:t>农村公益电影补贴、电影放映员生活补助</w:t>
            </w:r>
          </w:p>
        </w:tc>
        <w:tc>
          <w:tcPr>
            <w:tcW w:w="1276" w:type="dxa"/>
            <w:shd w:val="clear" w:color="auto" w:fill="auto"/>
            <w:vAlign w:val="center"/>
          </w:tcPr>
          <w:p w14:paraId="41E0EB2E">
            <w:pPr>
              <w:spacing w:line="300" w:lineRule="exact"/>
              <w:jc w:val="left"/>
              <w:rPr>
                <w:rFonts w:ascii="方正书宋_GBK" w:eastAsia="方正书宋_GBK"/>
              </w:rPr>
            </w:pPr>
            <w:r>
              <w:rPr>
                <w:rFonts w:ascii="方正书宋_GBK" w:eastAsia="方正书宋_GBK"/>
              </w:rPr>
              <w:t>23.23</w:t>
            </w:r>
          </w:p>
        </w:tc>
        <w:tc>
          <w:tcPr>
            <w:tcW w:w="2976" w:type="dxa"/>
            <w:shd w:val="clear" w:color="auto" w:fill="auto"/>
            <w:vAlign w:val="center"/>
          </w:tcPr>
          <w:p w14:paraId="64897858">
            <w:pPr>
              <w:spacing w:line="300" w:lineRule="exact"/>
              <w:jc w:val="left"/>
              <w:rPr>
                <w:rFonts w:ascii="方正书宋_GBK" w:eastAsia="方正书宋_GBK"/>
              </w:rPr>
            </w:pPr>
            <w:r>
              <w:rPr>
                <w:rFonts w:hint="eastAsia" w:ascii="方正书宋_GBK" w:eastAsia="方正书宋_GBK"/>
              </w:rPr>
              <w:t>农村公益电影补贴、电影放映员生活补助</w:t>
            </w:r>
          </w:p>
        </w:tc>
        <w:tc>
          <w:tcPr>
            <w:tcW w:w="2976" w:type="dxa"/>
            <w:shd w:val="clear" w:color="auto" w:fill="auto"/>
            <w:vAlign w:val="center"/>
          </w:tcPr>
          <w:p w14:paraId="1E00190A">
            <w:pPr>
              <w:spacing w:line="300" w:lineRule="exact"/>
              <w:jc w:val="left"/>
              <w:rPr>
                <w:rFonts w:ascii="方正书宋_GBK" w:eastAsia="方正书宋_GBK"/>
              </w:rPr>
            </w:pPr>
            <w:r>
              <w:rPr>
                <w:rFonts w:hint="eastAsia" w:ascii="方正书宋_GBK" w:eastAsia="方正书宋_GBK"/>
              </w:rPr>
              <w:t>农村公益电影补贴、电影放映员生活补助全覆盖</w:t>
            </w:r>
          </w:p>
        </w:tc>
        <w:tc>
          <w:tcPr>
            <w:tcW w:w="1230" w:type="dxa"/>
            <w:shd w:val="clear" w:color="auto" w:fill="auto"/>
            <w:vAlign w:val="center"/>
          </w:tcPr>
          <w:p w14:paraId="145ACC63">
            <w:pPr>
              <w:spacing w:line="300" w:lineRule="exact"/>
              <w:jc w:val="left"/>
              <w:rPr>
                <w:rFonts w:ascii="方正书宋_GBK" w:eastAsia="方正书宋_GBK"/>
              </w:rPr>
            </w:pPr>
          </w:p>
        </w:tc>
        <w:tc>
          <w:tcPr>
            <w:tcW w:w="863" w:type="dxa"/>
            <w:shd w:val="clear" w:color="auto" w:fill="auto"/>
            <w:vAlign w:val="center"/>
          </w:tcPr>
          <w:p w14:paraId="5F8A42CD">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≥98%</w:t>
            </w:r>
          </w:p>
        </w:tc>
        <w:tc>
          <w:tcPr>
            <w:tcW w:w="798" w:type="dxa"/>
            <w:shd w:val="clear" w:color="auto" w:fill="auto"/>
            <w:vAlign w:val="center"/>
          </w:tcPr>
          <w:p w14:paraId="61FC367C">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0B310BC3">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3F67EA87">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56F0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DF021B7">
            <w:pPr>
              <w:spacing w:line="300" w:lineRule="exact"/>
              <w:jc w:val="left"/>
              <w:rPr>
                <w:rFonts w:ascii="方正书宋_GBK" w:eastAsia="方正书宋_GBK"/>
                <w:b/>
              </w:rPr>
            </w:pPr>
            <w:r>
              <w:rPr>
                <w:rFonts w:hint="eastAsia" w:ascii="方正书宋_GBK" w:eastAsia="方正书宋_GBK"/>
                <w:b/>
              </w:rPr>
              <w:t>　　农村公益电影补贴、电影放映员生活补助</w:t>
            </w:r>
          </w:p>
        </w:tc>
        <w:tc>
          <w:tcPr>
            <w:tcW w:w="1276" w:type="dxa"/>
            <w:shd w:val="clear" w:color="auto" w:fill="auto"/>
            <w:vAlign w:val="center"/>
          </w:tcPr>
          <w:p w14:paraId="25FD55B0">
            <w:pPr>
              <w:spacing w:line="300" w:lineRule="exact"/>
              <w:jc w:val="left"/>
              <w:rPr>
                <w:rFonts w:ascii="方正书宋_GBK" w:eastAsia="方正书宋_GBK"/>
              </w:rPr>
            </w:pPr>
            <w:r>
              <w:rPr>
                <w:rFonts w:ascii="方正书宋_GBK" w:eastAsia="方正书宋_GBK"/>
              </w:rPr>
              <w:t>23.23</w:t>
            </w:r>
          </w:p>
        </w:tc>
        <w:tc>
          <w:tcPr>
            <w:tcW w:w="2976" w:type="dxa"/>
            <w:shd w:val="clear" w:color="auto" w:fill="auto"/>
            <w:vAlign w:val="center"/>
          </w:tcPr>
          <w:p w14:paraId="6E15B605">
            <w:pPr>
              <w:spacing w:line="300" w:lineRule="exact"/>
              <w:jc w:val="left"/>
              <w:rPr>
                <w:rFonts w:ascii="方正书宋_GBK" w:eastAsia="方正书宋_GBK"/>
              </w:rPr>
            </w:pPr>
            <w:r>
              <w:rPr>
                <w:rFonts w:hint="eastAsia" w:ascii="方正书宋_GBK" w:eastAsia="方正书宋_GBK"/>
              </w:rPr>
              <w:t>县级农村公益电影补贴、电影放映员生活补助全覆盖</w:t>
            </w:r>
          </w:p>
        </w:tc>
        <w:tc>
          <w:tcPr>
            <w:tcW w:w="2976" w:type="dxa"/>
            <w:shd w:val="clear" w:color="auto" w:fill="auto"/>
            <w:vAlign w:val="center"/>
          </w:tcPr>
          <w:p w14:paraId="4F0ACE42">
            <w:pPr>
              <w:spacing w:line="300" w:lineRule="exact"/>
              <w:jc w:val="left"/>
              <w:rPr>
                <w:rFonts w:ascii="方正书宋_GBK" w:eastAsia="方正书宋_GBK"/>
              </w:rPr>
            </w:pPr>
            <w:r>
              <w:rPr>
                <w:rFonts w:hint="eastAsia" w:ascii="方正书宋_GBK" w:eastAsia="方正书宋_GBK"/>
              </w:rPr>
              <w:t>农村公益电影补贴、电影放映员生活补助全覆盖</w:t>
            </w:r>
          </w:p>
        </w:tc>
        <w:tc>
          <w:tcPr>
            <w:tcW w:w="1230" w:type="dxa"/>
            <w:shd w:val="clear" w:color="auto" w:fill="auto"/>
            <w:vAlign w:val="center"/>
          </w:tcPr>
          <w:p w14:paraId="6C6F8EF5">
            <w:pPr>
              <w:spacing w:line="300" w:lineRule="exact"/>
              <w:jc w:val="left"/>
              <w:rPr>
                <w:rFonts w:ascii="方正书宋_GBK" w:eastAsia="方正书宋_GBK"/>
              </w:rPr>
            </w:pPr>
            <w:r>
              <w:rPr>
                <w:rFonts w:hint="eastAsia" w:ascii="方正书宋_GBK" w:eastAsia="方正书宋_GBK"/>
              </w:rPr>
              <w:t>覆盖率</w:t>
            </w:r>
          </w:p>
        </w:tc>
        <w:tc>
          <w:tcPr>
            <w:tcW w:w="863" w:type="dxa"/>
            <w:shd w:val="clear" w:color="auto" w:fill="auto"/>
            <w:vAlign w:val="center"/>
          </w:tcPr>
          <w:p w14:paraId="2EC8FD15">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≥96%</w:t>
            </w:r>
          </w:p>
        </w:tc>
        <w:tc>
          <w:tcPr>
            <w:tcW w:w="798" w:type="dxa"/>
            <w:shd w:val="clear" w:color="auto" w:fill="auto"/>
            <w:vAlign w:val="center"/>
          </w:tcPr>
          <w:p w14:paraId="43B7B938">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64C4BF5F">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734856E3">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1499E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252205">
            <w:pPr>
              <w:spacing w:line="300" w:lineRule="exact"/>
              <w:jc w:val="left"/>
              <w:rPr>
                <w:rFonts w:ascii="方正书宋_GBK" w:eastAsia="方正书宋_GBK"/>
                <w:b/>
              </w:rPr>
            </w:pPr>
            <w:r>
              <w:rPr>
                <w:rFonts w:hint="eastAsia" w:ascii="方正书宋_GBK" w:eastAsia="方正书宋_GBK"/>
                <w:b/>
              </w:rPr>
              <w:t>公共文化服务体系建设</w:t>
            </w:r>
          </w:p>
        </w:tc>
        <w:tc>
          <w:tcPr>
            <w:tcW w:w="1276" w:type="dxa"/>
            <w:shd w:val="clear" w:color="auto" w:fill="auto"/>
            <w:vAlign w:val="center"/>
          </w:tcPr>
          <w:p w14:paraId="419C07B3">
            <w:pPr>
              <w:spacing w:line="300" w:lineRule="exact"/>
              <w:jc w:val="left"/>
              <w:rPr>
                <w:rFonts w:ascii="方正书宋_GBK" w:eastAsia="方正书宋_GBK"/>
              </w:rPr>
            </w:pPr>
          </w:p>
        </w:tc>
        <w:tc>
          <w:tcPr>
            <w:tcW w:w="2976" w:type="dxa"/>
            <w:shd w:val="clear" w:color="auto" w:fill="auto"/>
            <w:vAlign w:val="center"/>
          </w:tcPr>
          <w:p w14:paraId="6CCE67C1">
            <w:pPr>
              <w:spacing w:line="300" w:lineRule="exact"/>
              <w:jc w:val="left"/>
              <w:rPr>
                <w:rFonts w:ascii="方正书宋_GBK" w:eastAsia="方正书宋_GBK"/>
              </w:rPr>
            </w:pPr>
            <w:r>
              <w:rPr>
                <w:rFonts w:hint="eastAsia" w:ascii="方正书宋_GBK" w:eastAsia="方正书宋_GBK"/>
              </w:rPr>
              <w:t>公共文化服务体系建设</w:t>
            </w:r>
          </w:p>
        </w:tc>
        <w:tc>
          <w:tcPr>
            <w:tcW w:w="2976" w:type="dxa"/>
            <w:shd w:val="clear" w:color="auto" w:fill="auto"/>
            <w:vAlign w:val="center"/>
          </w:tcPr>
          <w:p w14:paraId="532E0950">
            <w:pPr>
              <w:spacing w:line="300" w:lineRule="exact"/>
              <w:jc w:val="left"/>
              <w:rPr>
                <w:rFonts w:ascii="方正书宋_GBK" w:eastAsia="方正书宋_GBK"/>
              </w:rPr>
            </w:pPr>
            <w:r>
              <w:rPr>
                <w:rFonts w:hint="eastAsia" w:ascii="方正书宋_GBK" w:eastAsia="方正书宋_GBK"/>
              </w:rPr>
              <w:t>公共文化服务体系建设</w:t>
            </w:r>
          </w:p>
        </w:tc>
        <w:tc>
          <w:tcPr>
            <w:tcW w:w="1230" w:type="dxa"/>
            <w:shd w:val="clear" w:color="auto" w:fill="auto"/>
            <w:vAlign w:val="center"/>
          </w:tcPr>
          <w:p w14:paraId="0CBC88CB">
            <w:pPr>
              <w:spacing w:line="300" w:lineRule="exact"/>
              <w:jc w:val="left"/>
              <w:rPr>
                <w:rFonts w:ascii="方正书宋_GBK" w:eastAsia="方正书宋_GBK"/>
              </w:rPr>
            </w:pPr>
          </w:p>
        </w:tc>
        <w:tc>
          <w:tcPr>
            <w:tcW w:w="863" w:type="dxa"/>
            <w:shd w:val="clear" w:color="auto" w:fill="auto"/>
            <w:vAlign w:val="center"/>
          </w:tcPr>
          <w:p w14:paraId="14EC7CA0">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≥96%</w:t>
            </w:r>
          </w:p>
        </w:tc>
        <w:tc>
          <w:tcPr>
            <w:tcW w:w="798" w:type="dxa"/>
            <w:shd w:val="clear" w:color="auto" w:fill="auto"/>
            <w:vAlign w:val="center"/>
          </w:tcPr>
          <w:p w14:paraId="7AA1BBFD">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2B5AB0BA">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72982EEE">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2063B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E14A4C2">
            <w:pPr>
              <w:spacing w:line="300" w:lineRule="exact"/>
              <w:jc w:val="left"/>
              <w:rPr>
                <w:rFonts w:ascii="方正书宋_GBK" w:eastAsia="方正书宋_GBK"/>
                <w:b/>
              </w:rPr>
            </w:pPr>
            <w:r>
              <w:rPr>
                <w:rFonts w:hint="eastAsia" w:ascii="方正书宋_GBK" w:eastAsia="方正书宋_GBK"/>
                <w:b/>
                <w:lang w:eastAsia="zh-CN"/>
              </w:rPr>
              <w:t>8</w:t>
            </w:r>
            <w:r>
              <w:rPr>
                <w:rFonts w:hint="eastAsia" w:ascii="方正书宋_GBK" w:eastAsia="方正书宋_GBK"/>
                <w:b/>
              </w:rPr>
              <w:t>　　公共文化服务体系建设</w:t>
            </w:r>
          </w:p>
        </w:tc>
        <w:tc>
          <w:tcPr>
            <w:tcW w:w="1276" w:type="dxa"/>
            <w:shd w:val="clear" w:color="auto" w:fill="auto"/>
            <w:vAlign w:val="center"/>
          </w:tcPr>
          <w:p w14:paraId="274C22CE">
            <w:pPr>
              <w:spacing w:line="300" w:lineRule="exact"/>
              <w:jc w:val="left"/>
              <w:rPr>
                <w:rFonts w:ascii="方正书宋_GBK" w:eastAsia="方正书宋_GBK"/>
              </w:rPr>
            </w:pPr>
          </w:p>
        </w:tc>
        <w:tc>
          <w:tcPr>
            <w:tcW w:w="2976" w:type="dxa"/>
            <w:shd w:val="clear" w:color="auto" w:fill="auto"/>
            <w:vAlign w:val="center"/>
          </w:tcPr>
          <w:p w14:paraId="58721216">
            <w:pPr>
              <w:spacing w:line="300" w:lineRule="exact"/>
              <w:jc w:val="left"/>
              <w:rPr>
                <w:rFonts w:ascii="方正书宋_GBK" w:eastAsia="方正书宋_GBK"/>
              </w:rPr>
            </w:pPr>
            <w:r>
              <w:rPr>
                <w:rFonts w:hint="eastAsia" w:ascii="方正书宋_GBK" w:eastAsia="方正书宋_GBK"/>
              </w:rPr>
              <w:t>公共文化服务体系建设</w:t>
            </w:r>
          </w:p>
        </w:tc>
        <w:tc>
          <w:tcPr>
            <w:tcW w:w="2976" w:type="dxa"/>
            <w:shd w:val="clear" w:color="auto" w:fill="auto"/>
            <w:vAlign w:val="center"/>
          </w:tcPr>
          <w:p w14:paraId="55F8FFCF">
            <w:pPr>
              <w:spacing w:line="300" w:lineRule="exact"/>
              <w:jc w:val="left"/>
              <w:rPr>
                <w:rFonts w:ascii="方正书宋_GBK" w:eastAsia="方正书宋_GBK"/>
              </w:rPr>
            </w:pPr>
            <w:r>
              <w:rPr>
                <w:rFonts w:hint="eastAsia" w:ascii="方正书宋_GBK" w:eastAsia="方正书宋_GBK"/>
              </w:rPr>
              <w:t>公共文化服务体系建设</w:t>
            </w:r>
          </w:p>
        </w:tc>
        <w:tc>
          <w:tcPr>
            <w:tcW w:w="1230" w:type="dxa"/>
            <w:shd w:val="clear" w:color="auto" w:fill="auto"/>
            <w:vAlign w:val="center"/>
          </w:tcPr>
          <w:p w14:paraId="365DF112">
            <w:pPr>
              <w:spacing w:line="300" w:lineRule="exact"/>
              <w:jc w:val="left"/>
              <w:rPr>
                <w:rFonts w:ascii="方正书宋_GBK" w:eastAsia="方正书宋_GBK"/>
              </w:rPr>
            </w:pPr>
            <w:r>
              <w:rPr>
                <w:rFonts w:hint="eastAsia" w:ascii="方正书宋_GBK" w:eastAsia="方正书宋_GBK"/>
              </w:rPr>
              <w:t>公共文化服务体系建设</w:t>
            </w:r>
          </w:p>
        </w:tc>
        <w:tc>
          <w:tcPr>
            <w:tcW w:w="863" w:type="dxa"/>
            <w:shd w:val="clear" w:color="auto" w:fill="auto"/>
            <w:vAlign w:val="center"/>
          </w:tcPr>
          <w:p w14:paraId="043F2464">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≥96%</w:t>
            </w:r>
          </w:p>
        </w:tc>
        <w:tc>
          <w:tcPr>
            <w:tcW w:w="798" w:type="dxa"/>
            <w:shd w:val="clear" w:color="auto" w:fill="auto"/>
            <w:vAlign w:val="center"/>
          </w:tcPr>
          <w:p w14:paraId="3381663D">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19971A6E">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10059F0E">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5FBA7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8F4DF0C">
            <w:pPr>
              <w:spacing w:line="300" w:lineRule="exact"/>
              <w:jc w:val="left"/>
              <w:rPr>
                <w:rFonts w:ascii="方正书宋_GBK" w:eastAsia="方正书宋_GBK"/>
                <w:b/>
              </w:rPr>
            </w:pPr>
            <w:r>
              <w:rPr>
                <w:rFonts w:hint="eastAsia" w:ascii="方正书宋_GBK" w:eastAsia="方正书宋_GBK"/>
                <w:b/>
              </w:rPr>
              <w:t>地方美术馆、公共图书馆、文化馆（站）免费开放</w:t>
            </w:r>
          </w:p>
        </w:tc>
        <w:tc>
          <w:tcPr>
            <w:tcW w:w="1276" w:type="dxa"/>
            <w:shd w:val="clear" w:color="auto" w:fill="auto"/>
            <w:vAlign w:val="center"/>
          </w:tcPr>
          <w:p w14:paraId="70D5DC40">
            <w:pPr>
              <w:spacing w:line="300" w:lineRule="exact"/>
              <w:jc w:val="left"/>
              <w:rPr>
                <w:rFonts w:ascii="方正书宋_GBK" w:eastAsia="方正书宋_GBK"/>
              </w:rPr>
            </w:pPr>
          </w:p>
        </w:tc>
        <w:tc>
          <w:tcPr>
            <w:tcW w:w="2976" w:type="dxa"/>
            <w:shd w:val="clear" w:color="auto" w:fill="auto"/>
            <w:vAlign w:val="center"/>
          </w:tcPr>
          <w:p w14:paraId="1B37977D">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2976" w:type="dxa"/>
            <w:shd w:val="clear" w:color="auto" w:fill="auto"/>
            <w:vAlign w:val="center"/>
          </w:tcPr>
          <w:p w14:paraId="6A5A0DB2">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1230" w:type="dxa"/>
            <w:shd w:val="clear" w:color="auto" w:fill="auto"/>
            <w:vAlign w:val="center"/>
          </w:tcPr>
          <w:p w14:paraId="2CA0ECF7">
            <w:pPr>
              <w:spacing w:line="300" w:lineRule="exact"/>
              <w:jc w:val="left"/>
              <w:rPr>
                <w:rFonts w:ascii="方正书宋_GBK" w:eastAsia="方正书宋_GBK"/>
              </w:rPr>
            </w:pPr>
          </w:p>
        </w:tc>
        <w:tc>
          <w:tcPr>
            <w:tcW w:w="863" w:type="dxa"/>
            <w:shd w:val="clear" w:color="auto" w:fill="auto"/>
            <w:vAlign w:val="center"/>
          </w:tcPr>
          <w:p w14:paraId="7D570CAA">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≥95%</w:t>
            </w:r>
          </w:p>
        </w:tc>
        <w:tc>
          <w:tcPr>
            <w:tcW w:w="798" w:type="dxa"/>
            <w:shd w:val="clear" w:color="auto" w:fill="auto"/>
            <w:vAlign w:val="center"/>
          </w:tcPr>
          <w:p w14:paraId="423B9A76">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0C77C064">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0C0A64FD">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r w14:paraId="70546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7079FF8">
            <w:pPr>
              <w:spacing w:line="300" w:lineRule="exact"/>
              <w:jc w:val="left"/>
              <w:rPr>
                <w:rFonts w:ascii="方正书宋_GBK" w:eastAsia="方正书宋_GBK"/>
                <w:b/>
              </w:rPr>
            </w:pPr>
            <w:r>
              <w:rPr>
                <w:rFonts w:hint="eastAsia" w:ascii="方正书宋_GBK" w:eastAsia="方正书宋_GBK"/>
                <w:b/>
              </w:rPr>
              <w:t>　　地方美术馆、公共图书馆、文化馆（站）免费开放</w:t>
            </w:r>
          </w:p>
        </w:tc>
        <w:tc>
          <w:tcPr>
            <w:tcW w:w="1276" w:type="dxa"/>
            <w:shd w:val="clear" w:color="auto" w:fill="auto"/>
            <w:vAlign w:val="center"/>
          </w:tcPr>
          <w:p w14:paraId="286D3F74">
            <w:pPr>
              <w:spacing w:line="300" w:lineRule="exact"/>
              <w:jc w:val="left"/>
              <w:rPr>
                <w:rFonts w:ascii="方正书宋_GBK" w:eastAsia="方正书宋_GBK"/>
              </w:rPr>
            </w:pPr>
          </w:p>
        </w:tc>
        <w:tc>
          <w:tcPr>
            <w:tcW w:w="2976" w:type="dxa"/>
            <w:shd w:val="clear" w:color="auto" w:fill="auto"/>
            <w:vAlign w:val="center"/>
          </w:tcPr>
          <w:p w14:paraId="3384F87D">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2976" w:type="dxa"/>
            <w:shd w:val="clear" w:color="auto" w:fill="auto"/>
            <w:vAlign w:val="center"/>
          </w:tcPr>
          <w:p w14:paraId="377D7E25">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1230" w:type="dxa"/>
            <w:shd w:val="clear" w:color="auto" w:fill="auto"/>
            <w:vAlign w:val="center"/>
          </w:tcPr>
          <w:p w14:paraId="2326E27C">
            <w:pPr>
              <w:spacing w:line="300" w:lineRule="exact"/>
              <w:jc w:val="left"/>
              <w:rPr>
                <w:rFonts w:ascii="方正书宋_GBK" w:eastAsia="方正书宋_GBK"/>
              </w:rPr>
            </w:pPr>
            <w:r>
              <w:rPr>
                <w:rFonts w:hint="eastAsia" w:ascii="方正书宋_GBK" w:eastAsia="方正书宋_GBK"/>
              </w:rPr>
              <w:t>地方美术馆、公共图书馆、文化馆（站）免费开放</w:t>
            </w:r>
          </w:p>
        </w:tc>
        <w:tc>
          <w:tcPr>
            <w:tcW w:w="863" w:type="dxa"/>
            <w:shd w:val="clear" w:color="auto" w:fill="auto"/>
            <w:vAlign w:val="center"/>
          </w:tcPr>
          <w:p w14:paraId="1E7D545C">
            <w:pPr>
              <w:spacing w:line="300" w:lineRule="exact"/>
              <w:jc w:val="center"/>
              <w:rPr>
                <w:rFonts w:hint="default" w:ascii="方正书宋_GBK" w:eastAsia="方正书宋_GBK"/>
                <w:lang w:val="en-US" w:eastAsia="zh-CN"/>
              </w:rPr>
            </w:pPr>
            <w:r>
              <w:rPr>
                <w:rFonts w:hint="eastAsia" w:ascii="方正书宋_GBK" w:eastAsia="方正书宋_GBK"/>
                <w:lang w:val="en-US" w:eastAsia="zh-CN"/>
              </w:rPr>
              <w:t>≥96%</w:t>
            </w:r>
          </w:p>
        </w:tc>
        <w:tc>
          <w:tcPr>
            <w:tcW w:w="798" w:type="dxa"/>
            <w:shd w:val="clear" w:color="auto" w:fill="auto"/>
            <w:vAlign w:val="center"/>
          </w:tcPr>
          <w:p w14:paraId="73087BEC">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90</w:t>
            </w:r>
            <w:r>
              <w:rPr>
                <w:rFonts w:hint="eastAsia" w:ascii="方正书宋_GBK" w:eastAsia="方正书宋_GBK"/>
                <w:lang w:val="en-US" w:eastAsia="zh-CN"/>
              </w:rPr>
              <w:t>%</w:t>
            </w:r>
          </w:p>
        </w:tc>
        <w:tc>
          <w:tcPr>
            <w:tcW w:w="737" w:type="dxa"/>
            <w:shd w:val="clear" w:color="auto" w:fill="auto"/>
            <w:vAlign w:val="center"/>
          </w:tcPr>
          <w:p w14:paraId="3506F872">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ascii="方正书宋_GBK" w:eastAsia="方正书宋_GBK"/>
              </w:rPr>
              <w:t>80</w:t>
            </w:r>
            <w:r>
              <w:rPr>
                <w:rFonts w:hint="eastAsia" w:ascii="方正书宋_GBK" w:eastAsia="方正书宋_GBK"/>
                <w:lang w:val="en-US" w:eastAsia="zh-CN"/>
              </w:rPr>
              <w:t>%</w:t>
            </w:r>
          </w:p>
        </w:tc>
        <w:tc>
          <w:tcPr>
            <w:tcW w:w="737" w:type="dxa"/>
            <w:shd w:val="clear" w:color="auto" w:fill="auto"/>
            <w:vAlign w:val="center"/>
          </w:tcPr>
          <w:p w14:paraId="74C43361">
            <w:pPr>
              <w:spacing w:line="300" w:lineRule="exact"/>
              <w:jc w:val="center"/>
              <w:rPr>
                <w:rFonts w:hint="eastAsia" w:ascii="方正书宋_GBK" w:eastAsia="方正书宋_GBK"/>
                <w:lang w:val="en-US" w:eastAsia="zh-CN"/>
              </w:rPr>
            </w:pPr>
            <w:r>
              <w:rPr>
                <w:rFonts w:hint="eastAsia" w:ascii="方正书宋_GBK" w:eastAsia="方正书宋_GBK"/>
                <w:lang w:eastAsia="zh-CN"/>
              </w:rPr>
              <w:t>≤</w:t>
            </w:r>
            <w:r>
              <w:rPr>
                <w:rFonts w:hint="eastAsia" w:ascii="方正书宋_GBK" w:eastAsia="方正书宋_GBK"/>
                <w:lang w:val="en-US" w:eastAsia="zh-CN"/>
              </w:rPr>
              <w:t>8</w:t>
            </w:r>
            <w:r>
              <w:rPr>
                <w:rFonts w:ascii="方正书宋_GBK" w:eastAsia="方正书宋_GBK"/>
              </w:rPr>
              <w:t>0</w:t>
            </w:r>
            <w:r>
              <w:rPr>
                <w:rFonts w:hint="eastAsia" w:ascii="方正书宋_GBK" w:eastAsia="方正书宋_GBK"/>
                <w:lang w:val="en-US" w:eastAsia="zh-CN"/>
              </w:rPr>
              <w:t>%</w:t>
            </w:r>
          </w:p>
        </w:tc>
      </w:tr>
    </w:tbl>
    <w:p w14:paraId="43829DD1">
      <w:pPr>
        <w:widowControl/>
        <w:spacing w:line="360" w:lineRule="auto"/>
        <w:ind w:firstLine="640" w:firstLineChars="200"/>
        <w:jc w:val="left"/>
        <w:rPr>
          <w:rFonts w:ascii="仿宋" w:hAnsi="仿宋" w:eastAsia="仿宋"/>
          <w:sz w:val="32"/>
          <w:szCs w:val="32"/>
        </w:rPr>
        <w:sectPr>
          <w:pgSz w:w="16839" w:h="11907" w:orient="landscape"/>
          <w:pgMar w:top="1134" w:right="1021" w:bottom="1134" w:left="1021" w:header="851" w:footer="992" w:gutter="0"/>
          <w:cols w:space="425" w:num="1"/>
          <w:docGrid w:type="linesAndChars" w:linePitch="312" w:charSpace="0"/>
        </w:sectPr>
      </w:pPr>
    </w:p>
    <w:p w14:paraId="714EF5E7">
      <w:pPr>
        <w:autoSpaceDE w:val="0"/>
        <w:autoSpaceDN w:val="0"/>
        <w:adjustRightInd w:val="0"/>
        <w:spacing w:line="560" w:lineRule="exact"/>
        <w:ind w:firstLine="640" w:firstLineChars="200"/>
        <w:jc w:val="left"/>
        <w:rPr>
          <w:rFonts w:ascii="黑体" w:hAnsi="黑体" w:eastAsia="黑体" w:cs="Times New Roman"/>
          <w:sz w:val="32"/>
          <w:szCs w:val="32"/>
        </w:rPr>
      </w:pPr>
      <w:r>
        <w:rPr>
          <w:rFonts w:hint="eastAsia" w:ascii="黑体" w:hAnsi="黑体" w:eastAsia="黑体" w:cs="黑体"/>
          <w:sz w:val="32"/>
          <w:szCs w:val="32"/>
        </w:rPr>
        <w:t>六、政府采购预算情况</w:t>
      </w:r>
    </w:p>
    <w:p w14:paraId="115276C1">
      <w:pPr>
        <w:spacing w:line="560" w:lineRule="exact"/>
        <w:outlineLvl w:val="0"/>
        <w:rPr>
          <w:rFonts w:ascii="仿宋" w:hAnsi="仿宋" w:eastAsia="仿宋" w:cs="Times New Roman"/>
          <w:sz w:val="32"/>
          <w:szCs w:val="32"/>
        </w:rPr>
      </w:pPr>
      <w:bookmarkStart w:id="1" w:name="_Toc471398468"/>
      <w:r>
        <w:rPr>
          <w:rFonts w:ascii="仿宋" w:hAnsi="仿宋" w:eastAsia="仿宋" w:cs="Times New Roman"/>
          <w:sz w:val="32"/>
          <w:szCs w:val="32"/>
        </w:rPr>
        <w:t xml:space="preserve"> </w:t>
      </w:r>
      <w:r>
        <w:rPr>
          <w:rFonts w:hint="eastAsia" w:ascii="仿宋" w:hAnsi="仿宋" w:eastAsia="仿宋" w:cs="Times New Roman"/>
          <w:sz w:val="32"/>
          <w:szCs w:val="32"/>
          <w:lang w:val="en-US" w:eastAsia="zh-CN"/>
        </w:rPr>
        <w:t xml:space="preserve">  </w:t>
      </w:r>
      <w:r>
        <w:rPr>
          <w:rFonts w:ascii="仿宋" w:hAnsi="仿宋" w:eastAsia="仿宋" w:cs="Times New Roman"/>
          <w:sz w:val="32"/>
          <w:szCs w:val="32"/>
        </w:rPr>
        <w:t xml:space="preserve"> 20</w:t>
      </w:r>
      <w:r>
        <w:rPr>
          <w:rFonts w:hint="eastAsia" w:ascii="仿宋" w:hAnsi="仿宋" w:eastAsia="仿宋" w:cs="Times New Roman"/>
          <w:sz w:val="32"/>
          <w:szCs w:val="32"/>
        </w:rPr>
        <w:t>2</w:t>
      </w:r>
      <w:r>
        <w:rPr>
          <w:rFonts w:hint="eastAsia" w:ascii="仿宋" w:hAnsi="仿宋" w:eastAsia="仿宋" w:cs="Times New Roman"/>
          <w:sz w:val="32"/>
          <w:szCs w:val="32"/>
          <w:lang w:val="en-US" w:eastAsia="zh-CN"/>
        </w:rPr>
        <w:t>1</w:t>
      </w:r>
      <w:r>
        <w:rPr>
          <w:rFonts w:hint="eastAsia" w:ascii="仿宋" w:hAnsi="仿宋" w:eastAsia="仿宋" w:cs="方正仿宋_GBK"/>
          <w:sz w:val="32"/>
          <w:szCs w:val="32"/>
        </w:rPr>
        <w:t>年，我单位安排政府采购预算</w:t>
      </w:r>
      <w:r>
        <w:rPr>
          <w:rFonts w:hint="eastAsia" w:ascii="仿宋" w:hAnsi="仿宋" w:eastAsia="仿宋" w:cs="方正仿宋_GBK"/>
          <w:sz w:val="32"/>
          <w:szCs w:val="32"/>
          <w:lang w:val="en-US" w:eastAsia="zh-CN"/>
        </w:rPr>
        <w:t>4.5</w:t>
      </w:r>
      <w:r>
        <w:rPr>
          <w:rFonts w:hint="eastAsia" w:ascii="仿宋" w:hAnsi="仿宋" w:eastAsia="仿宋" w:cs="方正仿宋_GBK"/>
          <w:sz w:val="32"/>
          <w:szCs w:val="32"/>
        </w:rPr>
        <w:t>万元。</w:t>
      </w:r>
      <w:r>
        <w:rPr>
          <w:rFonts w:ascii="仿宋" w:hAnsi="仿宋" w:eastAsia="仿宋"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w:t>
      </w:r>
      <w:r>
        <w:rPr>
          <w:rFonts w:ascii="仿宋" w:hAnsi="仿宋" w:eastAsia="仿宋" w:cs="Times New Roman"/>
          <w:sz w:val="32"/>
          <w:szCs w:val="32"/>
        </w:rPr>
        <w:t xml:space="preserve"> </w:t>
      </w:r>
      <w:r>
        <w:rPr>
          <w:rFonts w:hint="eastAsia" w:ascii="仿宋" w:hAnsi="仿宋" w:eastAsia="仿宋" w:cs="方正仿宋_GBK"/>
          <w:sz w:val="32"/>
          <w:szCs w:val="32"/>
        </w:rPr>
        <w:t>具体内容见下表。</w:t>
      </w:r>
    </w:p>
    <w:p w14:paraId="39CAB705">
      <w:pPr>
        <w:spacing w:line="560" w:lineRule="exact"/>
        <w:jc w:val="center"/>
        <w:outlineLvl w:val="0"/>
        <w:rPr>
          <w:rFonts w:ascii="仿宋" w:hAnsi="仿宋" w:eastAsia="仿宋" w:cs="Times New Roman"/>
          <w:sz w:val="32"/>
          <w:szCs w:val="32"/>
        </w:rPr>
      </w:pPr>
      <w:r>
        <w:rPr>
          <w:rFonts w:hint="eastAsia" w:ascii="仿宋" w:hAnsi="仿宋" w:eastAsia="仿宋" w:cs="方正小标宋_GBK"/>
          <w:sz w:val="32"/>
          <w:szCs w:val="32"/>
        </w:rPr>
        <w:t>部门政府采购预算</w:t>
      </w:r>
      <w:bookmarkEnd w:id="1"/>
    </w:p>
    <w:tbl>
      <w:tblPr>
        <w:tblStyle w:val="7"/>
        <w:tblW w:w="150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77"/>
        <w:gridCol w:w="1105"/>
        <w:gridCol w:w="910"/>
        <w:gridCol w:w="1447"/>
        <w:gridCol w:w="910"/>
        <w:gridCol w:w="910"/>
        <w:gridCol w:w="934"/>
        <w:gridCol w:w="931"/>
        <w:gridCol w:w="931"/>
        <w:gridCol w:w="931"/>
        <w:gridCol w:w="847"/>
        <w:gridCol w:w="913"/>
        <w:gridCol w:w="913"/>
        <w:gridCol w:w="856"/>
      </w:tblGrid>
      <w:tr w14:paraId="7C129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693" w:type="dxa"/>
            <w:gridSpan w:val="7"/>
            <w:tcBorders>
              <w:top w:val="single" w:color="FFFFFF" w:sz="6" w:space="0"/>
              <w:left w:val="single" w:color="FFFFFF" w:sz="6" w:space="0"/>
              <w:right w:val="single" w:color="FFFFFF" w:sz="6" w:space="0"/>
            </w:tcBorders>
            <w:vAlign w:val="center"/>
          </w:tcPr>
          <w:p w14:paraId="5F8CC4A5">
            <w:pPr>
              <w:spacing w:line="560" w:lineRule="exact"/>
              <w:jc w:val="left"/>
              <w:rPr>
                <w:rFonts w:cs="方正小标宋_GBK" w:asciiTheme="minorEastAsia" w:hAnsiTheme="minorEastAsia"/>
              </w:rPr>
            </w:pPr>
            <w:r>
              <w:rPr>
                <w:rFonts w:hint="eastAsia" w:cs="方正小标宋_GBK" w:asciiTheme="minorEastAsia" w:hAnsiTheme="minorEastAsia"/>
              </w:rPr>
              <w:t>部门（单位）名称：成安县文化广电和旅游局</w:t>
            </w:r>
          </w:p>
        </w:tc>
        <w:tc>
          <w:tcPr>
            <w:tcW w:w="6322" w:type="dxa"/>
            <w:gridSpan w:val="7"/>
            <w:tcBorders>
              <w:top w:val="single" w:color="FFFFFF" w:sz="6" w:space="0"/>
              <w:left w:val="single" w:color="FFFFFF" w:sz="6" w:space="0"/>
              <w:right w:val="single" w:color="FFFFFF" w:sz="6" w:space="0"/>
            </w:tcBorders>
            <w:vAlign w:val="center"/>
          </w:tcPr>
          <w:p w14:paraId="281662FC">
            <w:pPr>
              <w:spacing w:line="560" w:lineRule="exact"/>
              <w:jc w:val="right"/>
              <w:rPr>
                <w:rFonts w:cs="Times New Roman" w:asciiTheme="minorEastAsia" w:hAnsiTheme="minorEastAsia"/>
              </w:rPr>
            </w:pPr>
            <w:r>
              <w:rPr>
                <w:rFonts w:hint="eastAsia" w:cs="方正书宋_GBK" w:asciiTheme="minorEastAsia" w:hAnsiTheme="minorEastAsia"/>
              </w:rPr>
              <w:t>单位：万元</w:t>
            </w:r>
          </w:p>
        </w:tc>
      </w:tr>
      <w:tr w14:paraId="47A24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82" w:type="dxa"/>
            <w:gridSpan w:val="2"/>
            <w:vAlign w:val="center"/>
          </w:tcPr>
          <w:p w14:paraId="663693FD">
            <w:pPr>
              <w:spacing w:line="560" w:lineRule="exact"/>
              <w:jc w:val="center"/>
              <w:rPr>
                <w:rFonts w:cs="Times New Roman" w:asciiTheme="minorEastAsia" w:hAnsiTheme="minorEastAsia"/>
                <w:b/>
                <w:bCs/>
              </w:rPr>
            </w:pPr>
            <w:r>
              <w:rPr>
                <w:rFonts w:hint="eastAsia" w:cs="方正书宋_GBK" w:asciiTheme="minorEastAsia" w:hAnsiTheme="minorEastAsia"/>
                <w:b/>
                <w:bCs/>
              </w:rPr>
              <w:t>政府采购项目来源</w:t>
            </w:r>
          </w:p>
        </w:tc>
        <w:tc>
          <w:tcPr>
            <w:tcW w:w="910" w:type="dxa"/>
            <w:vMerge w:val="restart"/>
            <w:vAlign w:val="center"/>
          </w:tcPr>
          <w:p w14:paraId="3E192F47">
            <w:pPr>
              <w:spacing w:line="560" w:lineRule="exact"/>
              <w:jc w:val="center"/>
              <w:rPr>
                <w:rFonts w:cs="Times New Roman" w:asciiTheme="minorEastAsia" w:hAnsiTheme="minorEastAsia"/>
                <w:b/>
                <w:bCs/>
              </w:rPr>
            </w:pPr>
            <w:r>
              <w:rPr>
                <w:rFonts w:hint="eastAsia" w:cs="方正书宋_GBK" w:asciiTheme="minorEastAsia" w:hAnsiTheme="minorEastAsia"/>
                <w:b/>
                <w:bCs/>
              </w:rPr>
              <w:t>采购物品名称</w:t>
            </w:r>
          </w:p>
        </w:tc>
        <w:tc>
          <w:tcPr>
            <w:tcW w:w="1447" w:type="dxa"/>
            <w:vMerge w:val="restart"/>
            <w:vAlign w:val="center"/>
          </w:tcPr>
          <w:p w14:paraId="2BA2362D">
            <w:pPr>
              <w:spacing w:line="560" w:lineRule="exact"/>
              <w:jc w:val="center"/>
              <w:rPr>
                <w:rFonts w:cs="Times New Roman" w:asciiTheme="minorEastAsia" w:hAnsiTheme="minorEastAsia"/>
                <w:b/>
                <w:bCs/>
              </w:rPr>
            </w:pPr>
            <w:r>
              <w:rPr>
                <w:rFonts w:hint="eastAsia" w:cs="方正书宋_GBK" w:asciiTheme="minorEastAsia" w:hAnsiTheme="minorEastAsia"/>
                <w:b/>
                <w:bCs/>
              </w:rPr>
              <w:t>政府采购目录序号</w:t>
            </w:r>
          </w:p>
        </w:tc>
        <w:tc>
          <w:tcPr>
            <w:tcW w:w="910" w:type="dxa"/>
            <w:vMerge w:val="restart"/>
            <w:vAlign w:val="center"/>
          </w:tcPr>
          <w:p w14:paraId="61A8E881">
            <w:pPr>
              <w:spacing w:line="560" w:lineRule="exact"/>
              <w:jc w:val="center"/>
              <w:rPr>
                <w:rFonts w:cs="Times New Roman" w:asciiTheme="minorEastAsia" w:hAnsiTheme="minorEastAsia"/>
                <w:b/>
                <w:bCs/>
              </w:rPr>
            </w:pPr>
            <w:r>
              <w:rPr>
                <w:rFonts w:hint="eastAsia" w:cs="方正书宋_GBK" w:asciiTheme="minorEastAsia" w:hAnsiTheme="minorEastAsia"/>
                <w:b/>
                <w:bCs/>
              </w:rPr>
              <w:t>数量单位</w:t>
            </w:r>
          </w:p>
        </w:tc>
        <w:tc>
          <w:tcPr>
            <w:tcW w:w="910" w:type="dxa"/>
            <w:vMerge w:val="restart"/>
            <w:vAlign w:val="center"/>
          </w:tcPr>
          <w:p w14:paraId="779ECAAA">
            <w:pPr>
              <w:spacing w:line="560" w:lineRule="exact"/>
              <w:jc w:val="center"/>
              <w:rPr>
                <w:rFonts w:cs="Times New Roman" w:asciiTheme="minorEastAsia" w:hAnsiTheme="minorEastAsia"/>
                <w:b/>
                <w:bCs/>
              </w:rPr>
            </w:pPr>
            <w:r>
              <w:rPr>
                <w:rFonts w:hint="eastAsia" w:cs="方正书宋_GBK" w:asciiTheme="minorEastAsia" w:hAnsiTheme="minorEastAsia"/>
                <w:b/>
                <w:bCs/>
              </w:rPr>
              <w:t>数量</w:t>
            </w:r>
          </w:p>
        </w:tc>
        <w:tc>
          <w:tcPr>
            <w:tcW w:w="934" w:type="dxa"/>
            <w:vMerge w:val="restart"/>
            <w:vAlign w:val="center"/>
          </w:tcPr>
          <w:p w14:paraId="6180369D">
            <w:pPr>
              <w:spacing w:line="560" w:lineRule="exact"/>
              <w:jc w:val="center"/>
              <w:rPr>
                <w:rFonts w:cs="Times New Roman" w:asciiTheme="minorEastAsia" w:hAnsiTheme="minorEastAsia"/>
                <w:b/>
                <w:bCs/>
              </w:rPr>
            </w:pPr>
            <w:r>
              <w:rPr>
                <w:rFonts w:hint="eastAsia" w:cs="方正书宋_GBK" w:asciiTheme="minorEastAsia" w:hAnsiTheme="minorEastAsia"/>
                <w:b/>
                <w:bCs/>
              </w:rPr>
              <w:t>单价</w:t>
            </w:r>
          </w:p>
        </w:tc>
        <w:tc>
          <w:tcPr>
            <w:tcW w:w="6322" w:type="dxa"/>
            <w:gridSpan w:val="7"/>
            <w:vAlign w:val="center"/>
          </w:tcPr>
          <w:p w14:paraId="1B01E491">
            <w:pPr>
              <w:spacing w:line="560" w:lineRule="exact"/>
              <w:jc w:val="center"/>
              <w:rPr>
                <w:rFonts w:cs="Times New Roman" w:asciiTheme="minorEastAsia" w:hAnsiTheme="minorEastAsia"/>
                <w:b/>
                <w:bCs/>
              </w:rPr>
            </w:pPr>
            <w:r>
              <w:rPr>
                <w:rFonts w:hint="eastAsia" w:cs="方正书宋_GBK" w:asciiTheme="minorEastAsia" w:hAnsiTheme="minorEastAsia"/>
                <w:b/>
                <w:bCs/>
              </w:rPr>
              <w:t>政府采购金额</w:t>
            </w:r>
          </w:p>
        </w:tc>
      </w:tr>
      <w:tr w14:paraId="4739E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77" w:type="dxa"/>
            <w:vMerge w:val="restart"/>
            <w:vAlign w:val="center"/>
          </w:tcPr>
          <w:p w14:paraId="4EB3399A">
            <w:pPr>
              <w:spacing w:line="560" w:lineRule="exact"/>
              <w:jc w:val="center"/>
              <w:rPr>
                <w:rFonts w:cs="Times New Roman" w:asciiTheme="minorEastAsia" w:hAnsiTheme="minorEastAsia"/>
                <w:b/>
                <w:bCs/>
              </w:rPr>
            </w:pPr>
            <w:r>
              <w:rPr>
                <w:rFonts w:hint="eastAsia" w:cs="方正书宋_GBK" w:asciiTheme="minorEastAsia" w:hAnsiTheme="minorEastAsia"/>
                <w:b/>
                <w:bCs/>
              </w:rPr>
              <w:t>项目名称</w:t>
            </w:r>
          </w:p>
        </w:tc>
        <w:tc>
          <w:tcPr>
            <w:tcW w:w="1105" w:type="dxa"/>
            <w:vMerge w:val="restart"/>
            <w:vAlign w:val="center"/>
          </w:tcPr>
          <w:p w14:paraId="4D6DD274">
            <w:pPr>
              <w:spacing w:line="560" w:lineRule="exact"/>
              <w:jc w:val="center"/>
              <w:rPr>
                <w:rFonts w:cs="Times New Roman" w:asciiTheme="minorEastAsia" w:hAnsiTheme="minorEastAsia"/>
                <w:b/>
                <w:bCs/>
              </w:rPr>
            </w:pPr>
            <w:r>
              <w:rPr>
                <w:rFonts w:hint="eastAsia" w:cs="方正书宋_GBK" w:asciiTheme="minorEastAsia" w:hAnsiTheme="minorEastAsia"/>
                <w:b/>
                <w:bCs/>
              </w:rPr>
              <w:t>预算资金</w:t>
            </w:r>
          </w:p>
        </w:tc>
        <w:tc>
          <w:tcPr>
            <w:tcW w:w="910" w:type="dxa"/>
            <w:vMerge w:val="continue"/>
            <w:vAlign w:val="center"/>
          </w:tcPr>
          <w:p w14:paraId="7A15422D">
            <w:pPr>
              <w:spacing w:line="560" w:lineRule="exact"/>
              <w:jc w:val="left"/>
              <w:outlineLvl w:val="0"/>
              <w:rPr>
                <w:rFonts w:cs="Times New Roman" w:asciiTheme="minorEastAsia" w:hAnsiTheme="minorEastAsia"/>
              </w:rPr>
            </w:pPr>
          </w:p>
        </w:tc>
        <w:tc>
          <w:tcPr>
            <w:tcW w:w="1447" w:type="dxa"/>
            <w:vMerge w:val="continue"/>
            <w:vAlign w:val="center"/>
          </w:tcPr>
          <w:p w14:paraId="554B84FF">
            <w:pPr>
              <w:spacing w:line="560" w:lineRule="exact"/>
              <w:jc w:val="left"/>
              <w:outlineLvl w:val="0"/>
              <w:rPr>
                <w:rFonts w:cs="Times New Roman" w:asciiTheme="minorEastAsia" w:hAnsiTheme="minorEastAsia"/>
              </w:rPr>
            </w:pPr>
          </w:p>
        </w:tc>
        <w:tc>
          <w:tcPr>
            <w:tcW w:w="910" w:type="dxa"/>
            <w:vMerge w:val="continue"/>
            <w:vAlign w:val="center"/>
          </w:tcPr>
          <w:p w14:paraId="0B871C6E">
            <w:pPr>
              <w:spacing w:line="560" w:lineRule="exact"/>
              <w:jc w:val="left"/>
              <w:outlineLvl w:val="0"/>
              <w:rPr>
                <w:rFonts w:cs="Times New Roman" w:asciiTheme="minorEastAsia" w:hAnsiTheme="minorEastAsia"/>
              </w:rPr>
            </w:pPr>
          </w:p>
        </w:tc>
        <w:tc>
          <w:tcPr>
            <w:tcW w:w="910" w:type="dxa"/>
            <w:vMerge w:val="continue"/>
            <w:vAlign w:val="center"/>
          </w:tcPr>
          <w:p w14:paraId="0CC23CFC">
            <w:pPr>
              <w:spacing w:line="560" w:lineRule="exact"/>
              <w:jc w:val="left"/>
              <w:outlineLvl w:val="0"/>
              <w:rPr>
                <w:rFonts w:cs="Times New Roman" w:asciiTheme="minorEastAsia" w:hAnsiTheme="minorEastAsia"/>
              </w:rPr>
            </w:pPr>
          </w:p>
        </w:tc>
        <w:tc>
          <w:tcPr>
            <w:tcW w:w="934" w:type="dxa"/>
            <w:vMerge w:val="continue"/>
            <w:vAlign w:val="center"/>
          </w:tcPr>
          <w:p w14:paraId="2F03711A">
            <w:pPr>
              <w:spacing w:line="560" w:lineRule="exact"/>
              <w:jc w:val="left"/>
              <w:outlineLvl w:val="0"/>
              <w:rPr>
                <w:rFonts w:cs="Times New Roman" w:asciiTheme="minorEastAsia" w:hAnsiTheme="minorEastAsia"/>
              </w:rPr>
            </w:pPr>
          </w:p>
        </w:tc>
        <w:tc>
          <w:tcPr>
            <w:tcW w:w="931" w:type="dxa"/>
            <w:vMerge w:val="restart"/>
            <w:vAlign w:val="center"/>
          </w:tcPr>
          <w:p w14:paraId="6B56E7EB">
            <w:pPr>
              <w:spacing w:line="560" w:lineRule="exact"/>
              <w:jc w:val="center"/>
              <w:rPr>
                <w:rFonts w:cs="Times New Roman" w:asciiTheme="minorEastAsia" w:hAnsiTheme="minorEastAsia"/>
                <w:b/>
                <w:bCs/>
              </w:rPr>
            </w:pPr>
            <w:r>
              <w:rPr>
                <w:rFonts w:hint="eastAsia" w:cs="方正书宋_GBK" w:asciiTheme="minorEastAsia" w:hAnsiTheme="minorEastAsia"/>
                <w:b/>
                <w:bCs/>
              </w:rPr>
              <w:t>总计</w:t>
            </w:r>
          </w:p>
        </w:tc>
        <w:tc>
          <w:tcPr>
            <w:tcW w:w="4535" w:type="dxa"/>
            <w:gridSpan w:val="5"/>
            <w:vAlign w:val="center"/>
          </w:tcPr>
          <w:p w14:paraId="591FBB17">
            <w:pPr>
              <w:spacing w:line="560" w:lineRule="exact"/>
              <w:jc w:val="center"/>
              <w:rPr>
                <w:rFonts w:cs="Times New Roman" w:asciiTheme="minorEastAsia" w:hAnsiTheme="minorEastAsia"/>
                <w:b/>
                <w:bCs/>
              </w:rPr>
            </w:pPr>
            <w:r>
              <w:rPr>
                <w:rFonts w:hint="eastAsia" w:cs="方正书宋_GBK" w:asciiTheme="minorEastAsia" w:hAnsiTheme="minorEastAsia"/>
                <w:b/>
                <w:bCs/>
              </w:rPr>
              <w:t>当年部门预算安排资金</w:t>
            </w:r>
          </w:p>
        </w:tc>
        <w:tc>
          <w:tcPr>
            <w:tcW w:w="856" w:type="dxa"/>
            <w:vMerge w:val="restart"/>
            <w:vAlign w:val="center"/>
          </w:tcPr>
          <w:p w14:paraId="6B00247B">
            <w:pPr>
              <w:spacing w:line="560" w:lineRule="exact"/>
              <w:jc w:val="center"/>
              <w:rPr>
                <w:rFonts w:cs="Times New Roman" w:asciiTheme="minorEastAsia" w:hAnsiTheme="minorEastAsia"/>
                <w:b/>
                <w:bCs/>
              </w:rPr>
            </w:pPr>
            <w:r>
              <w:rPr>
                <w:rFonts w:hint="eastAsia" w:cs="方正书宋_GBK" w:asciiTheme="minorEastAsia" w:hAnsiTheme="minorEastAsia"/>
                <w:b/>
                <w:bCs/>
              </w:rPr>
              <w:t>其他渠道资金</w:t>
            </w:r>
          </w:p>
        </w:tc>
      </w:tr>
      <w:tr w14:paraId="3FB1E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77" w:type="dxa"/>
            <w:vMerge w:val="continue"/>
            <w:vAlign w:val="center"/>
          </w:tcPr>
          <w:p w14:paraId="67AB0DAE">
            <w:pPr>
              <w:spacing w:line="560" w:lineRule="exact"/>
              <w:jc w:val="left"/>
              <w:outlineLvl w:val="0"/>
              <w:rPr>
                <w:rFonts w:cs="Times New Roman" w:asciiTheme="minorEastAsia" w:hAnsiTheme="minorEastAsia"/>
              </w:rPr>
            </w:pPr>
          </w:p>
        </w:tc>
        <w:tc>
          <w:tcPr>
            <w:tcW w:w="1105" w:type="dxa"/>
            <w:vMerge w:val="continue"/>
            <w:vAlign w:val="center"/>
          </w:tcPr>
          <w:p w14:paraId="447B5C18">
            <w:pPr>
              <w:spacing w:line="560" w:lineRule="exact"/>
              <w:jc w:val="left"/>
              <w:outlineLvl w:val="0"/>
              <w:rPr>
                <w:rFonts w:cs="Times New Roman" w:asciiTheme="minorEastAsia" w:hAnsiTheme="minorEastAsia"/>
              </w:rPr>
            </w:pPr>
          </w:p>
        </w:tc>
        <w:tc>
          <w:tcPr>
            <w:tcW w:w="910" w:type="dxa"/>
            <w:vMerge w:val="continue"/>
            <w:vAlign w:val="center"/>
          </w:tcPr>
          <w:p w14:paraId="2B41918F">
            <w:pPr>
              <w:spacing w:line="560" w:lineRule="exact"/>
              <w:jc w:val="left"/>
              <w:outlineLvl w:val="0"/>
              <w:rPr>
                <w:rFonts w:cs="Times New Roman" w:asciiTheme="minorEastAsia" w:hAnsiTheme="minorEastAsia"/>
              </w:rPr>
            </w:pPr>
          </w:p>
        </w:tc>
        <w:tc>
          <w:tcPr>
            <w:tcW w:w="1447" w:type="dxa"/>
            <w:vMerge w:val="continue"/>
            <w:vAlign w:val="center"/>
          </w:tcPr>
          <w:p w14:paraId="7BF4C726">
            <w:pPr>
              <w:spacing w:line="560" w:lineRule="exact"/>
              <w:jc w:val="left"/>
              <w:outlineLvl w:val="0"/>
              <w:rPr>
                <w:rFonts w:cs="Times New Roman" w:asciiTheme="minorEastAsia" w:hAnsiTheme="minorEastAsia"/>
              </w:rPr>
            </w:pPr>
          </w:p>
        </w:tc>
        <w:tc>
          <w:tcPr>
            <w:tcW w:w="910" w:type="dxa"/>
            <w:vMerge w:val="continue"/>
            <w:vAlign w:val="center"/>
          </w:tcPr>
          <w:p w14:paraId="39C9CDF6">
            <w:pPr>
              <w:spacing w:line="560" w:lineRule="exact"/>
              <w:jc w:val="left"/>
              <w:outlineLvl w:val="0"/>
              <w:rPr>
                <w:rFonts w:cs="Times New Roman" w:asciiTheme="minorEastAsia" w:hAnsiTheme="minorEastAsia"/>
              </w:rPr>
            </w:pPr>
          </w:p>
        </w:tc>
        <w:tc>
          <w:tcPr>
            <w:tcW w:w="910" w:type="dxa"/>
            <w:vMerge w:val="continue"/>
            <w:vAlign w:val="center"/>
          </w:tcPr>
          <w:p w14:paraId="2CC6193F">
            <w:pPr>
              <w:spacing w:line="560" w:lineRule="exact"/>
              <w:jc w:val="left"/>
              <w:outlineLvl w:val="0"/>
              <w:rPr>
                <w:rFonts w:cs="Times New Roman" w:asciiTheme="minorEastAsia" w:hAnsiTheme="minorEastAsia"/>
              </w:rPr>
            </w:pPr>
          </w:p>
        </w:tc>
        <w:tc>
          <w:tcPr>
            <w:tcW w:w="934" w:type="dxa"/>
            <w:vMerge w:val="continue"/>
            <w:vAlign w:val="center"/>
          </w:tcPr>
          <w:p w14:paraId="2B65C7D4">
            <w:pPr>
              <w:spacing w:line="560" w:lineRule="exact"/>
              <w:jc w:val="left"/>
              <w:outlineLvl w:val="0"/>
              <w:rPr>
                <w:rFonts w:cs="Times New Roman" w:asciiTheme="minorEastAsia" w:hAnsiTheme="minorEastAsia"/>
              </w:rPr>
            </w:pPr>
          </w:p>
        </w:tc>
        <w:tc>
          <w:tcPr>
            <w:tcW w:w="931" w:type="dxa"/>
            <w:vMerge w:val="continue"/>
            <w:vAlign w:val="center"/>
          </w:tcPr>
          <w:p w14:paraId="29F0C249">
            <w:pPr>
              <w:spacing w:line="560" w:lineRule="exact"/>
              <w:jc w:val="left"/>
              <w:outlineLvl w:val="0"/>
              <w:rPr>
                <w:rFonts w:cs="Times New Roman" w:asciiTheme="minorEastAsia" w:hAnsiTheme="minorEastAsia"/>
              </w:rPr>
            </w:pPr>
          </w:p>
        </w:tc>
        <w:tc>
          <w:tcPr>
            <w:tcW w:w="931" w:type="dxa"/>
            <w:vAlign w:val="center"/>
          </w:tcPr>
          <w:p w14:paraId="666CA915">
            <w:pPr>
              <w:spacing w:line="560" w:lineRule="exact"/>
              <w:jc w:val="center"/>
              <w:rPr>
                <w:rFonts w:cs="Times New Roman" w:asciiTheme="minorEastAsia" w:hAnsiTheme="minorEastAsia"/>
                <w:b/>
                <w:bCs/>
              </w:rPr>
            </w:pPr>
            <w:r>
              <w:rPr>
                <w:rFonts w:hint="eastAsia" w:cs="方正书宋_GBK" w:asciiTheme="minorEastAsia" w:hAnsiTheme="minorEastAsia"/>
                <w:b/>
                <w:bCs/>
              </w:rPr>
              <w:t>合计</w:t>
            </w:r>
          </w:p>
        </w:tc>
        <w:tc>
          <w:tcPr>
            <w:tcW w:w="931" w:type="dxa"/>
            <w:vAlign w:val="center"/>
          </w:tcPr>
          <w:p w14:paraId="7DD0DDAE">
            <w:pPr>
              <w:spacing w:line="560" w:lineRule="exact"/>
              <w:jc w:val="center"/>
              <w:rPr>
                <w:rFonts w:cs="Times New Roman" w:asciiTheme="minorEastAsia" w:hAnsiTheme="minorEastAsia"/>
                <w:b/>
                <w:bCs/>
              </w:rPr>
            </w:pPr>
            <w:r>
              <w:rPr>
                <w:rFonts w:hint="eastAsia" w:cs="方正书宋_GBK" w:asciiTheme="minorEastAsia" w:hAnsiTheme="minorEastAsia"/>
                <w:b/>
                <w:bCs/>
              </w:rPr>
              <w:t>一般公共预算拨款</w:t>
            </w:r>
          </w:p>
        </w:tc>
        <w:tc>
          <w:tcPr>
            <w:tcW w:w="847" w:type="dxa"/>
            <w:vAlign w:val="center"/>
          </w:tcPr>
          <w:p w14:paraId="2ADD05BA">
            <w:pPr>
              <w:spacing w:line="560" w:lineRule="exact"/>
              <w:jc w:val="center"/>
              <w:rPr>
                <w:rFonts w:cs="Times New Roman" w:asciiTheme="minorEastAsia" w:hAnsiTheme="minorEastAsia"/>
                <w:b/>
                <w:bCs/>
              </w:rPr>
            </w:pPr>
            <w:r>
              <w:rPr>
                <w:rFonts w:hint="eastAsia" w:cs="方正书宋_GBK" w:asciiTheme="minorEastAsia" w:hAnsiTheme="minorEastAsia"/>
                <w:b/>
                <w:bCs/>
              </w:rPr>
              <w:t>基金预算拨款</w:t>
            </w:r>
          </w:p>
        </w:tc>
        <w:tc>
          <w:tcPr>
            <w:tcW w:w="913" w:type="dxa"/>
            <w:vAlign w:val="center"/>
          </w:tcPr>
          <w:p w14:paraId="22980172">
            <w:pPr>
              <w:spacing w:line="560" w:lineRule="exact"/>
              <w:jc w:val="center"/>
              <w:rPr>
                <w:rFonts w:cs="Times New Roman" w:asciiTheme="minorEastAsia" w:hAnsiTheme="minorEastAsia"/>
                <w:b/>
                <w:bCs/>
              </w:rPr>
            </w:pPr>
            <w:r>
              <w:rPr>
                <w:rFonts w:hint="eastAsia" w:cs="方正书宋_GBK" w:asciiTheme="minorEastAsia" w:hAnsiTheme="minorEastAsia"/>
                <w:b/>
                <w:bCs/>
              </w:rPr>
              <w:t>财政专户核拨</w:t>
            </w:r>
          </w:p>
        </w:tc>
        <w:tc>
          <w:tcPr>
            <w:tcW w:w="913" w:type="dxa"/>
            <w:vAlign w:val="center"/>
          </w:tcPr>
          <w:p w14:paraId="7929EA0C">
            <w:pPr>
              <w:spacing w:line="560" w:lineRule="exact"/>
              <w:jc w:val="center"/>
              <w:rPr>
                <w:rFonts w:cs="Times New Roman" w:asciiTheme="minorEastAsia" w:hAnsiTheme="minorEastAsia"/>
                <w:b/>
                <w:bCs/>
              </w:rPr>
            </w:pPr>
            <w:r>
              <w:rPr>
                <w:rFonts w:hint="eastAsia" w:cs="方正书宋_GBK" w:asciiTheme="minorEastAsia" w:hAnsiTheme="minorEastAsia"/>
                <w:b/>
                <w:bCs/>
              </w:rPr>
              <w:t>其他来源收入</w:t>
            </w:r>
          </w:p>
        </w:tc>
        <w:tc>
          <w:tcPr>
            <w:tcW w:w="856" w:type="dxa"/>
            <w:vMerge w:val="continue"/>
            <w:vAlign w:val="center"/>
          </w:tcPr>
          <w:p w14:paraId="7C181981">
            <w:pPr>
              <w:spacing w:line="560" w:lineRule="exact"/>
              <w:jc w:val="left"/>
              <w:outlineLvl w:val="0"/>
              <w:rPr>
                <w:rFonts w:cs="Times New Roman" w:asciiTheme="minorEastAsia" w:hAnsiTheme="minorEastAsia"/>
              </w:rPr>
            </w:pPr>
          </w:p>
        </w:tc>
      </w:tr>
      <w:tr w14:paraId="3721A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77" w:type="dxa"/>
            <w:vAlign w:val="center"/>
          </w:tcPr>
          <w:p w14:paraId="2DDA8925">
            <w:pPr>
              <w:spacing w:line="560" w:lineRule="exact"/>
              <w:jc w:val="center"/>
              <w:rPr>
                <w:rFonts w:cs="Times New Roman" w:asciiTheme="minorEastAsia" w:hAnsiTheme="minorEastAsia"/>
                <w:b/>
                <w:bCs/>
              </w:rPr>
            </w:pPr>
            <w:r>
              <w:rPr>
                <w:rFonts w:hint="eastAsia" w:cs="方正书宋_GBK" w:asciiTheme="minorEastAsia" w:hAnsiTheme="minorEastAsia"/>
                <w:b/>
                <w:bCs/>
              </w:rPr>
              <w:t>合　计</w:t>
            </w:r>
          </w:p>
        </w:tc>
        <w:tc>
          <w:tcPr>
            <w:tcW w:w="1105" w:type="dxa"/>
            <w:vAlign w:val="center"/>
          </w:tcPr>
          <w:p w14:paraId="452C5CD5">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910" w:type="dxa"/>
            <w:vAlign w:val="center"/>
          </w:tcPr>
          <w:p w14:paraId="31162134">
            <w:pPr>
              <w:spacing w:line="560" w:lineRule="exact"/>
              <w:jc w:val="left"/>
              <w:rPr>
                <w:rFonts w:cs="Times New Roman" w:asciiTheme="minorEastAsia" w:hAnsiTheme="minorEastAsia"/>
                <w:b/>
                <w:bCs/>
              </w:rPr>
            </w:pPr>
          </w:p>
        </w:tc>
        <w:tc>
          <w:tcPr>
            <w:tcW w:w="1447" w:type="dxa"/>
            <w:vAlign w:val="center"/>
          </w:tcPr>
          <w:p w14:paraId="03CA68AE">
            <w:pPr>
              <w:spacing w:line="560" w:lineRule="exact"/>
              <w:jc w:val="left"/>
              <w:rPr>
                <w:rFonts w:cs="Times New Roman" w:asciiTheme="minorEastAsia" w:hAnsiTheme="minorEastAsia"/>
                <w:b/>
                <w:bCs/>
              </w:rPr>
            </w:pPr>
          </w:p>
        </w:tc>
        <w:tc>
          <w:tcPr>
            <w:tcW w:w="910" w:type="dxa"/>
            <w:vAlign w:val="center"/>
          </w:tcPr>
          <w:p w14:paraId="553D3E88">
            <w:pPr>
              <w:spacing w:line="560" w:lineRule="exact"/>
              <w:jc w:val="left"/>
              <w:rPr>
                <w:rFonts w:cs="Times New Roman" w:asciiTheme="minorEastAsia" w:hAnsiTheme="minorEastAsia"/>
                <w:b/>
                <w:bCs/>
              </w:rPr>
            </w:pPr>
          </w:p>
        </w:tc>
        <w:tc>
          <w:tcPr>
            <w:tcW w:w="910" w:type="dxa"/>
            <w:vAlign w:val="center"/>
          </w:tcPr>
          <w:p w14:paraId="16FBB733">
            <w:pPr>
              <w:spacing w:line="560" w:lineRule="exact"/>
              <w:jc w:val="right"/>
              <w:rPr>
                <w:rFonts w:cs="Times New Roman" w:asciiTheme="minorEastAsia" w:hAnsiTheme="minorEastAsia"/>
                <w:b/>
                <w:bCs/>
              </w:rPr>
            </w:pPr>
          </w:p>
        </w:tc>
        <w:tc>
          <w:tcPr>
            <w:tcW w:w="934" w:type="dxa"/>
            <w:vAlign w:val="center"/>
          </w:tcPr>
          <w:p w14:paraId="4EBD93A1">
            <w:pPr>
              <w:spacing w:line="560" w:lineRule="exact"/>
              <w:jc w:val="right"/>
              <w:rPr>
                <w:rFonts w:cs="Times New Roman" w:asciiTheme="minorEastAsia" w:hAnsiTheme="minorEastAsia"/>
                <w:b/>
                <w:bCs/>
              </w:rPr>
            </w:pPr>
          </w:p>
        </w:tc>
        <w:tc>
          <w:tcPr>
            <w:tcW w:w="931" w:type="dxa"/>
            <w:vAlign w:val="center"/>
          </w:tcPr>
          <w:p w14:paraId="19CC3CE8">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931" w:type="dxa"/>
            <w:vAlign w:val="center"/>
          </w:tcPr>
          <w:p w14:paraId="6A13FD5B">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931" w:type="dxa"/>
            <w:vAlign w:val="center"/>
          </w:tcPr>
          <w:p w14:paraId="427D80C9">
            <w:pPr>
              <w:spacing w:line="560" w:lineRule="exact"/>
              <w:jc w:val="right"/>
              <w:rPr>
                <w:rFonts w:cs="Times New Roman" w:asciiTheme="minorEastAsia" w:hAnsiTheme="minorEastAsia"/>
                <w:b/>
                <w:bCs/>
              </w:rPr>
            </w:pPr>
            <w:r>
              <w:rPr>
                <w:rFonts w:hint="eastAsia" w:cs="Times New Roman" w:asciiTheme="minorEastAsia" w:hAnsiTheme="minorEastAsia"/>
                <w:bCs/>
              </w:rPr>
              <w:t>4.5</w:t>
            </w:r>
          </w:p>
        </w:tc>
        <w:tc>
          <w:tcPr>
            <w:tcW w:w="847" w:type="dxa"/>
            <w:vAlign w:val="center"/>
          </w:tcPr>
          <w:p w14:paraId="7A390F69">
            <w:pPr>
              <w:spacing w:line="560" w:lineRule="exact"/>
              <w:jc w:val="right"/>
              <w:rPr>
                <w:rFonts w:cs="Times New Roman" w:asciiTheme="minorEastAsia" w:hAnsiTheme="minorEastAsia"/>
                <w:b/>
                <w:bCs/>
              </w:rPr>
            </w:pPr>
          </w:p>
        </w:tc>
        <w:tc>
          <w:tcPr>
            <w:tcW w:w="913" w:type="dxa"/>
            <w:vAlign w:val="center"/>
          </w:tcPr>
          <w:p w14:paraId="042B9E12">
            <w:pPr>
              <w:spacing w:line="560" w:lineRule="exact"/>
              <w:jc w:val="right"/>
              <w:rPr>
                <w:rFonts w:cs="Times New Roman" w:asciiTheme="minorEastAsia" w:hAnsiTheme="minorEastAsia"/>
                <w:b/>
                <w:bCs/>
              </w:rPr>
            </w:pPr>
          </w:p>
        </w:tc>
        <w:tc>
          <w:tcPr>
            <w:tcW w:w="913" w:type="dxa"/>
            <w:vAlign w:val="center"/>
          </w:tcPr>
          <w:p w14:paraId="000B3DE0">
            <w:pPr>
              <w:spacing w:line="560" w:lineRule="exact"/>
              <w:jc w:val="right"/>
              <w:rPr>
                <w:rFonts w:cs="Times New Roman" w:asciiTheme="minorEastAsia" w:hAnsiTheme="minorEastAsia"/>
                <w:b/>
                <w:bCs/>
              </w:rPr>
            </w:pPr>
          </w:p>
        </w:tc>
        <w:tc>
          <w:tcPr>
            <w:tcW w:w="856" w:type="dxa"/>
            <w:vAlign w:val="center"/>
          </w:tcPr>
          <w:p w14:paraId="563F2D7A">
            <w:pPr>
              <w:spacing w:line="560" w:lineRule="exact"/>
              <w:jc w:val="right"/>
              <w:rPr>
                <w:rFonts w:cs="Times New Roman" w:asciiTheme="minorEastAsia" w:hAnsiTheme="minorEastAsia"/>
                <w:b/>
                <w:bCs/>
              </w:rPr>
            </w:pPr>
          </w:p>
        </w:tc>
      </w:tr>
      <w:tr w14:paraId="31EB2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77" w:type="dxa"/>
            <w:vAlign w:val="center"/>
          </w:tcPr>
          <w:p w14:paraId="10C5DDD5">
            <w:pPr>
              <w:spacing w:line="560" w:lineRule="exact"/>
              <w:jc w:val="center"/>
              <w:rPr>
                <w:rFonts w:cs="Times New Roman" w:asciiTheme="minorEastAsia" w:hAnsiTheme="minorEastAsia"/>
                <w:bCs/>
              </w:rPr>
            </w:pPr>
            <w:r>
              <w:rPr>
                <w:rFonts w:hint="eastAsia" w:cs="Times New Roman" w:asciiTheme="minorEastAsia" w:hAnsiTheme="minorEastAsia"/>
                <w:bCs/>
              </w:rPr>
              <w:t>计算机</w:t>
            </w:r>
          </w:p>
        </w:tc>
        <w:tc>
          <w:tcPr>
            <w:tcW w:w="1105" w:type="dxa"/>
            <w:vAlign w:val="center"/>
          </w:tcPr>
          <w:p w14:paraId="1A42C9BD">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910" w:type="dxa"/>
            <w:vAlign w:val="center"/>
          </w:tcPr>
          <w:p w14:paraId="5A818096">
            <w:pPr>
              <w:spacing w:line="560" w:lineRule="exact"/>
              <w:jc w:val="left"/>
              <w:rPr>
                <w:rFonts w:cs="Times New Roman" w:asciiTheme="minorEastAsia" w:hAnsiTheme="minorEastAsia"/>
                <w:bCs/>
              </w:rPr>
            </w:pPr>
            <w:r>
              <w:rPr>
                <w:rFonts w:hint="eastAsia" w:cs="Times New Roman" w:asciiTheme="minorEastAsia" w:hAnsiTheme="minorEastAsia"/>
                <w:bCs/>
              </w:rPr>
              <w:t>计算机</w:t>
            </w:r>
          </w:p>
        </w:tc>
        <w:tc>
          <w:tcPr>
            <w:tcW w:w="1447" w:type="dxa"/>
            <w:vAlign w:val="center"/>
          </w:tcPr>
          <w:p w14:paraId="5542BE8E">
            <w:pPr>
              <w:spacing w:line="560" w:lineRule="exact"/>
              <w:jc w:val="left"/>
              <w:rPr>
                <w:rFonts w:cs="Times New Roman" w:asciiTheme="minorEastAsia" w:hAnsiTheme="minorEastAsia"/>
                <w:bCs/>
              </w:rPr>
            </w:pPr>
          </w:p>
        </w:tc>
        <w:tc>
          <w:tcPr>
            <w:tcW w:w="910" w:type="dxa"/>
            <w:vAlign w:val="center"/>
          </w:tcPr>
          <w:p w14:paraId="3D659E58">
            <w:pPr>
              <w:spacing w:line="560" w:lineRule="exact"/>
              <w:jc w:val="left"/>
              <w:rPr>
                <w:rFonts w:cs="Times New Roman" w:asciiTheme="minorEastAsia" w:hAnsiTheme="minorEastAsia"/>
                <w:bCs/>
              </w:rPr>
            </w:pPr>
            <w:r>
              <w:rPr>
                <w:rFonts w:hint="eastAsia" w:cs="Times New Roman" w:asciiTheme="minorEastAsia" w:hAnsiTheme="minorEastAsia"/>
                <w:bCs/>
              </w:rPr>
              <w:t>台</w:t>
            </w:r>
          </w:p>
        </w:tc>
        <w:tc>
          <w:tcPr>
            <w:tcW w:w="910" w:type="dxa"/>
            <w:vAlign w:val="center"/>
          </w:tcPr>
          <w:p w14:paraId="183CD1E7">
            <w:pPr>
              <w:spacing w:line="560" w:lineRule="exact"/>
              <w:jc w:val="right"/>
              <w:rPr>
                <w:rFonts w:cs="Times New Roman" w:asciiTheme="minorEastAsia" w:hAnsiTheme="minorEastAsia"/>
                <w:bCs/>
              </w:rPr>
            </w:pPr>
            <w:r>
              <w:rPr>
                <w:rFonts w:hint="eastAsia" w:cs="Times New Roman" w:asciiTheme="minorEastAsia" w:hAnsiTheme="minorEastAsia"/>
                <w:bCs/>
              </w:rPr>
              <w:t>9</w:t>
            </w:r>
          </w:p>
        </w:tc>
        <w:tc>
          <w:tcPr>
            <w:tcW w:w="934" w:type="dxa"/>
            <w:vAlign w:val="center"/>
          </w:tcPr>
          <w:p w14:paraId="41182AFB">
            <w:pPr>
              <w:spacing w:line="560" w:lineRule="exact"/>
              <w:jc w:val="right"/>
              <w:rPr>
                <w:rFonts w:cs="Times New Roman" w:asciiTheme="minorEastAsia" w:hAnsiTheme="minorEastAsia"/>
                <w:bCs/>
              </w:rPr>
            </w:pPr>
            <w:r>
              <w:rPr>
                <w:rFonts w:hint="eastAsia" w:cs="Times New Roman" w:asciiTheme="minorEastAsia" w:hAnsiTheme="minorEastAsia"/>
                <w:bCs/>
              </w:rPr>
              <w:t>0.5</w:t>
            </w:r>
          </w:p>
        </w:tc>
        <w:tc>
          <w:tcPr>
            <w:tcW w:w="931" w:type="dxa"/>
            <w:vAlign w:val="center"/>
          </w:tcPr>
          <w:p w14:paraId="2AF384B4">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931" w:type="dxa"/>
            <w:vAlign w:val="center"/>
          </w:tcPr>
          <w:p w14:paraId="2EAC4137">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931" w:type="dxa"/>
            <w:vAlign w:val="center"/>
          </w:tcPr>
          <w:p w14:paraId="45D2D7B9">
            <w:pPr>
              <w:spacing w:line="560" w:lineRule="exact"/>
              <w:jc w:val="right"/>
              <w:rPr>
                <w:rFonts w:cs="Times New Roman" w:asciiTheme="minorEastAsia" w:hAnsiTheme="minorEastAsia"/>
                <w:bCs/>
              </w:rPr>
            </w:pPr>
            <w:r>
              <w:rPr>
                <w:rFonts w:hint="eastAsia" w:cs="Times New Roman" w:asciiTheme="minorEastAsia" w:hAnsiTheme="minorEastAsia"/>
                <w:bCs/>
              </w:rPr>
              <w:t>4.5</w:t>
            </w:r>
          </w:p>
        </w:tc>
        <w:tc>
          <w:tcPr>
            <w:tcW w:w="847" w:type="dxa"/>
            <w:vAlign w:val="center"/>
          </w:tcPr>
          <w:p w14:paraId="7712DD26">
            <w:pPr>
              <w:spacing w:line="560" w:lineRule="exact"/>
              <w:jc w:val="right"/>
              <w:rPr>
                <w:rFonts w:cs="Times New Roman" w:asciiTheme="minorEastAsia" w:hAnsiTheme="minorEastAsia"/>
                <w:bCs/>
              </w:rPr>
            </w:pPr>
          </w:p>
        </w:tc>
        <w:tc>
          <w:tcPr>
            <w:tcW w:w="913" w:type="dxa"/>
            <w:vAlign w:val="center"/>
          </w:tcPr>
          <w:p w14:paraId="2BE964CE">
            <w:pPr>
              <w:spacing w:line="560" w:lineRule="exact"/>
              <w:jc w:val="right"/>
              <w:rPr>
                <w:rFonts w:cs="Times New Roman" w:asciiTheme="minorEastAsia" w:hAnsiTheme="minorEastAsia"/>
                <w:bCs/>
              </w:rPr>
            </w:pPr>
          </w:p>
        </w:tc>
        <w:tc>
          <w:tcPr>
            <w:tcW w:w="913" w:type="dxa"/>
            <w:vAlign w:val="center"/>
          </w:tcPr>
          <w:p w14:paraId="531B668A">
            <w:pPr>
              <w:spacing w:line="560" w:lineRule="exact"/>
              <w:jc w:val="right"/>
              <w:rPr>
                <w:rFonts w:cs="Times New Roman" w:asciiTheme="minorEastAsia" w:hAnsiTheme="minorEastAsia"/>
                <w:bCs/>
              </w:rPr>
            </w:pPr>
          </w:p>
        </w:tc>
        <w:tc>
          <w:tcPr>
            <w:tcW w:w="856" w:type="dxa"/>
            <w:vAlign w:val="center"/>
          </w:tcPr>
          <w:p w14:paraId="403BEF53">
            <w:pPr>
              <w:spacing w:line="560" w:lineRule="exact"/>
              <w:jc w:val="right"/>
              <w:rPr>
                <w:rFonts w:cs="Times New Roman" w:asciiTheme="minorEastAsia" w:hAnsiTheme="minorEastAsia"/>
                <w:bCs/>
              </w:rPr>
            </w:pPr>
          </w:p>
        </w:tc>
      </w:tr>
    </w:tbl>
    <w:p w14:paraId="18C0C11C">
      <w:pPr>
        <w:autoSpaceDE w:val="0"/>
        <w:autoSpaceDN w:val="0"/>
        <w:adjustRightInd w:val="0"/>
        <w:spacing w:line="560" w:lineRule="exact"/>
        <w:ind w:left="198" w:firstLine="640" w:firstLineChars="200"/>
        <w:jc w:val="left"/>
        <w:rPr>
          <w:rFonts w:ascii="仿宋" w:hAnsi="仿宋" w:eastAsia="仿宋" w:cs="Times New Roman"/>
          <w:sz w:val="32"/>
          <w:szCs w:val="32"/>
        </w:rPr>
      </w:pPr>
    </w:p>
    <w:p w14:paraId="24607004">
      <w:pPr>
        <w:autoSpaceDE w:val="0"/>
        <w:autoSpaceDN w:val="0"/>
        <w:adjustRightInd w:val="0"/>
        <w:spacing w:line="560" w:lineRule="exact"/>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七、国有资产信息</w:t>
      </w:r>
    </w:p>
    <w:p w14:paraId="4E4A0766">
      <w:pPr>
        <w:spacing w:line="560" w:lineRule="exact"/>
        <w:ind w:firstLine="640"/>
        <w:rPr>
          <w:rFonts w:ascii="仿宋" w:hAnsi="仿宋" w:eastAsia="仿宋" w:cs="Times New Roman"/>
          <w:sz w:val="32"/>
          <w:szCs w:val="32"/>
        </w:rPr>
      </w:pPr>
      <w:r>
        <w:rPr>
          <w:rFonts w:hint="eastAsia" w:ascii="仿宋" w:hAnsi="仿宋" w:eastAsia="仿宋" w:cs="仿宋_GB2312"/>
          <w:sz w:val="32"/>
          <w:szCs w:val="32"/>
        </w:rPr>
        <w:t>文化广电和旅游局，上年末固定资产金额为19.7万元，本年度拟购置固定资产主要为计算机10台、打印机设备3台、空调4台、文件柜1个等，已列入政府采购预算。办公地点占用文化馆100平方米。详见下表。</w:t>
      </w:r>
    </w:p>
    <w:tbl>
      <w:tblPr>
        <w:tblStyle w:val="7"/>
        <w:tblW w:w="10063" w:type="dxa"/>
        <w:tblInd w:w="1951" w:type="dxa"/>
        <w:tblLayout w:type="fixed"/>
        <w:tblCellMar>
          <w:top w:w="0" w:type="dxa"/>
          <w:left w:w="108" w:type="dxa"/>
          <w:bottom w:w="0" w:type="dxa"/>
          <w:right w:w="108" w:type="dxa"/>
        </w:tblCellMar>
      </w:tblPr>
      <w:tblGrid>
        <w:gridCol w:w="4802"/>
        <w:gridCol w:w="1417"/>
        <w:gridCol w:w="3844"/>
      </w:tblGrid>
      <w:tr w14:paraId="7CA502EE">
        <w:tblPrEx>
          <w:tblCellMar>
            <w:top w:w="0" w:type="dxa"/>
            <w:left w:w="108" w:type="dxa"/>
            <w:bottom w:w="0" w:type="dxa"/>
            <w:right w:w="108" w:type="dxa"/>
          </w:tblCellMar>
        </w:tblPrEx>
        <w:trPr>
          <w:trHeight w:val="705" w:hRule="atLeast"/>
        </w:trPr>
        <w:tc>
          <w:tcPr>
            <w:tcW w:w="10063" w:type="dxa"/>
            <w:gridSpan w:val="3"/>
            <w:tcBorders>
              <w:top w:val="nil"/>
              <w:left w:val="nil"/>
              <w:bottom w:val="nil"/>
              <w:right w:val="nil"/>
            </w:tcBorders>
            <w:vAlign w:val="center"/>
          </w:tcPr>
          <w:p w14:paraId="48AD08E0">
            <w:pPr>
              <w:widowControl/>
              <w:jc w:val="center"/>
              <w:rPr>
                <w:rFonts w:ascii="仿宋" w:hAnsi="仿宋" w:eastAsia="仿宋" w:cs="Times New Roman"/>
                <w:b/>
                <w:bCs/>
                <w:kern w:val="0"/>
                <w:sz w:val="32"/>
                <w:szCs w:val="32"/>
              </w:rPr>
            </w:pPr>
          </w:p>
          <w:p w14:paraId="57978510">
            <w:pPr>
              <w:widowControl/>
              <w:jc w:val="center"/>
              <w:rPr>
                <w:rFonts w:ascii="楷体" w:hAnsi="楷体" w:eastAsia="楷体" w:cs="Times New Roman"/>
                <w:b/>
                <w:bCs/>
                <w:kern w:val="0"/>
                <w:sz w:val="32"/>
                <w:szCs w:val="32"/>
              </w:rPr>
            </w:pPr>
            <w:r>
              <w:rPr>
                <w:rFonts w:hint="eastAsia" w:ascii="楷体" w:hAnsi="楷体" w:eastAsia="楷体" w:cs="宋体"/>
                <w:b/>
                <w:bCs/>
                <w:kern w:val="0"/>
                <w:sz w:val="32"/>
                <w:szCs w:val="32"/>
              </w:rPr>
              <w:t>部门固定资产占用情况表</w:t>
            </w:r>
          </w:p>
        </w:tc>
      </w:tr>
      <w:tr w14:paraId="058902FD">
        <w:tblPrEx>
          <w:tblCellMar>
            <w:top w:w="0" w:type="dxa"/>
            <w:left w:w="108" w:type="dxa"/>
            <w:bottom w:w="0" w:type="dxa"/>
            <w:right w:w="108" w:type="dxa"/>
          </w:tblCellMar>
        </w:tblPrEx>
        <w:trPr>
          <w:trHeight w:val="510" w:hRule="atLeast"/>
        </w:trPr>
        <w:tc>
          <w:tcPr>
            <w:tcW w:w="6219" w:type="dxa"/>
            <w:gridSpan w:val="2"/>
            <w:tcBorders>
              <w:top w:val="nil"/>
              <w:left w:val="nil"/>
              <w:bottom w:val="nil"/>
              <w:right w:val="nil"/>
            </w:tcBorders>
            <w:vAlign w:val="center"/>
          </w:tcPr>
          <w:p w14:paraId="65C7D808">
            <w:pPr>
              <w:widowControl/>
              <w:jc w:val="left"/>
              <w:rPr>
                <w:rFonts w:cs="Times New Roman" w:asciiTheme="minorEastAsia" w:hAnsiTheme="minorEastAsia"/>
                <w:kern w:val="0"/>
              </w:rPr>
            </w:pPr>
            <w:r>
              <w:rPr>
                <w:rFonts w:hint="eastAsia" w:cs="宋体" w:asciiTheme="minorEastAsia" w:hAnsiTheme="minorEastAsia"/>
                <w:kern w:val="0"/>
              </w:rPr>
              <w:t>编制部门：成安县文化广电和旅游局</w:t>
            </w:r>
          </w:p>
        </w:tc>
        <w:tc>
          <w:tcPr>
            <w:tcW w:w="3844" w:type="dxa"/>
            <w:tcBorders>
              <w:top w:val="nil"/>
              <w:left w:val="nil"/>
              <w:bottom w:val="nil"/>
              <w:right w:val="nil"/>
            </w:tcBorders>
            <w:vAlign w:val="center"/>
          </w:tcPr>
          <w:p w14:paraId="0A1F97AA">
            <w:pPr>
              <w:widowControl/>
              <w:ind w:firstLine="525" w:firstLineChars="250"/>
              <w:jc w:val="left"/>
              <w:rPr>
                <w:rFonts w:cs="宋体" w:asciiTheme="minorEastAsia" w:hAnsiTheme="minorEastAsia"/>
                <w:kern w:val="0"/>
              </w:rPr>
            </w:pPr>
            <w:r>
              <w:rPr>
                <w:rFonts w:hint="eastAsia" w:cs="宋体" w:asciiTheme="minorEastAsia" w:hAnsiTheme="minorEastAsia"/>
                <w:kern w:val="0"/>
              </w:rPr>
              <w:t>截止时间：20</w:t>
            </w:r>
            <w:r>
              <w:rPr>
                <w:rFonts w:hint="eastAsia" w:cs="宋体" w:asciiTheme="minorEastAsia" w:hAnsiTheme="minorEastAsia"/>
                <w:kern w:val="0"/>
                <w:lang w:val="en-US" w:eastAsia="zh-CN"/>
              </w:rPr>
              <w:t>20</w:t>
            </w:r>
            <w:r>
              <w:rPr>
                <w:rFonts w:hint="eastAsia" w:cs="宋体" w:asciiTheme="minorEastAsia" w:hAnsiTheme="minorEastAsia"/>
                <w:kern w:val="0"/>
              </w:rPr>
              <w:t>年</w:t>
            </w:r>
            <w:r>
              <w:rPr>
                <w:rFonts w:cs="宋体" w:asciiTheme="minorEastAsia" w:hAnsiTheme="minorEastAsia"/>
                <w:kern w:val="0"/>
              </w:rPr>
              <w:t>12</w:t>
            </w:r>
            <w:r>
              <w:rPr>
                <w:rFonts w:hint="eastAsia" w:cs="宋体" w:asciiTheme="minorEastAsia" w:hAnsiTheme="minorEastAsia"/>
                <w:kern w:val="0"/>
              </w:rPr>
              <w:t>月</w:t>
            </w:r>
            <w:r>
              <w:rPr>
                <w:rFonts w:cs="宋体" w:asciiTheme="minorEastAsia" w:hAnsiTheme="minorEastAsia"/>
                <w:kern w:val="0"/>
              </w:rPr>
              <w:t>31</w:t>
            </w:r>
            <w:r>
              <w:rPr>
                <w:rFonts w:hint="eastAsia" w:cs="宋体" w:asciiTheme="minorEastAsia" w:hAnsiTheme="minorEastAsia"/>
                <w:kern w:val="0"/>
              </w:rPr>
              <w:t>日</w:t>
            </w:r>
          </w:p>
        </w:tc>
      </w:tr>
      <w:tr w14:paraId="62D7CDBE">
        <w:tblPrEx>
          <w:tblCellMar>
            <w:top w:w="0" w:type="dxa"/>
            <w:left w:w="108" w:type="dxa"/>
            <w:bottom w:w="0" w:type="dxa"/>
            <w:right w:w="108" w:type="dxa"/>
          </w:tblCellMar>
        </w:tblPrEx>
        <w:trPr>
          <w:trHeight w:val="645" w:hRule="atLeast"/>
        </w:trPr>
        <w:tc>
          <w:tcPr>
            <w:tcW w:w="4802" w:type="dxa"/>
            <w:tcBorders>
              <w:top w:val="single" w:color="auto" w:sz="4" w:space="0"/>
              <w:left w:val="single" w:color="auto" w:sz="4" w:space="0"/>
              <w:bottom w:val="single" w:color="auto" w:sz="4" w:space="0"/>
              <w:right w:val="single" w:color="auto" w:sz="4" w:space="0"/>
            </w:tcBorders>
            <w:vAlign w:val="center"/>
          </w:tcPr>
          <w:p w14:paraId="318D82EF">
            <w:pPr>
              <w:widowControl/>
              <w:jc w:val="center"/>
              <w:rPr>
                <w:rFonts w:cs="Times New Roman" w:asciiTheme="minorEastAsia" w:hAnsiTheme="minorEastAsia"/>
                <w:b/>
                <w:bCs/>
                <w:kern w:val="0"/>
              </w:rPr>
            </w:pPr>
            <w:r>
              <w:rPr>
                <w:rFonts w:hint="eastAsia" w:cs="宋体" w:asciiTheme="minorEastAsia" w:hAnsiTheme="minorEastAsia"/>
                <w:b/>
                <w:bCs/>
                <w:kern w:val="0"/>
              </w:rPr>
              <w:t>项目</w:t>
            </w:r>
          </w:p>
        </w:tc>
        <w:tc>
          <w:tcPr>
            <w:tcW w:w="1417" w:type="dxa"/>
            <w:tcBorders>
              <w:top w:val="single" w:color="auto" w:sz="4" w:space="0"/>
              <w:left w:val="nil"/>
              <w:bottom w:val="single" w:color="auto" w:sz="4" w:space="0"/>
              <w:right w:val="single" w:color="auto" w:sz="4" w:space="0"/>
            </w:tcBorders>
            <w:vAlign w:val="center"/>
          </w:tcPr>
          <w:p w14:paraId="0167C083">
            <w:pPr>
              <w:widowControl/>
              <w:jc w:val="center"/>
              <w:rPr>
                <w:rFonts w:cs="Times New Roman" w:asciiTheme="minorEastAsia" w:hAnsiTheme="minorEastAsia"/>
                <w:b/>
                <w:bCs/>
                <w:kern w:val="0"/>
              </w:rPr>
            </w:pPr>
            <w:r>
              <w:rPr>
                <w:rFonts w:hint="eastAsia" w:cs="宋体" w:asciiTheme="minorEastAsia" w:hAnsiTheme="minorEastAsia"/>
                <w:b/>
                <w:bCs/>
                <w:kern w:val="0"/>
              </w:rPr>
              <w:t>数量</w:t>
            </w:r>
          </w:p>
        </w:tc>
        <w:tc>
          <w:tcPr>
            <w:tcW w:w="3844" w:type="dxa"/>
            <w:tcBorders>
              <w:top w:val="single" w:color="auto" w:sz="4" w:space="0"/>
              <w:left w:val="nil"/>
              <w:bottom w:val="single" w:color="auto" w:sz="4" w:space="0"/>
              <w:right w:val="single" w:color="auto" w:sz="4" w:space="0"/>
            </w:tcBorders>
            <w:vAlign w:val="center"/>
          </w:tcPr>
          <w:p w14:paraId="0F2A5AED">
            <w:pPr>
              <w:widowControl/>
              <w:jc w:val="center"/>
              <w:rPr>
                <w:rFonts w:cs="Times New Roman" w:asciiTheme="minorEastAsia" w:hAnsiTheme="minorEastAsia"/>
                <w:b/>
                <w:bCs/>
                <w:kern w:val="0"/>
              </w:rPr>
            </w:pPr>
            <w:r>
              <w:rPr>
                <w:rFonts w:hint="eastAsia" w:cs="宋体" w:asciiTheme="minorEastAsia" w:hAnsiTheme="minorEastAsia"/>
                <w:b/>
                <w:bCs/>
                <w:kern w:val="0"/>
              </w:rPr>
              <w:t>价值（金额单位：万元）</w:t>
            </w:r>
          </w:p>
        </w:tc>
      </w:tr>
      <w:tr w14:paraId="6C5BC2DF">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4D32FA01">
            <w:pPr>
              <w:widowControl/>
              <w:jc w:val="center"/>
              <w:rPr>
                <w:rFonts w:cs="Times New Roman" w:asciiTheme="minorEastAsia" w:hAnsiTheme="minorEastAsia"/>
                <w:kern w:val="0"/>
              </w:rPr>
            </w:pPr>
            <w:r>
              <w:rPr>
                <w:rFonts w:hint="eastAsia" w:cs="宋体" w:asciiTheme="minorEastAsia" w:hAnsiTheme="minorEastAsia"/>
                <w:kern w:val="0"/>
              </w:rPr>
              <w:t>资产总额</w:t>
            </w:r>
          </w:p>
        </w:tc>
        <w:tc>
          <w:tcPr>
            <w:tcW w:w="1417" w:type="dxa"/>
            <w:tcBorders>
              <w:top w:val="nil"/>
              <w:left w:val="nil"/>
              <w:bottom w:val="single" w:color="auto" w:sz="4" w:space="0"/>
              <w:right w:val="single" w:color="auto" w:sz="4" w:space="0"/>
            </w:tcBorders>
            <w:vAlign w:val="center"/>
          </w:tcPr>
          <w:p w14:paraId="005DF161">
            <w:pPr>
              <w:widowControl/>
              <w:jc w:val="center"/>
              <w:rPr>
                <w:rFonts w:cs="宋体" w:asciiTheme="minorEastAsia" w:hAnsiTheme="minorEastAsia"/>
                <w:kern w:val="0"/>
              </w:rPr>
            </w:pPr>
            <w:r>
              <w:rPr>
                <w:rFonts w:cs="宋体" w:asciiTheme="minorEastAsia" w:hAnsiTheme="minorEastAsia"/>
                <w:kern w:val="0"/>
              </w:rPr>
              <w:t>——</w:t>
            </w:r>
          </w:p>
        </w:tc>
        <w:tc>
          <w:tcPr>
            <w:tcW w:w="3844" w:type="dxa"/>
            <w:tcBorders>
              <w:top w:val="nil"/>
              <w:left w:val="nil"/>
              <w:bottom w:val="single" w:color="auto" w:sz="4" w:space="0"/>
              <w:right w:val="single" w:color="auto" w:sz="4" w:space="0"/>
            </w:tcBorders>
            <w:vAlign w:val="center"/>
          </w:tcPr>
          <w:p w14:paraId="7FF257A2">
            <w:pPr>
              <w:widowControl/>
              <w:jc w:val="center"/>
              <w:rPr>
                <w:rFonts w:cs="宋体" w:asciiTheme="minorEastAsia" w:hAnsiTheme="minorEastAsia"/>
                <w:kern w:val="0"/>
              </w:rPr>
            </w:pPr>
            <w:r>
              <w:rPr>
                <w:rFonts w:hint="eastAsia" w:cs="宋体" w:asciiTheme="minorEastAsia" w:hAnsiTheme="minorEastAsia"/>
                <w:kern w:val="0"/>
              </w:rPr>
              <w:t>19.7</w:t>
            </w:r>
          </w:p>
        </w:tc>
      </w:tr>
      <w:tr w14:paraId="3D1CE2EC">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42E3A2A0">
            <w:pPr>
              <w:widowControl/>
              <w:jc w:val="left"/>
              <w:rPr>
                <w:rFonts w:cs="Times New Roman" w:asciiTheme="minorEastAsia" w:hAnsiTheme="minorEastAsia"/>
                <w:kern w:val="0"/>
              </w:rPr>
            </w:pPr>
            <w:r>
              <w:rPr>
                <w:rFonts w:cs="宋体" w:asciiTheme="minorEastAsia" w:hAnsiTheme="minorEastAsia"/>
                <w:kern w:val="0"/>
              </w:rPr>
              <w:t>1</w:t>
            </w:r>
            <w:r>
              <w:rPr>
                <w:rFonts w:hint="eastAsia" w:cs="宋体" w:asciiTheme="minorEastAsia" w:hAnsiTheme="minorEastAsia"/>
                <w:kern w:val="0"/>
              </w:rPr>
              <w:t>、房屋（平方米）</w:t>
            </w:r>
          </w:p>
        </w:tc>
        <w:tc>
          <w:tcPr>
            <w:tcW w:w="1417" w:type="dxa"/>
            <w:tcBorders>
              <w:top w:val="nil"/>
              <w:left w:val="nil"/>
              <w:bottom w:val="single" w:color="auto" w:sz="4" w:space="0"/>
              <w:right w:val="single" w:color="auto" w:sz="4" w:space="0"/>
            </w:tcBorders>
            <w:vAlign w:val="center"/>
          </w:tcPr>
          <w:p w14:paraId="59C307C5">
            <w:pPr>
              <w:widowControl/>
              <w:jc w:val="center"/>
              <w:rPr>
                <w:rFonts w:cs="Times New Roman" w:asciiTheme="minorEastAsia" w:hAnsiTheme="minorEastAsia"/>
                <w:kern w:val="0"/>
              </w:rPr>
            </w:pPr>
            <w:r>
              <w:rPr>
                <w:rFonts w:hint="eastAsia" w:cs="Times New Roman" w:asciiTheme="minorEastAsia" w:hAnsiTheme="minorEastAsia"/>
                <w:kern w:val="0"/>
              </w:rPr>
              <w:t>100</w:t>
            </w:r>
          </w:p>
        </w:tc>
        <w:tc>
          <w:tcPr>
            <w:tcW w:w="3844" w:type="dxa"/>
            <w:tcBorders>
              <w:top w:val="nil"/>
              <w:left w:val="nil"/>
              <w:bottom w:val="single" w:color="auto" w:sz="4" w:space="0"/>
              <w:right w:val="single" w:color="auto" w:sz="4" w:space="0"/>
            </w:tcBorders>
            <w:vAlign w:val="center"/>
          </w:tcPr>
          <w:p w14:paraId="330B9771">
            <w:pPr>
              <w:widowControl/>
              <w:jc w:val="center"/>
              <w:rPr>
                <w:rFonts w:cs="Times New Roman" w:asciiTheme="minorEastAsia" w:hAnsiTheme="minorEastAsia"/>
                <w:kern w:val="0"/>
              </w:rPr>
            </w:pPr>
            <w:r>
              <w:rPr>
                <w:rFonts w:hint="eastAsia" w:cs="Times New Roman" w:asciiTheme="minorEastAsia" w:hAnsiTheme="minorEastAsia"/>
                <w:kern w:val="0"/>
              </w:rPr>
              <w:t>占用文化馆100平方米办公</w:t>
            </w:r>
          </w:p>
        </w:tc>
      </w:tr>
      <w:tr w14:paraId="528DE239">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0849475A">
            <w:pPr>
              <w:widowControl/>
              <w:jc w:val="left"/>
              <w:rPr>
                <w:rFonts w:cs="Times New Roman" w:asciiTheme="minorEastAsia" w:hAnsiTheme="minorEastAsia"/>
                <w:kern w:val="0"/>
              </w:rPr>
            </w:pPr>
            <w:r>
              <w:rPr>
                <w:rFonts w:hint="eastAsia" w:cs="宋体" w:asciiTheme="minorEastAsia" w:hAnsiTheme="minorEastAsia"/>
                <w:kern w:val="0"/>
              </w:rPr>
              <w:t>其中：办公用房（平方米）</w:t>
            </w:r>
          </w:p>
        </w:tc>
        <w:tc>
          <w:tcPr>
            <w:tcW w:w="1417" w:type="dxa"/>
            <w:tcBorders>
              <w:top w:val="nil"/>
              <w:left w:val="nil"/>
              <w:bottom w:val="single" w:color="auto" w:sz="4" w:space="0"/>
              <w:right w:val="single" w:color="auto" w:sz="4" w:space="0"/>
            </w:tcBorders>
            <w:vAlign w:val="center"/>
          </w:tcPr>
          <w:p w14:paraId="19D8AC4A">
            <w:pPr>
              <w:widowControl/>
              <w:jc w:val="center"/>
              <w:rPr>
                <w:rFonts w:cs="Times New Roman" w:asciiTheme="minorEastAsia" w:hAnsiTheme="minorEastAsia"/>
                <w:kern w:val="0"/>
              </w:rPr>
            </w:pPr>
            <w:r>
              <w:rPr>
                <w:rFonts w:hint="eastAsia" w:cs="Times New Roman" w:asciiTheme="minorEastAsia" w:hAnsiTheme="minorEastAsia"/>
                <w:kern w:val="0"/>
              </w:rPr>
              <w:t>100</w:t>
            </w:r>
          </w:p>
        </w:tc>
        <w:tc>
          <w:tcPr>
            <w:tcW w:w="3844" w:type="dxa"/>
            <w:tcBorders>
              <w:top w:val="nil"/>
              <w:left w:val="nil"/>
              <w:bottom w:val="single" w:color="auto" w:sz="4" w:space="0"/>
              <w:right w:val="single" w:color="auto" w:sz="4" w:space="0"/>
            </w:tcBorders>
            <w:vAlign w:val="center"/>
          </w:tcPr>
          <w:p w14:paraId="0379B0E1">
            <w:pPr>
              <w:widowControl/>
              <w:jc w:val="center"/>
              <w:rPr>
                <w:rFonts w:cs="Times New Roman" w:asciiTheme="minorEastAsia" w:hAnsiTheme="minorEastAsia"/>
                <w:kern w:val="0"/>
              </w:rPr>
            </w:pPr>
          </w:p>
        </w:tc>
      </w:tr>
      <w:tr w14:paraId="7A8BC2F3">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41FF26C5">
            <w:pPr>
              <w:widowControl/>
              <w:jc w:val="left"/>
              <w:rPr>
                <w:rFonts w:cs="Times New Roman" w:asciiTheme="minorEastAsia" w:hAnsiTheme="minorEastAsia"/>
                <w:kern w:val="0"/>
              </w:rPr>
            </w:pPr>
            <w:r>
              <w:rPr>
                <w:rFonts w:cs="宋体" w:asciiTheme="minorEastAsia" w:hAnsiTheme="minorEastAsia"/>
                <w:kern w:val="0"/>
              </w:rPr>
              <w:t>2</w:t>
            </w:r>
            <w:r>
              <w:rPr>
                <w:rFonts w:hint="eastAsia" w:cs="宋体" w:asciiTheme="minorEastAsia" w:hAnsiTheme="minorEastAsia"/>
                <w:kern w:val="0"/>
              </w:rPr>
              <w:t>、车辆（台、辆）</w:t>
            </w:r>
          </w:p>
        </w:tc>
        <w:tc>
          <w:tcPr>
            <w:tcW w:w="1417" w:type="dxa"/>
            <w:tcBorders>
              <w:top w:val="nil"/>
              <w:left w:val="nil"/>
              <w:bottom w:val="single" w:color="auto" w:sz="4" w:space="0"/>
              <w:right w:val="single" w:color="auto" w:sz="4" w:space="0"/>
            </w:tcBorders>
            <w:vAlign w:val="center"/>
          </w:tcPr>
          <w:p w14:paraId="3A259D72">
            <w:pPr>
              <w:widowControl/>
              <w:jc w:val="center"/>
              <w:rPr>
                <w:rFonts w:cs="Times New Roman" w:asciiTheme="minorEastAsia" w:hAnsiTheme="minorEastAsia"/>
                <w:kern w:val="0"/>
              </w:rPr>
            </w:pPr>
            <w:r>
              <w:rPr>
                <w:rFonts w:hint="eastAsia" w:cs="Times New Roman" w:asciiTheme="minorEastAsia" w:hAnsiTheme="minorEastAsia"/>
                <w:kern w:val="0"/>
              </w:rPr>
              <w:t>1</w:t>
            </w:r>
          </w:p>
        </w:tc>
        <w:tc>
          <w:tcPr>
            <w:tcW w:w="3844" w:type="dxa"/>
            <w:tcBorders>
              <w:top w:val="nil"/>
              <w:left w:val="nil"/>
              <w:bottom w:val="single" w:color="auto" w:sz="4" w:space="0"/>
              <w:right w:val="single" w:color="auto" w:sz="4" w:space="0"/>
            </w:tcBorders>
            <w:vAlign w:val="center"/>
          </w:tcPr>
          <w:p w14:paraId="03324600">
            <w:pPr>
              <w:widowControl/>
              <w:jc w:val="center"/>
              <w:rPr>
                <w:rFonts w:cs="Times New Roman" w:asciiTheme="minorEastAsia" w:hAnsiTheme="minorEastAsia"/>
                <w:kern w:val="0"/>
              </w:rPr>
            </w:pPr>
            <w:r>
              <w:rPr>
                <w:rFonts w:hint="eastAsia" w:cs="Times New Roman" w:asciiTheme="minorEastAsia" w:hAnsiTheme="minorEastAsia"/>
                <w:kern w:val="0"/>
              </w:rPr>
              <w:t>13.2</w:t>
            </w:r>
          </w:p>
        </w:tc>
      </w:tr>
      <w:tr w14:paraId="59F8C8E6">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623B8068">
            <w:pPr>
              <w:widowControl/>
              <w:jc w:val="left"/>
              <w:rPr>
                <w:rFonts w:cs="Times New Roman" w:asciiTheme="minorEastAsia" w:hAnsiTheme="minorEastAsia"/>
                <w:kern w:val="0"/>
              </w:rPr>
            </w:pPr>
            <w:r>
              <w:rPr>
                <w:rFonts w:cs="宋体" w:asciiTheme="minorEastAsia" w:hAnsiTheme="minorEastAsia"/>
                <w:kern w:val="0"/>
              </w:rPr>
              <w:t>3</w:t>
            </w:r>
            <w:r>
              <w:rPr>
                <w:rFonts w:hint="eastAsia" w:cs="宋体" w:asciiTheme="minorEastAsia" w:hAnsiTheme="minorEastAsia"/>
                <w:kern w:val="0"/>
              </w:rPr>
              <w:t>、单价在</w:t>
            </w:r>
            <w:r>
              <w:rPr>
                <w:rFonts w:cs="宋体" w:asciiTheme="minorEastAsia" w:hAnsiTheme="minorEastAsia"/>
                <w:kern w:val="0"/>
              </w:rPr>
              <w:t>50</w:t>
            </w:r>
            <w:r>
              <w:rPr>
                <w:rFonts w:hint="eastAsia" w:cs="宋体" w:asciiTheme="minorEastAsia" w:hAnsiTheme="minorEastAsia"/>
                <w:kern w:val="0"/>
              </w:rPr>
              <w:t>万元以上的设备</w:t>
            </w:r>
          </w:p>
        </w:tc>
        <w:tc>
          <w:tcPr>
            <w:tcW w:w="1417" w:type="dxa"/>
            <w:tcBorders>
              <w:top w:val="nil"/>
              <w:left w:val="nil"/>
              <w:bottom w:val="single" w:color="auto" w:sz="4" w:space="0"/>
              <w:right w:val="single" w:color="auto" w:sz="4" w:space="0"/>
            </w:tcBorders>
            <w:vAlign w:val="center"/>
          </w:tcPr>
          <w:p w14:paraId="7BA72646">
            <w:pPr>
              <w:widowControl/>
              <w:jc w:val="center"/>
              <w:rPr>
                <w:rFonts w:cs="Times New Roman" w:asciiTheme="minorEastAsia" w:hAnsiTheme="minorEastAsia"/>
                <w:kern w:val="0"/>
              </w:rPr>
            </w:pPr>
          </w:p>
        </w:tc>
        <w:tc>
          <w:tcPr>
            <w:tcW w:w="3844" w:type="dxa"/>
            <w:tcBorders>
              <w:top w:val="nil"/>
              <w:left w:val="nil"/>
              <w:bottom w:val="single" w:color="auto" w:sz="4" w:space="0"/>
              <w:right w:val="single" w:color="auto" w:sz="4" w:space="0"/>
            </w:tcBorders>
            <w:vAlign w:val="center"/>
          </w:tcPr>
          <w:p w14:paraId="2DA9C408">
            <w:pPr>
              <w:widowControl/>
              <w:jc w:val="center"/>
              <w:rPr>
                <w:rFonts w:cs="Times New Roman" w:asciiTheme="minorEastAsia" w:hAnsiTheme="minorEastAsia"/>
                <w:kern w:val="0"/>
              </w:rPr>
            </w:pPr>
          </w:p>
        </w:tc>
      </w:tr>
      <w:tr w14:paraId="11FD6C68">
        <w:tblPrEx>
          <w:tblCellMar>
            <w:top w:w="0" w:type="dxa"/>
            <w:left w:w="108" w:type="dxa"/>
            <w:bottom w:w="0" w:type="dxa"/>
            <w:right w:w="108" w:type="dxa"/>
          </w:tblCellMar>
        </w:tblPrEx>
        <w:trPr>
          <w:trHeight w:val="645" w:hRule="atLeast"/>
        </w:trPr>
        <w:tc>
          <w:tcPr>
            <w:tcW w:w="4802" w:type="dxa"/>
            <w:tcBorders>
              <w:top w:val="nil"/>
              <w:left w:val="single" w:color="auto" w:sz="4" w:space="0"/>
              <w:bottom w:val="single" w:color="auto" w:sz="4" w:space="0"/>
              <w:right w:val="single" w:color="auto" w:sz="4" w:space="0"/>
            </w:tcBorders>
            <w:vAlign w:val="center"/>
          </w:tcPr>
          <w:p w14:paraId="708978DD">
            <w:pPr>
              <w:widowControl/>
              <w:jc w:val="left"/>
              <w:rPr>
                <w:rFonts w:cs="Times New Roman" w:asciiTheme="minorEastAsia" w:hAnsiTheme="minorEastAsia"/>
                <w:kern w:val="0"/>
              </w:rPr>
            </w:pPr>
            <w:r>
              <w:rPr>
                <w:rFonts w:cs="宋体" w:asciiTheme="minorEastAsia" w:hAnsiTheme="minorEastAsia"/>
                <w:kern w:val="0"/>
              </w:rPr>
              <w:t>4</w:t>
            </w:r>
            <w:r>
              <w:rPr>
                <w:rFonts w:hint="eastAsia" w:cs="宋体" w:asciiTheme="minorEastAsia" w:hAnsiTheme="minorEastAsia"/>
                <w:kern w:val="0"/>
              </w:rPr>
              <w:t>、其他固定资产</w:t>
            </w:r>
          </w:p>
        </w:tc>
        <w:tc>
          <w:tcPr>
            <w:tcW w:w="1417" w:type="dxa"/>
            <w:tcBorders>
              <w:top w:val="nil"/>
              <w:left w:val="nil"/>
              <w:bottom w:val="single" w:color="auto" w:sz="4" w:space="0"/>
              <w:right w:val="single" w:color="auto" w:sz="4" w:space="0"/>
            </w:tcBorders>
            <w:vAlign w:val="center"/>
          </w:tcPr>
          <w:p w14:paraId="15488B69">
            <w:pPr>
              <w:widowControl/>
              <w:jc w:val="center"/>
              <w:rPr>
                <w:rFonts w:cs="Times New Roman" w:asciiTheme="minorEastAsia" w:hAnsiTheme="minorEastAsia"/>
                <w:kern w:val="0"/>
              </w:rPr>
            </w:pPr>
            <w:r>
              <w:rPr>
                <w:rFonts w:hint="eastAsia" w:cs="Times New Roman" w:asciiTheme="minorEastAsia" w:hAnsiTheme="minorEastAsia"/>
                <w:kern w:val="0"/>
              </w:rPr>
              <w:t>10</w:t>
            </w:r>
          </w:p>
        </w:tc>
        <w:tc>
          <w:tcPr>
            <w:tcW w:w="3844" w:type="dxa"/>
            <w:tcBorders>
              <w:top w:val="nil"/>
              <w:left w:val="nil"/>
              <w:bottom w:val="single" w:color="auto" w:sz="4" w:space="0"/>
              <w:right w:val="single" w:color="auto" w:sz="4" w:space="0"/>
            </w:tcBorders>
            <w:vAlign w:val="center"/>
          </w:tcPr>
          <w:p w14:paraId="6881F5A1">
            <w:pPr>
              <w:widowControl/>
              <w:jc w:val="center"/>
              <w:rPr>
                <w:rFonts w:cs="Times New Roman" w:asciiTheme="minorEastAsia" w:hAnsiTheme="minorEastAsia"/>
                <w:kern w:val="0"/>
              </w:rPr>
            </w:pPr>
            <w:r>
              <w:rPr>
                <w:rFonts w:hint="eastAsia" w:cs="Times New Roman" w:asciiTheme="minorEastAsia" w:hAnsiTheme="minorEastAsia"/>
                <w:kern w:val="0"/>
              </w:rPr>
              <w:t>6.5</w:t>
            </w:r>
          </w:p>
        </w:tc>
      </w:tr>
    </w:tbl>
    <w:p w14:paraId="185BD11D">
      <w:pPr>
        <w:widowControl/>
        <w:spacing w:line="360" w:lineRule="auto"/>
        <w:ind w:firstLine="960" w:firstLineChars="300"/>
        <w:jc w:val="left"/>
        <w:rPr>
          <w:rFonts w:ascii="黑体" w:hAnsi="黑体" w:eastAsia="黑体"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p>
    <w:p w14:paraId="1FA8005F">
      <w:pPr>
        <w:widowControl/>
        <w:spacing w:line="360" w:lineRule="auto"/>
        <w:ind w:firstLine="960" w:firstLineChars="300"/>
        <w:jc w:val="left"/>
        <w:rPr>
          <w:rFonts w:ascii="仿宋" w:hAnsi="仿宋" w:eastAsia="仿宋" w:cs="仿宋"/>
          <w:kern w:val="0"/>
          <w:sz w:val="32"/>
          <w:szCs w:val="32"/>
        </w:rPr>
      </w:pPr>
      <w:r>
        <w:rPr>
          <w:rFonts w:hint="eastAsia" w:ascii="仿宋" w:hAnsi="仿宋" w:eastAsia="仿宋" w:cs="仿宋"/>
          <w:kern w:val="0"/>
          <w:sz w:val="32"/>
          <w:szCs w:val="32"/>
        </w:rPr>
        <w:t>1</w:t>
      </w:r>
      <w:r>
        <w:rPr>
          <w:rFonts w:hint="eastAsia" w:ascii="仿宋" w:hAnsi="仿宋" w:eastAsia="仿宋" w:cs="仿宋"/>
          <w:bCs/>
          <w:kern w:val="0"/>
          <w:sz w:val="32"/>
          <w:szCs w:val="32"/>
        </w:rPr>
        <w:t>、财政拨款收入：指</w:t>
      </w:r>
      <w:r>
        <w:rPr>
          <w:rFonts w:hint="eastAsia" w:ascii="仿宋" w:hAnsi="仿宋" w:eastAsia="仿宋" w:cs="仿宋"/>
          <w:kern w:val="0"/>
          <w:sz w:val="32"/>
          <w:szCs w:val="32"/>
        </w:rPr>
        <w:t>财政当年拨付的资金。</w:t>
      </w:r>
    </w:p>
    <w:p w14:paraId="133FDBE0">
      <w:pPr>
        <w:widowControl/>
        <w:spacing w:line="360" w:lineRule="auto"/>
        <w:ind w:firstLine="960" w:firstLineChars="300"/>
        <w:jc w:val="left"/>
        <w:rPr>
          <w:rFonts w:ascii="仿宋" w:hAnsi="仿宋" w:eastAsia="仿宋" w:cs="仿宋"/>
          <w:kern w:val="0"/>
          <w:sz w:val="32"/>
          <w:szCs w:val="32"/>
        </w:rPr>
      </w:pPr>
      <w:r>
        <w:rPr>
          <w:rFonts w:hint="eastAsia" w:ascii="仿宋" w:hAnsi="仿宋" w:eastAsia="仿宋" w:cs="仿宋"/>
          <w:kern w:val="0"/>
          <w:sz w:val="32"/>
          <w:szCs w:val="32"/>
        </w:rPr>
        <w:t>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14:paraId="6CFDF22F">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微软雅黑"/>
          <w:kern w:val="0"/>
          <w:sz w:val="32"/>
          <w:szCs w:val="32"/>
        </w:rPr>
        <w:t xml:space="preserve"> 3</w:t>
      </w:r>
      <w:r>
        <w:rPr>
          <w:rFonts w:hint="eastAsia" w:ascii="仿宋" w:hAnsi="仿宋" w:eastAsia="仿宋" w:cs="仿宋"/>
          <w:kern w:val="0"/>
          <w:sz w:val="32"/>
          <w:szCs w:val="32"/>
        </w:rPr>
        <w:t>、年初结转和结余：指以前年度尚未完成，结转到本年仍按照原规定用途继续使用的资金，或项目已完成等产生的结余资金。 </w:t>
      </w:r>
    </w:p>
    <w:p w14:paraId="5D97A073">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4、基本支出：指单位为了保障其正常运转、完成日常工作任务而发生的人员支出和公用支出。 </w:t>
      </w:r>
    </w:p>
    <w:p w14:paraId="779A34A8">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5、项目支出：指单位为了特定的工作任务和事业发展目标，在基本支出之外所发生的支出。</w:t>
      </w:r>
    </w:p>
    <w:p w14:paraId="2B513360">
      <w:pPr>
        <w:tabs>
          <w:tab w:val="left" w:pos="11490"/>
        </w:tabs>
        <w:ind w:firstLine="640" w:firstLineChars="200"/>
        <w:rPr>
          <w:rFonts w:ascii="黑体" w:hAnsi="黑体" w:eastAsia="黑体" w:cs="Times New Roman"/>
          <w:sz w:val="32"/>
          <w:szCs w:val="32"/>
        </w:rPr>
      </w:pPr>
      <w:r>
        <w:rPr>
          <w:rFonts w:hint="eastAsia" w:ascii="黑体" w:hAnsi="黑体" w:eastAsia="黑体" w:cs="黑体"/>
          <w:sz w:val="32"/>
          <w:szCs w:val="32"/>
        </w:rPr>
        <w:t>九、其它需要说明的事项</w:t>
      </w:r>
    </w:p>
    <w:p w14:paraId="2F65A4AF">
      <w:pPr>
        <w:tabs>
          <w:tab w:val="left" w:pos="11490"/>
        </w:tabs>
        <w:ind w:firstLine="640" w:firstLineChars="200"/>
      </w:pPr>
      <w:r>
        <w:rPr>
          <w:rFonts w:hint="eastAsia" w:ascii="仿宋" w:hAnsi="仿宋" w:eastAsia="仿宋" w:cs="方正仿宋_GBK"/>
          <w:bCs/>
          <w:sz w:val="32"/>
          <w:szCs w:val="32"/>
        </w:rPr>
        <w:t>无其它需要说明的事项。</w:t>
      </w:r>
    </w:p>
    <w:sectPr>
      <w:pgSz w:w="16839" w:h="11907" w:orient="landscape"/>
      <w:pgMar w:top="1134" w:right="1021" w:bottom="1134" w:left="102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EF6B09"/>
    <w:multiLevelType w:val="singleLevel"/>
    <w:tmpl w:val="14EF6B0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7"/>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IyYjVkM2Q3OGI3NjgyMmRhNzc4Mzg1ZjJiNjZhOGYifQ=="/>
  </w:docVars>
  <w:rsids>
    <w:rsidRoot w:val="00E810D6"/>
    <w:rsid w:val="00006A41"/>
    <w:rsid w:val="00082F72"/>
    <w:rsid w:val="000875FF"/>
    <w:rsid w:val="00090A6C"/>
    <w:rsid w:val="000A2A5C"/>
    <w:rsid w:val="000B58A8"/>
    <w:rsid w:val="000D07E6"/>
    <w:rsid w:val="000D6DCA"/>
    <w:rsid w:val="000F321F"/>
    <w:rsid w:val="000F493D"/>
    <w:rsid w:val="00103C77"/>
    <w:rsid w:val="00105CB2"/>
    <w:rsid w:val="00125A4E"/>
    <w:rsid w:val="001E7765"/>
    <w:rsid w:val="00246791"/>
    <w:rsid w:val="002E3A95"/>
    <w:rsid w:val="002E5410"/>
    <w:rsid w:val="00325753"/>
    <w:rsid w:val="00372C40"/>
    <w:rsid w:val="00427317"/>
    <w:rsid w:val="00427BC9"/>
    <w:rsid w:val="0044064D"/>
    <w:rsid w:val="00452B0C"/>
    <w:rsid w:val="004A19AB"/>
    <w:rsid w:val="004B5C1D"/>
    <w:rsid w:val="004E1592"/>
    <w:rsid w:val="00506A84"/>
    <w:rsid w:val="005276BF"/>
    <w:rsid w:val="005900DE"/>
    <w:rsid w:val="005B0198"/>
    <w:rsid w:val="005D136A"/>
    <w:rsid w:val="005E5288"/>
    <w:rsid w:val="005F787C"/>
    <w:rsid w:val="006156FE"/>
    <w:rsid w:val="0062621A"/>
    <w:rsid w:val="00645528"/>
    <w:rsid w:val="00685811"/>
    <w:rsid w:val="006B5170"/>
    <w:rsid w:val="006D1C5B"/>
    <w:rsid w:val="006E2903"/>
    <w:rsid w:val="00796D2B"/>
    <w:rsid w:val="007A4CAA"/>
    <w:rsid w:val="007A507B"/>
    <w:rsid w:val="007B498A"/>
    <w:rsid w:val="007B684E"/>
    <w:rsid w:val="007D6BF0"/>
    <w:rsid w:val="007D7D44"/>
    <w:rsid w:val="007F76B8"/>
    <w:rsid w:val="008058DC"/>
    <w:rsid w:val="00810C7B"/>
    <w:rsid w:val="008117EF"/>
    <w:rsid w:val="0084604F"/>
    <w:rsid w:val="00860D18"/>
    <w:rsid w:val="008C7744"/>
    <w:rsid w:val="008E7FFB"/>
    <w:rsid w:val="009102EA"/>
    <w:rsid w:val="009C5B2B"/>
    <w:rsid w:val="009E3F6F"/>
    <w:rsid w:val="00A07D70"/>
    <w:rsid w:val="00A1510D"/>
    <w:rsid w:val="00B416BC"/>
    <w:rsid w:val="00BD63C3"/>
    <w:rsid w:val="00BE16AB"/>
    <w:rsid w:val="00BE3220"/>
    <w:rsid w:val="00BE344E"/>
    <w:rsid w:val="00CD0751"/>
    <w:rsid w:val="00CE45B4"/>
    <w:rsid w:val="00D75712"/>
    <w:rsid w:val="00DB1409"/>
    <w:rsid w:val="00DE2D55"/>
    <w:rsid w:val="00DF1429"/>
    <w:rsid w:val="00E10C60"/>
    <w:rsid w:val="00E810D6"/>
    <w:rsid w:val="00F17C91"/>
    <w:rsid w:val="00F401F1"/>
    <w:rsid w:val="00F43879"/>
    <w:rsid w:val="00F759DD"/>
    <w:rsid w:val="00FA73F6"/>
    <w:rsid w:val="00FB0F92"/>
    <w:rsid w:val="013B67CD"/>
    <w:rsid w:val="01CA412B"/>
    <w:rsid w:val="037D399A"/>
    <w:rsid w:val="03B213E5"/>
    <w:rsid w:val="06096D52"/>
    <w:rsid w:val="06550E5D"/>
    <w:rsid w:val="0726741C"/>
    <w:rsid w:val="08D34D69"/>
    <w:rsid w:val="09E50DB9"/>
    <w:rsid w:val="0BB759F9"/>
    <w:rsid w:val="0CBF7A43"/>
    <w:rsid w:val="0DD4180B"/>
    <w:rsid w:val="0F6B6DE7"/>
    <w:rsid w:val="12563BDD"/>
    <w:rsid w:val="130B706D"/>
    <w:rsid w:val="139106CF"/>
    <w:rsid w:val="13DE0FA8"/>
    <w:rsid w:val="15401926"/>
    <w:rsid w:val="154B242B"/>
    <w:rsid w:val="163506CD"/>
    <w:rsid w:val="17252863"/>
    <w:rsid w:val="175940C0"/>
    <w:rsid w:val="17C16AC9"/>
    <w:rsid w:val="180D78B9"/>
    <w:rsid w:val="1AEF7278"/>
    <w:rsid w:val="1B2A5EA4"/>
    <w:rsid w:val="1CC97251"/>
    <w:rsid w:val="1CEB0A1C"/>
    <w:rsid w:val="1E743262"/>
    <w:rsid w:val="1E8167C1"/>
    <w:rsid w:val="1EAA0AE1"/>
    <w:rsid w:val="21B66276"/>
    <w:rsid w:val="228819EE"/>
    <w:rsid w:val="23E25BD1"/>
    <w:rsid w:val="2716314B"/>
    <w:rsid w:val="288A4B30"/>
    <w:rsid w:val="28E516DB"/>
    <w:rsid w:val="293B030D"/>
    <w:rsid w:val="299267B6"/>
    <w:rsid w:val="2A444A10"/>
    <w:rsid w:val="2AD57C75"/>
    <w:rsid w:val="2BAA47A7"/>
    <w:rsid w:val="2C4657C3"/>
    <w:rsid w:val="2DC308D5"/>
    <w:rsid w:val="2DCE40BA"/>
    <w:rsid w:val="2E066AE5"/>
    <w:rsid w:val="2E2777CE"/>
    <w:rsid w:val="2EE04A84"/>
    <w:rsid w:val="31D059F4"/>
    <w:rsid w:val="32513D7B"/>
    <w:rsid w:val="332A0BBD"/>
    <w:rsid w:val="3387759D"/>
    <w:rsid w:val="351C5D1D"/>
    <w:rsid w:val="36DF5EE5"/>
    <w:rsid w:val="38963AA1"/>
    <w:rsid w:val="39461E7C"/>
    <w:rsid w:val="39A75722"/>
    <w:rsid w:val="3B6E7B6E"/>
    <w:rsid w:val="3C712CD5"/>
    <w:rsid w:val="3CEC5D53"/>
    <w:rsid w:val="441C57E9"/>
    <w:rsid w:val="44240E6E"/>
    <w:rsid w:val="44986D47"/>
    <w:rsid w:val="456A5D0D"/>
    <w:rsid w:val="457C0C14"/>
    <w:rsid w:val="45B90BF3"/>
    <w:rsid w:val="460143F1"/>
    <w:rsid w:val="475B18CD"/>
    <w:rsid w:val="4A4F1F05"/>
    <w:rsid w:val="4B7040C7"/>
    <w:rsid w:val="4B936E98"/>
    <w:rsid w:val="4CA957E7"/>
    <w:rsid w:val="4D9730D4"/>
    <w:rsid w:val="4E4335D2"/>
    <w:rsid w:val="50485AC9"/>
    <w:rsid w:val="553627A1"/>
    <w:rsid w:val="562E03C5"/>
    <w:rsid w:val="56E53ABF"/>
    <w:rsid w:val="59AF56D7"/>
    <w:rsid w:val="5AD42066"/>
    <w:rsid w:val="5B2B3FCD"/>
    <w:rsid w:val="5BAE356C"/>
    <w:rsid w:val="5CB07A05"/>
    <w:rsid w:val="5ED17601"/>
    <w:rsid w:val="612F2391"/>
    <w:rsid w:val="61897173"/>
    <w:rsid w:val="63F21B1B"/>
    <w:rsid w:val="65493192"/>
    <w:rsid w:val="666C26EF"/>
    <w:rsid w:val="668A0F30"/>
    <w:rsid w:val="6A5937B5"/>
    <w:rsid w:val="6B342950"/>
    <w:rsid w:val="6B511389"/>
    <w:rsid w:val="6D5763C1"/>
    <w:rsid w:val="6D81148F"/>
    <w:rsid w:val="6E8006EE"/>
    <w:rsid w:val="6ECC4D84"/>
    <w:rsid w:val="70BA2DA1"/>
    <w:rsid w:val="71B87B2B"/>
    <w:rsid w:val="729B4F6A"/>
    <w:rsid w:val="733E01F4"/>
    <w:rsid w:val="7424079F"/>
    <w:rsid w:val="749D1BB3"/>
    <w:rsid w:val="74D4598A"/>
    <w:rsid w:val="76FD3FC3"/>
    <w:rsid w:val="78820FC0"/>
    <w:rsid w:val="7AA5545A"/>
    <w:rsid w:val="7BAA5900"/>
    <w:rsid w:val="7D9A3104"/>
    <w:rsid w:val="7DB949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unhideWhenUsed/>
    <w:qFormat/>
    <w:uiPriority w:val="0"/>
    <w:rPr>
      <w:rFonts w:ascii="宋体" w:hAnsi="Courier New" w:eastAsia="宋体" w:cs="Courier New"/>
      <w:kern w:val="0"/>
      <w:sz w:val="20"/>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unhideWhenUsed/>
    <w:qFormat/>
    <w:uiPriority w:val="39"/>
  </w:style>
  <w:style w:type="paragraph" w:styleId="6">
    <w:name w:val="toc 2"/>
    <w:basedOn w:val="1"/>
    <w:next w:val="1"/>
    <w:unhideWhenUsed/>
    <w:qFormat/>
    <w:uiPriority w:val="39"/>
    <w:pPr>
      <w:ind w:left="420" w:leftChars="200"/>
    </w:pPr>
  </w:style>
  <w:style w:type="character" w:customStyle="1" w:styleId="9">
    <w:name w:val="页眉 Char"/>
    <w:basedOn w:val="8"/>
    <w:link w:val="4"/>
    <w:semiHidden/>
    <w:qFormat/>
    <w:uiPriority w:val="99"/>
    <w:rPr>
      <w:sz w:val="18"/>
      <w:szCs w:val="18"/>
    </w:rPr>
  </w:style>
  <w:style w:type="character" w:customStyle="1" w:styleId="10">
    <w:name w:val="页脚 Char"/>
    <w:basedOn w:val="8"/>
    <w:link w:val="3"/>
    <w:semiHidden/>
    <w:qFormat/>
    <w:uiPriority w:val="99"/>
    <w:rPr>
      <w:sz w:val="18"/>
      <w:szCs w:val="18"/>
    </w:rPr>
  </w:style>
  <w:style w:type="paragraph" w:customStyle="1" w:styleId="11">
    <w:name w:val="列出段落1"/>
    <w:basedOn w:val="1"/>
    <w:unhideWhenUsed/>
    <w:qFormat/>
    <w:uiPriority w:val="99"/>
    <w:pPr>
      <w:ind w:firstLine="420" w:firstLineChars="200"/>
    </w:pPr>
  </w:style>
  <w:style w:type="character" w:customStyle="1" w:styleId="12">
    <w:name w:val="纯文本 Char"/>
    <w:basedOn w:val="8"/>
    <w:link w:val="2"/>
    <w:qFormat/>
    <w:uiPriority w:val="0"/>
    <w:rPr>
      <w:rFonts w:ascii="宋体" w:hAnsi="Courier New" w:eastAsia="宋体" w:cs="Courier New"/>
      <w:szCs w:val="21"/>
    </w:rPr>
  </w:style>
  <w:style w:type="character" w:customStyle="1" w:styleId="13">
    <w:name w:val="纯文本 Char1"/>
    <w:basedOn w:val="8"/>
    <w:semiHidden/>
    <w:qFormat/>
    <w:uiPriority w:val="99"/>
    <w:rPr>
      <w:rFonts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15</Pages>
  <Words>7205</Words>
  <Characters>7431</Characters>
  <Lines>42</Lines>
  <Paragraphs>11</Paragraphs>
  <TotalTime>6</TotalTime>
  <ScaleCrop>false</ScaleCrop>
  <LinksUpToDate>false</LinksUpToDate>
  <CharactersWithSpaces>7459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little me</cp:lastModifiedBy>
  <cp:lastPrinted>2019-04-02T01:46:00Z</cp:lastPrinted>
  <dcterms:modified xsi:type="dcterms:W3CDTF">2025-10-29T08:19:47Z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95F993BDD0AF4BFDBAA676EFA002A804</vt:lpwstr>
  </property>
  <property fmtid="{D5CDD505-2E9C-101B-9397-08002B2CF9AE}" pid="4" name="KSOTemplateDocerSaveRecord">
    <vt:lpwstr>eyJoZGlkIjoiZDE4MGUxZjY4OWIwODJlZjBlZDI2MzFlYmZkYWUyZDkiLCJ1c2VySWQiOiI0OTQ3NTIxNzIifQ==</vt:lpwstr>
  </property>
</Properties>
</file>