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44"/>
          <w:szCs w:val="44"/>
        </w:rPr>
      </w:pPr>
      <w:bookmarkStart w:id="1" w:name="_GoBack"/>
      <w:r>
        <w:rPr>
          <w:rFonts w:hint="eastAsia" w:ascii="黑体" w:hAnsi="黑体" w:eastAsia="黑体"/>
          <w:sz w:val="44"/>
          <w:szCs w:val="44"/>
        </w:rPr>
        <w:t>成安县柏寺营乡人民政府</w:t>
      </w:r>
    </w:p>
    <w:p>
      <w:pPr>
        <w:jc w:val="center"/>
        <w:rPr>
          <w:rFonts w:ascii="黑体" w:hAnsi="黑体" w:eastAsia="黑体"/>
          <w:sz w:val="44"/>
          <w:szCs w:val="44"/>
        </w:rPr>
      </w:pPr>
      <w:r>
        <w:rPr>
          <w:rFonts w:hint="eastAsia" w:ascii="黑体" w:hAnsi="黑体" w:eastAsia="黑体"/>
          <w:sz w:val="44"/>
          <w:szCs w:val="44"/>
          <w:lang w:eastAsia="zh-CN"/>
        </w:rPr>
        <w:t>2021</w:t>
      </w:r>
      <w:r>
        <w:rPr>
          <w:rFonts w:hint="eastAsia" w:ascii="黑体" w:hAnsi="黑体" w:eastAsia="黑体"/>
          <w:sz w:val="44"/>
          <w:szCs w:val="44"/>
        </w:rPr>
        <w:t>年部门预算公开情况说明</w:t>
      </w:r>
      <w:bookmarkEnd w:id="1"/>
    </w:p>
    <w:p>
      <w:pPr>
        <w:rPr>
          <w:rFonts w:ascii="仿宋" w:hAnsi="仿宋" w:eastAsia="仿宋" w:cs="仿宋_GB2312"/>
          <w:sz w:val="32"/>
          <w:szCs w:val="32"/>
        </w:rPr>
      </w:pPr>
    </w:p>
    <w:p>
      <w:pPr>
        <w:ind w:firstLine="640" w:firstLineChars="200"/>
        <w:rPr>
          <w:rFonts w:ascii="仿宋" w:hAnsi="仿宋" w:eastAsia="仿宋" w:cs="仿宋_GB2312"/>
          <w:kern w:val="0"/>
          <w:sz w:val="32"/>
          <w:szCs w:val="32"/>
        </w:rPr>
      </w:pPr>
      <w:r>
        <w:rPr>
          <w:rFonts w:hint="eastAsia" w:ascii="仿宋" w:hAnsi="仿宋" w:eastAsia="仿宋" w:cs="仿宋_GB2312"/>
          <w:sz w:val="32"/>
          <w:szCs w:val="32"/>
        </w:rPr>
        <w:t>按照《</w:t>
      </w:r>
      <w:r>
        <w:rPr>
          <w:rFonts w:hint="eastAsia" w:ascii="仿宋" w:hAnsi="仿宋" w:eastAsia="仿宋" w:cs="仿宋_GB2312"/>
          <w:sz w:val="32"/>
          <w:szCs w:val="32"/>
          <w:lang w:eastAsia="zh-CN"/>
        </w:rPr>
        <w:t>中华人民共和国</w:t>
      </w:r>
      <w:r>
        <w:rPr>
          <w:rFonts w:hint="eastAsia" w:ascii="仿宋" w:hAnsi="仿宋" w:eastAsia="仿宋" w:cs="仿宋_GB2312"/>
          <w:sz w:val="32"/>
          <w:szCs w:val="32"/>
        </w:rPr>
        <w:t>预算法》有关规定和财政部关于印发《地方预决算公开操作规程》的通知，</w:t>
      </w:r>
      <w:r>
        <w:rPr>
          <w:rFonts w:hint="eastAsia" w:ascii="仿宋" w:hAnsi="仿宋" w:eastAsia="仿宋" w:cs="仿宋_GB2312"/>
          <w:kern w:val="0"/>
          <w:sz w:val="32"/>
          <w:szCs w:val="32"/>
        </w:rPr>
        <w:t>现将成安县柏寺营乡人民政府</w:t>
      </w:r>
      <w:r>
        <w:rPr>
          <w:rFonts w:hint="eastAsia" w:ascii="仿宋" w:hAnsi="仿宋" w:eastAsia="仿宋" w:cs="仿宋_GB2312"/>
          <w:kern w:val="0"/>
          <w:sz w:val="32"/>
          <w:szCs w:val="32"/>
          <w:lang w:eastAsia="zh-CN"/>
        </w:rPr>
        <w:t>2021</w:t>
      </w:r>
      <w:r>
        <w:rPr>
          <w:rFonts w:hint="eastAsia" w:ascii="仿宋" w:hAnsi="仿宋" w:eastAsia="仿宋" w:cs="仿宋_GB2312"/>
          <w:kern w:val="0"/>
          <w:sz w:val="32"/>
          <w:szCs w:val="32"/>
        </w:rPr>
        <w:t>年部门预算公开如下：</w:t>
      </w:r>
    </w:p>
    <w:p>
      <w:pPr>
        <w:widowControl/>
        <w:spacing w:line="360" w:lineRule="auto"/>
        <w:ind w:left="640"/>
        <w:jc w:val="left"/>
        <w:rPr>
          <w:rFonts w:ascii="楷体" w:hAnsi="楷体" w:eastAsia="楷体" w:cs="黑体"/>
          <w:b/>
          <w:bCs/>
          <w:kern w:val="0"/>
          <w:sz w:val="32"/>
          <w:szCs w:val="32"/>
        </w:rPr>
      </w:pPr>
      <w:r>
        <w:rPr>
          <w:rFonts w:hint="eastAsia" w:ascii="楷体" w:hAnsi="楷体" w:eastAsia="楷体" w:cs="黑体"/>
          <w:b/>
          <w:bCs/>
          <w:kern w:val="0"/>
          <w:sz w:val="32"/>
          <w:szCs w:val="32"/>
        </w:rPr>
        <w:t>一、主要职责及机构设置情况</w:t>
      </w:r>
    </w:p>
    <w:p>
      <w:pPr>
        <w:widowControl/>
        <w:spacing w:line="360" w:lineRule="auto"/>
        <w:ind w:firstLine="630" w:firstLineChars="196"/>
        <w:jc w:val="left"/>
        <w:rPr>
          <w:rFonts w:ascii="仿宋" w:hAnsi="仿宋" w:eastAsia="仿宋" w:cs="仿宋_GB2312"/>
          <w:kern w:val="0"/>
          <w:sz w:val="32"/>
          <w:szCs w:val="32"/>
        </w:rPr>
      </w:pPr>
      <w:r>
        <w:rPr>
          <w:rFonts w:hint="eastAsia" w:ascii="仿宋" w:hAnsi="仿宋" w:eastAsia="仿宋" w:cs="楷体"/>
          <w:b/>
          <w:bCs/>
          <w:kern w:val="0"/>
          <w:sz w:val="32"/>
          <w:szCs w:val="32"/>
        </w:rPr>
        <w:t>部门职责</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(一)宣传、贯彻党的路线、方针、政策和上级党组织的</w:t>
      </w:r>
      <w:r>
        <w:rPr>
          <w:rFonts w:hint="eastAsia" w:ascii="仿宋_GB2312" w:hAnsi="仿宋_GB2312" w:eastAsia="仿宋_GB2312" w:cs="仿宋_GB2312"/>
          <w:sz w:val="32"/>
          <w:szCs w:val="32"/>
          <w:lang w:eastAsia="zh-CN"/>
        </w:rPr>
        <w:t>决议</w:t>
      </w:r>
      <w:r>
        <w:rPr>
          <w:rFonts w:hint="eastAsia" w:ascii="仿宋_GB2312" w:hAnsi="仿宋_GB2312" w:eastAsia="仿宋_GB2312" w:cs="仿宋_GB2312"/>
          <w:sz w:val="32"/>
          <w:szCs w:val="32"/>
        </w:rPr>
        <w:t>，执行镇党员代表大会(党员大会)决议，讨论决定本镇的重大问题。</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(二)抓好自身和所属党组织</w:t>
      </w:r>
      <w:r>
        <w:rPr>
          <w:rFonts w:hint="eastAsia" w:ascii="仿宋_GB2312" w:hAnsi="仿宋_GB2312" w:eastAsia="仿宋_GB2312" w:cs="仿宋_GB2312"/>
          <w:sz w:val="32"/>
          <w:szCs w:val="32"/>
          <w:lang w:eastAsia="zh-CN"/>
        </w:rPr>
        <w:t>以及非公企业和社会组织</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党组织建设</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(三)领导镇经济建设，制定本镇经济和社会发展规划并组</w:t>
      </w:r>
    </w:p>
    <w:p>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织实施。</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(四)领导镇社会主义精神文明和民主法制建设。加强农村社会治安综合治理，</w:t>
      </w:r>
      <w:r>
        <w:rPr>
          <w:rFonts w:hint="eastAsia" w:ascii="仿宋_GB2312" w:hAnsi="仿宋_GB2312" w:eastAsia="仿宋_GB2312" w:cs="仿宋_GB2312"/>
          <w:sz w:val="32"/>
          <w:szCs w:val="32"/>
          <w:lang w:eastAsia="zh-CN"/>
        </w:rPr>
        <w:t>落实统一战线工作任务，做好民族事务工作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(五)领导并支持镇政府依法行使各项行政管理职权。</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(六)领导人大主席团及经济组织、人民武装和共青团、妇</w:t>
      </w:r>
    </w:p>
    <w:p>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联等人民团体的工作。</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w:t>
      </w:r>
      <w:r>
        <w:rPr>
          <w:rFonts w:hint="eastAsia" w:ascii="仿宋_GB2312" w:hAnsi="仿宋_GB2312" w:eastAsia="仿宋_GB2312" w:cs="仿宋_GB2312"/>
          <w:sz w:val="32"/>
          <w:szCs w:val="32"/>
          <w:lang w:eastAsia="zh-CN"/>
        </w:rPr>
        <w:t>统一指挥协调</w:t>
      </w:r>
      <w:r>
        <w:rPr>
          <w:rFonts w:hint="eastAsia" w:ascii="仿宋_GB2312" w:hAnsi="仿宋_GB2312" w:eastAsia="仿宋_GB2312" w:cs="仿宋_GB2312"/>
          <w:sz w:val="32"/>
          <w:szCs w:val="32"/>
        </w:rPr>
        <w:t>上级有关部门派驻镇单位的工作。</w:t>
      </w: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八</w:t>
      </w:r>
      <w:r>
        <w:rPr>
          <w:rFonts w:hint="eastAsia" w:ascii="仿宋_GB2312" w:hAnsi="仿宋_GB2312" w:eastAsia="仿宋_GB2312" w:cs="仿宋_GB2312"/>
          <w:color w:val="auto"/>
          <w:sz w:val="32"/>
          <w:szCs w:val="32"/>
        </w:rPr>
        <w:t>)促进经济发展、增加农民收入</w:t>
      </w: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九</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优</w:t>
      </w:r>
      <w:r>
        <w:rPr>
          <w:rFonts w:hint="eastAsia" w:ascii="仿宋_GB2312" w:hAnsi="仿宋_GB2312" w:eastAsia="仿宋_GB2312" w:cs="仿宋_GB2312"/>
          <w:color w:val="auto"/>
          <w:sz w:val="32"/>
          <w:szCs w:val="32"/>
        </w:rPr>
        <w:t>化公共服务、着力改善民生</w:t>
      </w: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十</w:t>
      </w:r>
      <w:r>
        <w:rPr>
          <w:rFonts w:hint="eastAsia" w:ascii="仿宋_GB2312" w:hAnsi="仿宋_GB2312" w:eastAsia="仿宋_GB2312" w:cs="仿宋_GB2312"/>
          <w:color w:val="auto"/>
          <w:sz w:val="32"/>
          <w:szCs w:val="32"/>
        </w:rPr>
        <w:t>)强</w:t>
      </w:r>
      <w:r>
        <w:rPr>
          <w:rFonts w:hint="eastAsia" w:ascii="仿宋_GB2312" w:hAnsi="仿宋_GB2312" w:eastAsia="仿宋_GB2312" w:cs="仿宋_GB2312"/>
          <w:color w:val="auto"/>
          <w:sz w:val="32"/>
          <w:szCs w:val="32"/>
          <w:lang w:eastAsia="zh-CN"/>
        </w:rPr>
        <w:t>化</w:t>
      </w:r>
      <w:r>
        <w:rPr>
          <w:rFonts w:hint="eastAsia" w:ascii="仿宋_GB2312" w:hAnsi="仿宋_GB2312" w:eastAsia="仿宋_GB2312" w:cs="仿宋_GB2312"/>
          <w:color w:val="auto"/>
          <w:sz w:val="32"/>
          <w:szCs w:val="32"/>
        </w:rPr>
        <w:t>社会管理、维护农村稳定</w:t>
      </w: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十一</w:t>
      </w:r>
      <w:r>
        <w:rPr>
          <w:rFonts w:hint="eastAsia" w:ascii="仿宋_GB2312" w:hAnsi="仿宋_GB2312" w:eastAsia="仿宋_GB2312" w:cs="仿宋_GB2312"/>
          <w:color w:val="auto"/>
          <w:sz w:val="32"/>
          <w:szCs w:val="32"/>
        </w:rPr>
        <w:t>)推进基层民主、促进农村和谐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Chars="0"/>
        <w:jc w:val="left"/>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　　(十二）</w:t>
      </w:r>
      <w:r>
        <w:rPr>
          <w:rFonts w:hint="eastAsia" w:ascii="仿宋_GB2312" w:hAnsi="仿宋_GB2312" w:eastAsia="仿宋_GB2312" w:cs="仿宋_GB2312"/>
          <w:b w:val="0"/>
          <w:bCs w:val="0"/>
          <w:color w:val="auto"/>
          <w:sz w:val="32"/>
          <w:szCs w:val="32"/>
          <w:lang w:eastAsia="zh-CN"/>
        </w:rPr>
        <w:t>改善生态环境、提升乡风文明</w:t>
      </w:r>
    </w:p>
    <w:p>
      <w:pPr>
        <w:keepNext w:val="0"/>
        <w:keepLines w:val="0"/>
        <w:pageBreakBefore w:val="0"/>
        <w:widowControl w:val="0"/>
        <w:kinsoku/>
        <w:wordWrap/>
        <w:overflowPunct/>
        <w:topLinePunct w:val="0"/>
        <w:autoSpaceDE/>
        <w:autoSpaceDN/>
        <w:bidi w:val="0"/>
        <w:adjustRightInd w:val="0"/>
        <w:snapToGrid w:val="0"/>
        <w:spacing w:line="580" w:lineRule="exact"/>
        <w:ind w:left="-197" w:leftChars="-94" w:firstLine="416" w:firstLineChars="13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auto"/>
          <w:sz w:val="32"/>
          <w:szCs w:val="32"/>
          <w:lang w:eastAsia="zh-CN"/>
        </w:rPr>
        <w:t>　（</w:t>
      </w:r>
      <w:r>
        <w:rPr>
          <w:rFonts w:hint="eastAsia" w:ascii="仿宋_GB2312" w:hAnsi="仿宋_GB2312" w:eastAsia="仿宋_GB2312" w:cs="仿宋_GB2312"/>
          <w:b w:val="0"/>
          <w:bCs w:val="0"/>
          <w:color w:val="auto"/>
          <w:sz w:val="32"/>
          <w:szCs w:val="32"/>
          <w:lang w:val="en-US" w:eastAsia="zh-CN"/>
        </w:rPr>
        <w:t>十三</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完成县委、县政府交办的其他任务。</w:t>
      </w:r>
    </w:p>
    <w:p>
      <w:pPr>
        <w:widowControl/>
        <w:spacing w:line="360" w:lineRule="auto"/>
        <w:ind w:firstLine="643" w:firstLineChars="200"/>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内设机构</w:t>
      </w:r>
    </w:p>
    <w:p>
      <w:pPr>
        <w:widowControl/>
        <w:spacing w:line="360" w:lineRule="auto"/>
        <w:ind w:firstLine="643" w:firstLineChars="200"/>
        <w:jc w:val="left"/>
        <w:rPr>
          <w:rFonts w:hint="eastAsia" w:ascii="仿宋_GB2312" w:hAnsi="仿宋_GB2312" w:eastAsia="仿宋_GB2312" w:cs="仿宋_GB2312"/>
          <w:b/>
          <w:color w:val="000000" w:themeColor="text1"/>
          <w:kern w:val="0"/>
          <w:sz w:val="32"/>
          <w:szCs w:val="32"/>
        </w:rPr>
      </w:pPr>
      <w:r>
        <w:rPr>
          <w:rFonts w:hint="eastAsia" w:ascii="仿宋_GB2312" w:hAnsi="仿宋_GB2312" w:eastAsia="仿宋_GB2312" w:cs="仿宋_GB2312"/>
          <w:b/>
          <w:color w:val="000000" w:themeColor="text1"/>
          <w:kern w:val="0"/>
          <w:sz w:val="32"/>
          <w:szCs w:val="32"/>
        </w:rPr>
        <w:t>人员编制和领导职数</w:t>
      </w:r>
    </w:p>
    <w:p>
      <w:pPr>
        <w:ind w:firstLine="720"/>
        <w:jc w:val="left"/>
        <w:outlineLvl w:val="0"/>
        <w:rPr>
          <w:rFonts w:hint="eastAsia" w:ascii="仿宋_GB2312" w:hAnsi="仿宋_GB2312" w:eastAsia="仿宋_GB2312" w:cs="仿宋_GB2312"/>
          <w:color w:val="000000" w:themeColor="text1"/>
          <w:kern w:val="0"/>
          <w:sz w:val="32"/>
          <w:szCs w:val="32"/>
        </w:rPr>
      </w:pPr>
      <w:r>
        <w:rPr>
          <w:rFonts w:hint="eastAsia" w:ascii="仿宋_GB2312" w:hAnsi="仿宋_GB2312" w:eastAsia="仿宋_GB2312" w:cs="仿宋_GB2312"/>
          <w:color w:val="000000" w:themeColor="text1"/>
          <w:kern w:val="0"/>
          <w:sz w:val="32"/>
          <w:szCs w:val="32"/>
        </w:rPr>
        <w:t>第五条 柏寺营乡行政编制 29名(其中纪委编制5名)全额</w:t>
      </w:r>
      <w:r>
        <w:rPr>
          <w:rFonts w:hint="eastAsia" w:ascii="仿宋_GB2312" w:hAnsi="仿宋_GB2312" w:eastAsia="仿宋_GB2312" w:cs="仿宋_GB2312"/>
          <w:color w:val="000000" w:themeColor="text1"/>
          <w:kern w:val="0"/>
          <w:sz w:val="32"/>
          <w:szCs w:val="32"/>
          <w:lang w:eastAsia="zh-CN"/>
        </w:rPr>
        <w:t>拨款</w:t>
      </w:r>
      <w:r>
        <w:rPr>
          <w:rFonts w:hint="eastAsia" w:ascii="仿宋_GB2312" w:hAnsi="仿宋_GB2312" w:eastAsia="仿宋_GB2312" w:cs="仿宋_GB2312"/>
          <w:color w:val="000000" w:themeColor="text1"/>
          <w:kern w:val="0"/>
          <w:sz w:val="32"/>
          <w:szCs w:val="32"/>
        </w:rPr>
        <w:t>事业编制21名,自收自支事业编制4名,党委委员9名。其中书记1名，副书记2名(含乡长1名)，人大主席1名，纪委书记1名、组织委员1名、宣传委员1名，武装部长1名，交叉任职的委员副乡长1名;设人大主席1名，人大副主席1名;政府领导班子职数3名，其中乡长1名，副乡长2名。纪委委员5名，其中书记1名、副书记1名(股级)公安派出所所长由副乡长兼任。党建工作办公室、综合行政执法队、行政综合服务中心主要负责人可配备副科级千部。</w:t>
      </w:r>
    </w:p>
    <w:p>
      <w:pPr>
        <w:ind w:firstLine="720"/>
        <w:jc w:val="center"/>
        <w:outlineLvl w:val="0"/>
        <w:rPr>
          <w:rFonts w:ascii="Times New Roman" w:hAnsi="Times New Roman" w:eastAsia="方正小标宋_GBK" w:cs="Times New Roman"/>
          <w:sz w:val="32"/>
          <w:szCs w:val="32"/>
        </w:rPr>
      </w:pPr>
      <w:r>
        <w:rPr>
          <w:rFonts w:hint="eastAsia" w:ascii="Times New Roman" w:hAnsi="Times New Roman" w:eastAsia="方正小标宋_GBK" w:cs="方正小标宋_GBK"/>
          <w:sz w:val="32"/>
          <w:szCs w:val="32"/>
        </w:rPr>
        <w:t>部门机构设置情况</w:t>
      </w:r>
    </w:p>
    <w:tbl>
      <w:tblPr>
        <w:tblStyle w:val="6"/>
        <w:tblW w:w="105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210"/>
        <w:gridCol w:w="1134"/>
        <w:gridCol w:w="1276"/>
        <w:gridCol w:w="29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5210" w:type="dxa"/>
            <w:vMerge w:val="restart"/>
            <w:vAlign w:val="center"/>
          </w:tcPr>
          <w:p>
            <w:pPr>
              <w:spacing w:line="300" w:lineRule="exact"/>
              <w:jc w:val="center"/>
              <w:rPr>
                <w:rFonts w:ascii="Times New Roman" w:hAnsi="Times New Roman" w:eastAsia="方正书宋_GBK" w:cs="Times New Roman"/>
                <w:b/>
                <w:bCs/>
              </w:rPr>
            </w:pPr>
            <w:r>
              <w:rPr>
                <w:rFonts w:hint="eastAsia" w:ascii="Times New Roman" w:hAnsi="Times New Roman" w:eastAsia="方正书宋_GBK" w:cs="方正书宋_GBK"/>
                <w:b/>
                <w:bCs/>
              </w:rPr>
              <w:t>单位名称</w:t>
            </w:r>
          </w:p>
        </w:tc>
        <w:tc>
          <w:tcPr>
            <w:tcW w:w="1134" w:type="dxa"/>
            <w:vMerge w:val="restart"/>
            <w:vAlign w:val="center"/>
          </w:tcPr>
          <w:p>
            <w:pPr>
              <w:spacing w:line="300" w:lineRule="exact"/>
              <w:jc w:val="center"/>
              <w:rPr>
                <w:rFonts w:ascii="Times New Roman" w:hAnsi="Times New Roman" w:eastAsia="方正书宋_GBK" w:cs="Times New Roman"/>
                <w:b/>
                <w:bCs/>
              </w:rPr>
            </w:pPr>
            <w:r>
              <w:rPr>
                <w:rFonts w:hint="eastAsia" w:ascii="Times New Roman" w:hAnsi="Times New Roman" w:eastAsia="方正书宋_GBK" w:cs="方正书宋_GBK"/>
                <w:b/>
                <w:bCs/>
              </w:rPr>
              <w:t>单位性质</w:t>
            </w:r>
          </w:p>
        </w:tc>
        <w:tc>
          <w:tcPr>
            <w:tcW w:w="1276" w:type="dxa"/>
            <w:vMerge w:val="restart"/>
            <w:vAlign w:val="center"/>
          </w:tcPr>
          <w:p>
            <w:pPr>
              <w:spacing w:line="300" w:lineRule="exact"/>
              <w:jc w:val="center"/>
              <w:rPr>
                <w:rFonts w:ascii="Times New Roman" w:hAnsi="Times New Roman" w:eastAsia="方正书宋_GBK" w:cs="Times New Roman"/>
                <w:b/>
                <w:bCs/>
              </w:rPr>
            </w:pPr>
            <w:r>
              <w:rPr>
                <w:rFonts w:hint="eastAsia" w:ascii="Times New Roman" w:hAnsi="Times New Roman" w:eastAsia="方正书宋_GBK" w:cs="方正书宋_GBK"/>
                <w:b/>
                <w:bCs/>
              </w:rPr>
              <w:t>单位规格</w:t>
            </w:r>
          </w:p>
        </w:tc>
        <w:tc>
          <w:tcPr>
            <w:tcW w:w="2902" w:type="dxa"/>
            <w:vMerge w:val="restart"/>
            <w:vAlign w:val="center"/>
          </w:tcPr>
          <w:p>
            <w:pPr>
              <w:spacing w:line="300" w:lineRule="exact"/>
              <w:jc w:val="center"/>
              <w:rPr>
                <w:rFonts w:ascii="Times New Roman" w:hAnsi="Times New Roman" w:eastAsia="方正书宋_GBK" w:cs="Times New Roman"/>
                <w:b/>
                <w:bCs/>
              </w:rPr>
            </w:pPr>
            <w:r>
              <w:rPr>
                <w:rFonts w:hint="eastAsia" w:ascii="Times New Roman" w:hAnsi="Times New Roman" w:eastAsia="方正书宋_GBK" w:cs="方正书宋_GBK"/>
                <w:b/>
                <w:bCs/>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5210" w:type="dxa"/>
            <w:vMerge w:val="continue"/>
            <w:vAlign w:val="center"/>
          </w:tcPr>
          <w:p>
            <w:pPr>
              <w:spacing w:line="300" w:lineRule="exact"/>
              <w:jc w:val="left"/>
              <w:outlineLvl w:val="0"/>
              <w:rPr>
                <w:rFonts w:ascii="Times New Roman" w:hAnsi="Times New Roman" w:eastAsia="宋体" w:cs="Times New Roman"/>
              </w:rPr>
            </w:pPr>
          </w:p>
        </w:tc>
        <w:tc>
          <w:tcPr>
            <w:tcW w:w="1134" w:type="dxa"/>
            <w:vMerge w:val="continue"/>
            <w:vAlign w:val="center"/>
          </w:tcPr>
          <w:p>
            <w:pPr>
              <w:spacing w:line="300" w:lineRule="exact"/>
              <w:jc w:val="left"/>
              <w:outlineLvl w:val="0"/>
              <w:rPr>
                <w:rFonts w:ascii="Times New Roman" w:hAnsi="Times New Roman" w:eastAsia="宋体" w:cs="Times New Roman"/>
              </w:rPr>
            </w:pPr>
          </w:p>
        </w:tc>
        <w:tc>
          <w:tcPr>
            <w:tcW w:w="1276" w:type="dxa"/>
            <w:vMerge w:val="continue"/>
            <w:vAlign w:val="center"/>
          </w:tcPr>
          <w:p>
            <w:pPr>
              <w:spacing w:line="300" w:lineRule="exact"/>
              <w:jc w:val="left"/>
              <w:outlineLvl w:val="0"/>
              <w:rPr>
                <w:rFonts w:ascii="Times New Roman" w:hAnsi="Times New Roman" w:eastAsia="宋体" w:cs="Times New Roman"/>
              </w:rPr>
            </w:pPr>
          </w:p>
        </w:tc>
        <w:tc>
          <w:tcPr>
            <w:tcW w:w="2902" w:type="dxa"/>
            <w:vMerge w:val="continue"/>
            <w:vAlign w:val="center"/>
          </w:tcPr>
          <w:p>
            <w:pPr>
              <w:spacing w:line="300" w:lineRule="exact"/>
              <w:jc w:val="left"/>
              <w:outlineLvl w:val="0"/>
              <w:rPr>
                <w:rFonts w:ascii="Times New Roman" w:hAnsi="Times New Roman" w:eastAsia="宋体"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9" w:hRule="atLeast"/>
          <w:jc w:val="center"/>
        </w:trPr>
        <w:tc>
          <w:tcPr>
            <w:tcW w:w="5210" w:type="dxa"/>
            <w:vAlign w:val="center"/>
          </w:tcPr>
          <w:p>
            <w:pPr>
              <w:spacing w:line="300" w:lineRule="exact"/>
              <w:jc w:val="left"/>
              <w:rPr>
                <w:rFonts w:hint="eastAsia" w:ascii="仿宋" w:hAnsi="仿宋" w:eastAsia="仿宋" w:cs="Times New Roman"/>
                <w:sz w:val="32"/>
                <w:szCs w:val="32"/>
                <w:lang w:val="en-US" w:eastAsia="zh-CN"/>
              </w:rPr>
            </w:pPr>
            <w:r>
              <w:rPr>
                <w:rFonts w:hint="eastAsia" w:ascii="仿宋" w:hAnsi="仿宋" w:eastAsia="仿宋" w:cs="Times New Roman"/>
                <w:sz w:val="32"/>
                <w:szCs w:val="32"/>
              </w:rPr>
              <w:t>成安县柏寺营乡人民政府</w:t>
            </w:r>
            <w:r>
              <w:rPr>
                <w:rFonts w:hint="eastAsia" w:ascii="仿宋" w:hAnsi="仿宋" w:eastAsia="仿宋" w:cs="Times New Roman"/>
                <w:sz w:val="32"/>
                <w:szCs w:val="32"/>
                <w:lang w:val="en-US" w:eastAsia="zh-CN"/>
              </w:rPr>
              <w:t>机关</w:t>
            </w:r>
          </w:p>
        </w:tc>
        <w:tc>
          <w:tcPr>
            <w:tcW w:w="1134" w:type="dxa"/>
            <w:vAlign w:val="center"/>
          </w:tcPr>
          <w:p>
            <w:pPr>
              <w:spacing w:line="300" w:lineRule="exact"/>
              <w:jc w:val="left"/>
              <w:rPr>
                <w:rFonts w:ascii="仿宋" w:hAnsi="仿宋" w:eastAsia="仿宋" w:cs="Times New Roman"/>
                <w:sz w:val="32"/>
                <w:szCs w:val="32"/>
              </w:rPr>
            </w:pPr>
            <w:r>
              <w:rPr>
                <w:rFonts w:hint="eastAsia" w:ascii="仿宋" w:hAnsi="仿宋" w:eastAsia="仿宋" w:cs="Times New Roman"/>
                <w:sz w:val="32"/>
                <w:szCs w:val="32"/>
              </w:rPr>
              <w:t>行政</w:t>
            </w:r>
          </w:p>
        </w:tc>
        <w:tc>
          <w:tcPr>
            <w:tcW w:w="1276" w:type="dxa"/>
            <w:vAlign w:val="center"/>
          </w:tcPr>
          <w:p>
            <w:pPr>
              <w:spacing w:line="300" w:lineRule="exact"/>
              <w:jc w:val="left"/>
              <w:rPr>
                <w:rFonts w:ascii="仿宋" w:hAnsi="仿宋" w:eastAsia="仿宋" w:cs="Times New Roman"/>
                <w:sz w:val="32"/>
                <w:szCs w:val="32"/>
              </w:rPr>
            </w:pPr>
            <w:r>
              <w:rPr>
                <w:rFonts w:hint="eastAsia" w:ascii="仿宋" w:hAnsi="仿宋" w:eastAsia="仿宋" w:cs="Times New Roman"/>
                <w:sz w:val="32"/>
                <w:szCs w:val="32"/>
              </w:rPr>
              <w:t>正科</w:t>
            </w:r>
            <w:r>
              <w:rPr>
                <w:rFonts w:hint="eastAsia" w:ascii="仿宋" w:hAnsi="仿宋" w:eastAsia="仿宋" w:cs="Times New Roman"/>
                <w:sz w:val="32"/>
                <w:szCs w:val="32"/>
                <w:lang w:eastAsia="zh-CN"/>
              </w:rPr>
              <w:t>级</w:t>
            </w:r>
          </w:p>
        </w:tc>
        <w:tc>
          <w:tcPr>
            <w:tcW w:w="2902" w:type="dxa"/>
            <w:vAlign w:val="center"/>
          </w:tcPr>
          <w:p>
            <w:pPr>
              <w:spacing w:line="300" w:lineRule="exact"/>
              <w:jc w:val="left"/>
              <w:rPr>
                <w:rFonts w:ascii="Times New Roman" w:hAnsi="Times New Roman" w:eastAsia="方正书宋_GBK" w:cs="Times New Roman"/>
              </w:rPr>
            </w:pPr>
            <w:r>
              <w:rPr>
                <w:rFonts w:hint="eastAsia" w:ascii="仿宋" w:hAnsi="仿宋" w:eastAsia="仿宋" w:cs="仿宋"/>
                <w:sz w:val="32"/>
                <w:szCs w:val="32"/>
              </w:rPr>
              <w:t>财政拨款</w:t>
            </w:r>
          </w:p>
        </w:tc>
      </w:tr>
    </w:tbl>
    <w:p>
      <w:pPr>
        <w:widowControl/>
        <w:spacing w:line="360" w:lineRule="auto"/>
        <w:jc w:val="left"/>
        <w:rPr>
          <w:rFonts w:ascii="仿宋" w:hAnsi="仿宋" w:eastAsia="仿宋" w:cs="仿宋"/>
          <w:bCs/>
          <w:kern w:val="0"/>
          <w:sz w:val="32"/>
          <w:szCs w:val="32"/>
        </w:rPr>
      </w:pPr>
    </w:p>
    <w:p>
      <w:pPr>
        <w:spacing w:line="560" w:lineRule="exact"/>
        <w:ind w:firstLine="643" w:firstLineChars="200"/>
        <w:rPr>
          <w:rFonts w:hint="eastAsia" w:ascii="仿宋" w:hAnsi="仿宋" w:eastAsia="仿宋" w:cs="楷体"/>
          <w:b/>
          <w:kern w:val="0"/>
          <w:sz w:val="32"/>
          <w:szCs w:val="32"/>
        </w:rPr>
      </w:pP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rPr>
        <w:t>柏寺营乡</w:t>
      </w:r>
      <w:r>
        <w:rPr>
          <w:rFonts w:hint="eastAsia" w:ascii="仿宋_GB2312" w:hAnsi="仿宋_GB2312" w:eastAsia="仿宋_GB2312" w:cs="仿宋_GB2312"/>
          <w:kern w:val="0"/>
          <w:sz w:val="32"/>
          <w:szCs w:val="32"/>
        </w:rPr>
        <w:t>政府机关</w:t>
      </w:r>
      <w:r>
        <w:rPr>
          <w:rFonts w:hint="eastAsia" w:ascii="仿宋_GB2312" w:hAnsi="仿宋_GB2312" w:eastAsia="仿宋_GB2312" w:cs="仿宋_GB2312"/>
          <w:sz w:val="32"/>
          <w:szCs w:val="32"/>
          <w:lang w:val="en-US" w:eastAsia="zh-CN"/>
        </w:rPr>
        <w:t>设</w:t>
      </w:r>
      <w:r>
        <w:rPr>
          <w:rFonts w:hint="eastAsia" w:ascii="仿宋_GB2312" w:hAnsi="仿宋_GB2312" w:eastAsia="仿宋_GB2312" w:cs="仿宋_GB2312"/>
          <w:sz w:val="32"/>
          <w:szCs w:val="32"/>
          <w:lang w:eastAsia="zh-CN"/>
        </w:rPr>
        <w:t>党政机构和事业单位</w:t>
      </w:r>
      <w:r>
        <w:rPr>
          <w:rFonts w:hint="eastAsia" w:ascii="仿宋_GB2312" w:hAnsi="仿宋_GB2312" w:eastAsia="仿宋_GB2312" w:cs="仿宋_GB2312"/>
          <w:sz w:val="32"/>
          <w:szCs w:val="32"/>
          <w:lang w:val="en-US" w:eastAsia="zh-CN"/>
        </w:rPr>
        <w:t>8个，</w:t>
      </w:r>
      <w:r>
        <w:rPr>
          <w:rFonts w:hint="eastAsia" w:ascii="仿宋_GB2312" w:hAnsi="仿宋_GB2312" w:eastAsia="仿宋_GB2312" w:cs="仿宋_GB2312"/>
          <w:bCs/>
          <w:color w:val="000000" w:themeColor="text1"/>
          <w:kern w:val="0"/>
          <w:sz w:val="32"/>
          <w:szCs w:val="32"/>
        </w:rPr>
        <w:t>预算编码是807002</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（一）党政综合办公室（挂财政所牌子），核定</w:t>
      </w:r>
      <w:r>
        <w:rPr>
          <w:rFonts w:hint="eastAsia" w:ascii="仿宋_GB2312" w:hAnsi="仿宋_GB2312" w:eastAsia="仿宋_GB2312" w:cs="仿宋_GB2312"/>
          <w:b w:val="0"/>
          <w:bCs w:val="0"/>
          <w:sz w:val="32"/>
          <w:szCs w:val="32"/>
          <w:lang w:eastAsia="zh-CN"/>
        </w:rPr>
        <w:t>行政</w:t>
      </w:r>
      <w:r>
        <w:rPr>
          <w:rFonts w:hint="eastAsia" w:ascii="仿宋_GB2312" w:hAnsi="仿宋_GB2312" w:eastAsia="仿宋_GB2312" w:cs="仿宋_GB2312"/>
          <w:b w:val="0"/>
          <w:bCs w:val="0"/>
          <w:sz w:val="32"/>
          <w:szCs w:val="32"/>
        </w:rPr>
        <w:t>编制</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名，</w:t>
      </w:r>
      <w:r>
        <w:rPr>
          <w:rFonts w:hint="eastAsia" w:ascii="仿宋_GB2312" w:hAnsi="仿宋_GB2312" w:eastAsia="仿宋_GB2312" w:cs="仿宋_GB2312"/>
          <w:b w:val="0"/>
          <w:bCs w:val="0"/>
          <w:sz w:val="32"/>
          <w:szCs w:val="32"/>
          <w:lang w:eastAsia="zh-CN"/>
        </w:rPr>
        <w:t>设主任</w:t>
      </w:r>
      <w:r>
        <w:rPr>
          <w:rFonts w:hint="eastAsia" w:ascii="仿宋_GB2312" w:hAnsi="仿宋_GB2312" w:eastAsia="仿宋_GB2312" w:cs="仿宋_GB2312"/>
          <w:b w:val="0"/>
          <w:bCs w:val="0"/>
          <w:sz w:val="32"/>
          <w:szCs w:val="32"/>
          <w:lang w:val="en-US" w:eastAsia="zh-CN"/>
        </w:rPr>
        <w:t>1名，副主任1名。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主要职责：负责本乡党政综合协调、公文运转、保密机要、人事管理、信访稳定、后勤保障等工作；</w:t>
      </w:r>
      <w:r>
        <w:rPr>
          <w:rFonts w:hint="eastAsia" w:ascii="仿宋_GB2312" w:hAnsi="仿宋_GB2312" w:eastAsia="仿宋_GB2312" w:cs="仿宋_GB2312"/>
          <w:b w:val="0"/>
          <w:bCs w:val="0"/>
          <w:sz w:val="32"/>
          <w:szCs w:val="32"/>
        </w:rPr>
        <w:t>按权限负责基层社区社会组织的分类指导和业务指导</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负责监督检查和指导所属单位和行政村的档案工作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按权限负责社区工作者的日常管理工作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负责本行政区域内村务公开工作的指导、监督</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负责本行政区域内村民委员会成员的任期和离任经济责任审计工作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负责辖区内农村集体资产管理的指导和监督，按分工和权限负责村集体财务管理工作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加强党对农村经济建设的领导，巩固和加强农业基础地位，保障重要农产品有效供给和促进农民持续增收</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根据国家计划，决定本行政区域内经济、文化事业和公共事业建设计划；审查和批准本行政区域内的财政预算和预算执行情况的报告</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做好信访工作，畅通信访渠道，处理来信、接待来访</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按权限落实好农村重点改革任务</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负责辖区内的统计工作。履行统计职责，广泛引导、动员和组织社会力量积极参与并认真配合做好国家规定的周期性普查工作。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（二）党建工作办公室（</w:t>
      </w:r>
      <w:r>
        <w:rPr>
          <w:rFonts w:hint="eastAsia" w:ascii="仿宋_GB2312" w:hAnsi="仿宋_GB2312" w:eastAsia="仿宋_GB2312" w:cs="仿宋_GB2312"/>
          <w:b w:val="0"/>
          <w:bCs w:val="0"/>
          <w:sz w:val="32"/>
          <w:szCs w:val="32"/>
        </w:rPr>
        <w:t>挂人大主席团办公室牌子</w:t>
      </w:r>
      <w:r>
        <w:rPr>
          <w:rFonts w:hint="eastAsia" w:ascii="仿宋_GB2312" w:hAnsi="仿宋_GB2312" w:eastAsia="仿宋_GB2312" w:cs="仿宋_GB2312"/>
          <w:b w:val="0"/>
          <w:bCs w:val="0"/>
          <w:sz w:val="32"/>
          <w:szCs w:val="32"/>
          <w:lang w:eastAsia="zh-CN"/>
        </w:rPr>
        <w:t>），核定行政编制</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lang w:eastAsia="zh-CN"/>
        </w:rPr>
        <w:t>名，设主任</w:t>
      </w:r>
      <w:r>
        <w:rPr>
          <w:rFonts w:hint="eastAsia" w:ascii="仿宋_GB2312" w:hAnsi="仿宋_GB2312" w:eastAsia="仿宋_GB2312" w:cs="仿宋_GB2312"/>
          <w:b w:val="0"/>
          <w:bCs w:val="0"/>
          <w:sz w:val="32"/>
          <w:szCs w:val="32"/>
          <w:lang w:val="en-US" w:eastAsia="zh-CN"/>
        </w:rPr>
        <w:t>1名，副主任2名。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主要职责：</w:t>
      </w:r>
      <w:r>
        <w:rPr>
          <w:rFonts w:hint="eastAsia" w:ascii="仿宋_GB2312" w:hAnsi="仿宋_GB2312" w:eastAsia="仿宋_GB2312" w:cs="仿宋_GB2312"/>
          <w:b w:val="0"/>
          <w:bCs w:val="0"/>
          <w:sz w:val="32"/>
          <w:szCs w:val="32"/>
        </w:rPr>
        <w:t>宣传执行党的路线、方针、政策，宣传和执行党中央、上级党组织和本级党组织的决议</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维护和执行党的纪律，监督党员干部和其他任何工作人员严格遵守国家法律法规</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w:t>
      </w:r>
      <w:r>
        <w:rPr>
          <w:rFonts w:hint="eastAsia" w:ascii="仿宋_GB2312" w:hAnsi="仿宋_GB2312" w:eastAsia="仿宋_GB2312" w:cs="仿宋_GB2312"/>
          <w:b w:val="0"/>
          <w:bCs w:val="0"/>
          <w:sz w:val="32"/>
          <w:szCs w:val="32"/>
          <w:lang w:val="en-US" w:eastAsia="zh-CN"/>
        </w:rPr>
        <w:t>本</w:t>
      </w:r>
      <w:r>
        <w:rPr>
          <w:rFonts w:hint="eastAsia" w:ascii="仿宋_GB2312" w:hAnsi="仿宋_GB2312" w:eastAsia="仿宋_GB2312" w:cs="仿宋_GB2312"/>
          <w:b w:val="0"/>
          <w:bCs w:val="0"/>
          <w:sz w:val="32"/>
          <w:szCs w:val="32"/>
          <w:lang w:eastAsia="zh-CN"/>
        </w:rPr>
        <w:t>乡</w:t>
      </w:r>
      <w:r>
        <w:rPr>
          <w:rFonts w:hint="eastAsia" w:ascii="仿宋_GB2312" w:hAnsi="仿宋_GB2312" w:eastAsia="仿宋_GB2312" w:cs="仿宋_GB2312"/>
          <w:b w:val="0"/>
          <w:bCs w:val="0"/>
          <w:sz w:val="32"/>
          <w:szCs w:val="32"/>
        </w:rPr>
        <w:t>党委自身建设和基层党组织建设，以及其他隶属</w:t>
      </w:r>
      <w:r>
        <w:rPr>
          <w:rFonts w:hint="eastAsia" w:ascii="仿宋_GB2312" w:hAnsi="仿宋_GB2312" w:eastAsia="仿宋_GB2312" w:cs="仿宋_GB2312"/>
          <w:b w:val="0"/>
          <w:bCs w:val="0"/>
          <w:sz w:val="32"/>
          <w:szCs w:val="32"/>
          <w:lang w:val="en-US" w:eastAsia="zh-CN"/>
        </w:rPr>
        <w:t>本</w:t>
      </w:r>
      <w:r>
        <w:rPr>
          <w:rFonts w:hint="eastAsia" w:ascii="仿宋_GB2312" w:hAnsi="仿宋_GB2312" w:eastAsia="仿宋_GB2312" w:cs="仿宋_GB2312"/>
          <w:b w:val="0"/>
          <w:bCs w:val="0"/>
          <w:sz w:val="32"/>
          <w:szCs w:val="32"/>
          <w:lang w:eastAsia="zh-CN"/>
        </w:rPr>
        <w:t>乡</w:t>
      </w:r>
      <w:r>
        <w:rPr>
          <w:rFonts w:hint="eastAsia" w:ascii="仿宋_GB2312" w:hAnsi="仿宋_GB2312" w:eastAsia="仿宋_GB2312" w:cs="仿宋_GB2312"/>
          <w:b w:val="0"/>
          <w:bCs w:val="0"/>
          <w:sz w:val="32"/>
          <w:szCs w:val="32"/>
        </w:rPr>
        <w:t>党委的党组织建设</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负责下级党的基层组织选举工作，对下级党组织的成立或撤销作出决定</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负责非公有制企业和社会组织党建工作，扩大新兴领域党建有效覆盖</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加强党员队伍建设，对党员进行教育、管理、监督和服务，做好经常性的发展党员工作，加强流动党员管理</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做好人才服务工作，发现、培养、推荐党员和群众中的优秀人才</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落实意识形态工作责任制，组织党员群众学习习近平新时代中国特色社会主义思想，培育和践行社会主义核心价值观，加强精神文明建设和文化建设</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落实统一战线工作任务要求，做好民族事务工作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根据委托授权负责本辖区内的宗教事务管理工作。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领导辖区内工会、共青团、妇联等工作；</w:t>
      </w:r>
      <w:r>
        <w:rPr>
          <w:rFonts w:hint="eastAsia" w:ascii="仿宋_GB2312" w:hAnsi="仿宋_GB2312" w:eastAsia="仿宋_GB2312" w:cs="仿宋_GB2312"/>
          <w:b w:val="0"/>
          <w:bCs w:val="0"/>
          <w:sz w:val="32"/>
          <w:szCs w:val="32"/>
        </w:rPr>
        <w:t>按权限负责村民委员会的设立、撤销、范围调整等工作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负责指导居民委员会的换届选举工作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指导村（居）民委员会建立健全各项自治制度，并予以备案</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领导辖区内人大工作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选举本</w:t>
      </w:r>
      <w:r>
        <w:rPr>
          <w:rFonts w:hint="eastAsia" w:ascii="仿宋_GB2312" w:hAnsi="仿宋_GB2312" w:eastAsia="仿宋_GB2312" w:cs="仿宋_GB2312"/>
          <w:b w:val="0"/>
          <w:bCs w:val="0"/>
          <w:sz w:val="32"/>
          <w:szCs w:val="32"/>
          <w:lang w:val="en-US" w:eastAsia="zh-CN"/>
        </w:rPr>
        <w:t>乡</w:t>
      </w:r>
      <w:r>
        <w:rPr>
          <w:rFonts w:hint="eastAsia" w:ascii="仿宋_GB2312" w:hAnsi="仿宋_GB2312" w:eastAsia="仿宋_GB2312" w:cs="仿宋_GB2312"/>
          <w:b w:val="0"/>
          <w:bCs w:val="0"/>
          <w:sz w:val="32"/>
          <w:szCs w:val="32"/>
        </w:rPr>
        <w:t>人民代表大会主席、副主席，</w:t>
      </w:r>
      <w:r>
        <w:rPr>
          <w:rFonts w:hint="eastAsia" w:ascii="仿宋_GB2312" w:hAnsi="仿宋_GB2312" w:eastAsia="仿宋_GB2312" w:cs="仿宋_GB2312"/>
          <w:b w:val="0"/>
          <w:bCs w:val="0"/>
          <w:sz w:val="32"/>
          <w:szCs w:val="32"/>
          <w:lang w:eastAsia="zh-CN"/>
        </w:rPr>
        <w:t>乡</w:t>
      </w:r>
      <w:r>
        <w:rPr>
          <w:rFonts w:hint="eastAsia" w:ascii="仿宋_GB2312" w:hAnsi="仿宋_GB2312" w:eastAsia="仿宋_GB2312" w:cs="仿宋_GB2312"/>
          <w:b w:val="0"/>
          <w:bCs w:val="0"/>
          <w:sz w:val="32"/>
          <w:szCs w:val="32"/>
        </w:rPr>
        <w:t>长、副</w:t>
      </w:r>
      <w:r>
        <w:rPr>
          <w:rFonts w:hint="eastAsia" w:ascii="仿宋_GB2312" w:hAnsi="仿宋_GB2312" w:eastAsia="仿宋_GB2312" w:cs="仿宋_GB2312"/>
          <w:b w:val="0"/>
          <w:bCs w:val="0"/>
          <w:sz w:val="32"/>
          <w:szCs w:val="32"/>
          <w:lang w:eastAsia="zh-CN"/>
        </w:rPr>
        <w:t>乡</w:t>
      </w:r>
      <w:r>
        <w:rPr>
          <w:rFonts w:hint="eastAsia" w:ascii="仿宋_GB2312" w:hAnsi="仿宋_GB2312" w:eastAsia="仿宋_GB2312" w:cs="仿宋_GB2312"/>
          <w:b w:val="0"/>
          <w:bCs w:val="0"/>
          <w:sz w:val="32"/>
          <w:szCs w:val="32"/>
        </w:rPr>
        <w:t>长；听取和审查</w:t>
      </w:r>
      <w:r>
        <w:rPr>
          <w:rFonts w:hint="eastAsia" w:ascii="仿宋_GB2312" w:hAnsi="仿宋_GB2312" w:eastAsia="仿宋_GB2312" w:cs="仿宋_GB2312"/>
          <w:b w:val="0"/>
          <w:bCs w:val="0"/>
          <w:sz w:val="32"/>
          <w:szCs w:val="32"/>
          <w:lang w:val="en-US" w:eastAsia="zh-CN"/>
        </w:rPr>
        <w:t>本</w:t>
      </w:r>
      <w:r>
        <w:rPr>
          <w:rFonts w:hint="eastAsia" w:ascii="仿宋_GB2312" w:hAnsi="仿宋_GB2312" w:eastAsia="仿宋_GB2312" w:cs="仿宋_GB2312"/>
          <w:b w:val="0"/>
          <w:bCs w:val="0"/>
          <w:sz w:val="32"/>
          <w:szCs w:val="32"/>
          <w:lang w:eastAsia="zh-CN"/>
        </w:rPr>
        <w:t>乡</w:t>
      </w:r>
      <w:r>
        <w:rPr>
          <w:rFonts w:hint="eastAsia" w:ascii="仿宋_GB2312" w:hAnsi="仿宋_GB2312" w:eastAsia="仿宋_GB2312" w:cs="仿宋_GB2312"/>
          <w:b w:val="0"/>
          <w:bCs w:val="0"/>
          <w:sz w:val="32"/>
          <w:szCs w:val="32"/>
        </w:rPr>
        <w:t>人民政府工作报告</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办理常务委员会交办的监督、选举以及其他工作，并向常务委员会报告工作。</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应急管理办公室，核定</w:t>
      </w:r>
      <w:r>
        <w:rPr>
          <w:rFonts w:hint="eastAsia" w:ascii="仿宋_GB2312" w:hAnsi="仿宋_GB2312" w:eastAsia="仿宋_GB2312" w:cs="仿宋_GB2312"/>
          <w:b w:val="0"/>
          <w:bCs w:val="0"/>
          <w:sz w:val="32"/>
          <w:szCs w:val="32"/>
          <w:lang w:eastAsia="zh-CN"/>
        </w:rPr>
        <w:t>行政</w:t>
      </w:r>
      <w:r>
        <w:rPr>
          <w:rFonts w:hint="eastAsia" w:ascii="仿宋_GB2312" w:hAnsi="仿宋_GB2312" w:eastAsia="仿宋_GB2312" w:cs="仿宋_GB2312"/>
          <w:b w:val="0"/>
          <w:bCs w:val="0"/>
          <w:sz w:val="32"/>
          <w:szCs w:val="32"/>
        </w:rPr>
        <w:t>编制</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名，</w:t>
      </w:r>
      <w:r>
        <w:rPr>
          <w:rFonts w:hint="eastAsia" w:ascii="仿宋_GB2312" w:hAnsi="仿宋_GB2312" w:eastAsia="仿宋_GB2312" w:cs="仿宋_GB2312"/>
          <w:b w:val="0"/>
          <w:bCs w:val="0"/>
          <w:sz w:val="32"/>
          <w:szCs w:val="32"/>
          <w:lang w:eastAsia="zh-CN"/>
        </w:rPr>
        <w:t>设主任</w:t>
      </w:r>
      <w:r>
        <w:rPr>
          <w:rFonts w:hint="eastAsia" w:ascii="仿宋_GB2312" w:hAnsi="仿宋_GB2312" w:eastAsia="仿宋_GB2312" w:cs="仿宋_GB2312"/>
          <w:b w:val="0"/>
          <w:bCs w:val="0"/>
          <w:sz w:val="32"/>
          <w:szCs w:val="32"/>
          <w:lang w:val="en-US" w:eastAsia="zh-CN"/>
        </w:rPr>
        <w:t>1名，副主任1名。</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主要职责：</w:t>
      </w:r>
      <w:r>
        <w:rPr>
          <w:rFonts w:hint="eastAsia" w:ascii="仿宋_GB2312" w:hAnsi="仿宋_GB2312" w:eastAsia="仿宋_GB2312" w:cs="仿宋_GB2312"/>
          <w:b w:val="0"/>
          <w:bCs w:val="0"/>
          <w:sz w:val="32"/>
          <w:szCs w:val="32"/>
        </w:rPr>
        <w:t>加强本辖区生产经营单位安全生产状况的监督检查，协助上级有关部门依法履行安全生产监督管理职责</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负责本辖区的消防工作，开展消防宣传、防火巡查、隐患查改</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指导村（居）民委员会开展群众性的消防工作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负责辖区防汛抗洪、抗旱等相关工作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负责辖区防灾减灾等相关工作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依法做好本辖区的突发事件应对工作，制定本级突发事件应急预案，组织开展应急演练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负责辖区应急管理工作，建立健全应急联动机制，严格落实应急管理责任，加强基层综合应急队伍建设和应急保障能力建设</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负责本辖区内自然灾害救助工作，做好自然灾害风险排查、隐患治理、救助准备、信息报告、先期处置、应急救助、灾后救助和救助款物管理等工作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履行辖区护林和森林草原防火职责，明确责任分工、开展宣传教育、组织防火巡查巡护、组建火灾扑救队伍、做好防灭火物资储备、制定火灾应急处置办法、组织开展应急演练、做好火灾预防扑救。</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自然资源和生态环境办公室，核定</w:t>
      </w:r>
      <w:r>
        <w:rPr>
          <w:rFonts w:hint="eastAsia" w:ascii="仿宋_GB2312" w:hAnsi="仿宋_GB2312" w:eastAsia="仿宋_GB2312" w:cs="仿宋_GB2312"/>
          <w:b w:val="0"/>
          <w:bCs w:val="0"/>
          <w:sz w:val="32"/>
          <w:szCs w:val="32"/>
          <w:lang w:eastAsia="zh-CN"/>
        </w:rPr>
        <w:t>行政</w:t>
      </w:r>
      <w:r>
        <w:rPr>
          <w:rFonts w:hint="eastAsia" w:ascii="仿宋_GB2312" w:hAnsi="仿宋_GB2312" w:eastAsia="仿宋_GB2312" w:cs="仿宋_GB2312"/>
          <w:b w:val="0"/>
          <w:bCs w:val="0"/>
          <w:sz w:val="32"/>
          <w:szCs w:val="32"/>
        </w:rPr>
        <w:t>编制</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名，</w:t>
      </w:r>
      <w:r>
        <w:rPr>
          <w:rFonts w:hint="eastAsia" w:ascii="仿宋_GB2312" w:hAnsi="仿宋_GB2312" w:eastAsia="仿宋_GB2312" w:cs="仿宋_GB2312"/>
          <w:b w:val="0"/>
          <w:bCs w:val="0"/>
          <w:sz w:val="32"/>
          <w:szCs w:val="32"/>
          <w:lang w:eastAsia="zh-CN"/>
        </w:rPr>
        <w:t>设主任</w:t>
      </w:r>
      <w:r>
        <w:rPr>
          <w:rFonts w:hint="eastAsia" w:ascii="仿宋_GB2312" w:hAnsi="仿宋_GB2312" w:eastAsia="仿宋_GB2312" w:cs="仿宋_GB2312"/>
          <w:b w:val="0"/>
          <w:bCs w:val="0"/>
          <w:sz w:val="32"/>
          <w:szCs w:val="32"/>
          <w:lang w:val="en-US" w:eastAsia="zh-CN"/>
        </w:rPr>
        <w:t>1名，副主任1名。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主要职责：</w:t>
      </w:r>
      <w:r>
        <w:rPr>
          <w:rFonts w:hint="eastAsia" w:ascii="仿宋_GB2312" w:hAnsi="仿宋_GB2312" w:eastAsia="仿宋_GB2312" w:cs="仿宋_GB2312"/>
          <w:b w:val="0"/>
          <w:bCs w:val="0"/>
          <w:sz w:val="32"/>
          <w:szCs w:val="32"/>
        </w:rPr>
        <w:t>负责辖区基本农田保护管理工作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动员和组织社会力量参与土地调查工作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负责本辖区乡道、村道建设管理工作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承担农村土地承包经营纠纷调解相关工作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负责本区域范围内的村</w:t>
      </w:r>
      <w:r>
        <w:rPr>
          <w:rFonts w:hint="eastAsia" w:ascii="仿宋_GB2312" w:hAnsi="仿宋_GB2312" w:eastAsia="仿宋_GB2312" w:cs="仿宋_GB2312"/>
          <w:b w:val="0"/>
          <w:bCs w:val="0"/>
          <w:sz w:val="32"/>
          <w:szCs w:val="32"/>
          <w:lang w:eastAsia="zh-CN"/>
        </w:rPr>
        <w:t>乡</w:t>
      </w:r>
      <w:r>
        <w:rPr>
          <w:rFonts w:hint="eastAsia" w:ascii="仿宋_GB2312" w:hAnsi="仿宋_GB2312" w:eastAsia="仿宋_GB2312" w:cs="仿宋_GB2312"/>
          <w:b w:val="0"/>
          <w:bCs w:val="0"/>
          <w:sz w:val="32"/>
          <w:szCs w:val="32"/>
        </w:rPr>
        <w:t>规划建设管理工作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负责辖区内农村土地承包管理工作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按照职责分工负责辖区市容、村容和环境卫生、农村生活污水管理责任</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按照职责分工依法履行土壤污染防治和安全利用职责</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按照职责分工负责本辖区河湖的水资源保护、水域岸线管理、水污染防治、水环境治理等工作，协助上级人民政府及其有关部门做好地下水相关管理和监督工作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根据本地区的实际，组织开展大气污染防治工作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落实属地监管责任，做好禁止露天焚烧秸秆工作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根据本地区的实际，组织开展扬尘污染防治工作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按照职责分工做好乡村环境保护和治理工作，配合做好联合巡查工作，及时查处影响乡村环境保护和治理的行为</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按照职责分工和相关预案开展突发环境事件应急处置工作，按照有关规定向上级报告</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负责辖区自然资源保护和监管工作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组织开展全民义务植树、古树名木保护和草原建设保护利用工作</w:t>
      </w:r>
      <w:r>
        <w:rPr>
          <w:rFonts w:hint="eastAsia" w:ascii="仿宋_GB2312" w:hAnsi="仿宋_GB2312" w:eastAsia="仿宋_GB2312" w:cs="仿宋_GB2312"/>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（五）综合行政执法队（</w:t>
      </w:r>
      <w:r>
        <w:rPr>
          <w:rFonts w:hint="eastAsia" w:ascii="仿宋_GB2312" w:hAnsi="仿宋_GB2312" w:eastAsia="仿宋_GB2312" w:cs="仿宋_GB2312"/>
          <w:b w:val="0"/>
          <w:bCs w:val="0"/>
          <w:sz w:val="32"/>
          <w:szCs w:val="32"/>
        </w:rPr>
        <w:t>挂综合指挥和信息化网络中心、社会治安综合治理中心牌子</w:t>
      </w:r>
      <w:r>
        <w:rPr>
          <w:rFonts w:hint="eastAsia" w:ascii="仿宋_GB2312" w:hAnsi="仿宋_GB2312" w:eastAsia="仿宋_GB2312" w:cs="仿宋_GB2312"/>
          <w:b w:val="0"/>
          <w:bCs w:val="0"/>
          <w:sz w:val="32"/>
          <w:szCs w:val="32"/>
          <w:lang w:eastAsia="zh-CN"/>
        </w:rPr>
        <w:t>），核定全额拨款事业</w:t>
      </w:r>
      <w:r>
        <w:rPr>
          <w:rFonts w:hint="eastAsia" w:ascii="仿宋_GB2312" w:hAnsi="仿宋_GB2312" w:eastAsia="仿宋_GB2312" w:cs="仿宋_GB2312"/>
          <w:b w:val="0"/>
          <w:bCs w:val="0"/>
          <w:sz w:val="32"/>
          <w:szCs w:val="32"/>
        </w:rPr>
        <w:t>编制</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名，</w:t>
      </w:r>
      <w:r>
        <w:rPr>
          <w:rFonts w:hint="eastAsia" w:ascii="仿宋_GB2312" w:hAnsi="仿宋_GB2312" w:eastAsia="仿宋_GB2312" w:cs="仿宋_GB2312"/>
          <w:b w:val="0"/>
          <w:bCs w:val="0"/>
          <w:sz w:val="32"/>
          <w:szCs w:val="32"/>
          <w:lang w:eastAsia="zh-CN"/>
        </w:rPr>
        <w:t>自收自支事业编制</w:t>
      </w:r>
      <w:r>
        <w:rPr>
          <w:rFonts w:hint="eastAsia" w:ascii="仿宋_GB2312" w:hAnsi="仿宋_GB2312" w:eastAsia="仿宋_GB2312" w:cs="仿宋_GB2312"/>
          <w:b w:val="0"/>
          <w:bCs w:val="0"/>
          <w:sz w:val="32"/>
          <w:szCs w:val="32"/>
          <w:lang w:val="en-US" w:eastAsia="zh-CN"/>
        </w:rPr>
        <w:t>4名，设队长1名，副队长2名。</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主要职责：</w:t>
      </w:r>
      <w:r>
        <w:rPr>
          <w:rFonts w:hint="eastAsia" w:ascii="仿宋_GB2312" w:hAnsi="仿宋_GB2312" w:eastAsia="仿宋_GB2312" w:cs="仿宋_GB2312"/>
          <w:b w:val="0"/>
          <w:bCs w:val="0"/>
          <w:sz w:val="32"/>
          <w:szCs w:val="32"/>
        </w:rPr>
        <w:t>根据法律法规和省政府授权，承担综合行政执法工作</w:t>
      </w:r>
      <w:r>
        <w:rPr>
          <w:rFonts w:hint="eastAsia" w:ascii="仿宋_GB2312" w:hAnsi="仿宋_GB2312" w:eastAsia="仿宋_GB2312" w:cs="仿宋_GB2312"/>
          <w:b w:val="0"/>
          <w:bCs w:val="0"/>
          <w:sz w:val="32"/>
          <w:szCs w:val="32"/>
          <w:lang w:eastAsia="zh-CN"/>
        </w:rPr>
        <w:t>；负责辖区内民族宗教事务的执法工作；</w:t>
      </w:r>
      <w:r>
        <w:rPr>
          <w:rFonts w:hint="eastAsia" w:ascii="仿宋_GB2312" w:hAnsi="仿宋_GB2312" w:eastAsia="仿宋_GB2312" w:cs="仿宋_GB2312"/>
          <w:b w:val="0"/>
          <w:bCs w:val="0"/>
          <w:sz w:val="32"/>
          <w:szCs w:val="32"/>
        </w:rPr>
        <w:t>负责辖区内的食品安全隐患排查、信息报告、协助执法和宣传教育等工作，做好本行政区域内小作坊、小餐饮、小摊点的监督管理工作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协助有关部门查处传销行为</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负责乡村道路交通安全监督管理工作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auto"/>
          <w:sz w:val="32"/>
          <w:szCs w:val="32"/>
        </w:rPr>
        <w:t>承担</w:t>
      </w:r>
      <w:r>
        <w:rPr>
          <w:rFonts w:hint="eastAsia" w:ascii="仿宋_GB2312" w:hAnsi="仿宋_GB2312" w:eastAsia="仿宋_GB2312" w:cs="仿宋_GB2312"/>
          <w:b w:val="0"/>
          <w:bCs w:val="0"/>
          <w:sz w:val="32"/>
          <w:szCs w:val="32"/>
        </w:rPr>
        <w:t>企业劳动争议调解相关工作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按照职责分工做好“散乱污”企业综合整治工作。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sz w:val="32"/>
          <w:szCs w:val="32"/>
        </w:rPr>
        <w:t>制定本辖区社会治安综合治理规划，检查、推动社会治安综合治理措施的落实，协调和督促有关部门开展法制宣传教育工作、调解各类纠纷</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auto"/>
          <w:sz w:val="32"/>
          <w:szCs w:val="32"/>
        </w:rPr>
        <w:t>组织群众开展各种形式的治安防范活动和军民、警民联防活动;指导、帮助村（居）民委员会做好社会治安综合治理工作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组织协调辖区社会治安防控体系建设及普法工作，开展基层平安创建活动及各种形式的治安防范活动。加强群防群治组织建设，动员、组织人民群众维护社会治安和社会秩序，做好防范邪教工作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承担民间纠纷调解相关工作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组织相关单位开展社区矫正工作和对户籍或居住地在本辖区的刑满释放人员做好接受建档和安置帮教工作，做好重点帮教对象的衔接工作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sz w:val="32"/>
          <w:szCs w:val="32"/>
        </w:rPr>
        <w:t>协调有关部门做好未成年人的保护工作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color w:val="auto"/>
          <w:sz w:val="32"/>
          <w:szCs w:val="32"/>
        </w:rPr>
        <w:t>负责社区戒毒、社区康复工作。</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（六）行政综合服务中心，核定全额拨款事业编制6名，设主任1名，副主任2名。</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主要职责：</w:t>
      </w:r>
      <w:r>
        <w:rPr>
          <w:rFonts w:hint="eastAsia" w:ascii="仿宋_GB2312" w:hAnsi="仿宋_GB2312" w:eastAsia="仿宋_GB2312" w:cs="仿宋_GB2312"/>
          <w:b w:val="0"/>
          <w:bCs w:val="0"/>
          <w:sz w:val="32"/>
          <w:szCs w:val="32"/>
        </w:rPr>
        <w:t>加大信用信息归集应用力度，落实守信联合激励和失信联合惩戒制度，推进信用分级分类监管</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根据法律法规和省政府授权、承担行政审批服务工作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开展就业政策宣传、就业援助等就业服务工作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按照职责分工负责做好辖区城乡居民基本养老保险工作。</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（七）农业综合服务中心（</w:t>
      </w:r>
      <w:r>
        <w:rPr>
          <w:rFonts w:hint="eastAsia" w:ascii="仿宋_GB2312" w:hAnsi="仿宋_GB2312" w:eastAsia="仿宋_GB2312" w:cs="仿宋_GB2312"/>
          <w:b w:val="0"/>
          <w:bCs w:val="0"/>
          <w:sz w:val="32"/>
          <w:szCs w:val="32"/>
        </w:rPr>
        <w:t>挂动物防疫站牌子</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核定全额拨款事业编制5名，设主任1名，副主任1名。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主要职责：</w:t>
      </w:r>
      <w:r>
        <w:rPr>
          <w:rFonts w:hint="eastAsia" w:ascii="仿宋_GB2312" w:hAnsi="仿宋_GB2312" w:eastAsia="仿宋_GB2312" w:cs="仿宋_GB2312"/>
          <w:b w:val="0"/>
          <w:bCs w:val="0"/>
          <w:sz w:val="32"/>
          <w:szCs w:val="32"/>
        </w:rPr>
        <w:t>按职责分工负责农产品质量安全监管工作，加强农产品质量安全知识的宣传，及时上报有关单位和个人报告的农产品质量安全事故</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依法组织群众协助做好本辖区的动物疫病预防与控制工作，组织饲养动物的单位和个人做好强制免疫工作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负责本辖区农村扶贫开发的具体实施工作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引导和扶持农业机械服务组织的发展，做好先进适用的农业机械推广和服务工作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负责组织当地农业生产经营组织和农业生产者对农业有害生物实施综合治理</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按照职责分工负责辖区农民负担监管工作，组织开展农民负担专项检查</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按照职责分工加强畜禽遗传资源保护，协助有关部门做好辖区畜禽养殖污染防治工作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加强辖区内的水土保持工作，开展水土流失综合治理，预防和减轻水土流失</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负责本行政区域内人居环境改善工作</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协助上级人民政府有关部门做好本行政区域内农村供水用水管理等相关工作。</w:t>
      </w:r>
    </w:p>
    <w:p>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退役军人服务站，核定全额拨款事业编制4名，设</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站长1名，副站长1名。</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ascii="仿宋" w:hAnsi="仿宋" w:eastAsia="仿宋" w:cs="仿宋"/>
          <w:bCs/>
          <w:kern w:val="0"/>
          <w:sz w:val="32"/>
          <w:szCs w:val="32"/>
        </w:rPr>
      </w:pPr>
      <w:r>
        <w:rPr>
          <w:rFonts w:hint="eastAsia" w:ascii="仿宋_GB2312" w:hAnsi="仿宋_GB2312" w:eastAsia="仿宋_GB2312" w:cs="仿宋_GB2312"/>
          <w:b w:val="0"/>
          <w:bCs w:val="0"/>
          <w:sz w:val="32"/>
          <w:szCs w:val="32"/>
          <w:lang w:val="en-US" w:eastAsia="zh-CN"/>
        </w:rPr>
        <w:t>主要职责：</w:t>
      </w:r>
      <w:r>
        <w:rPr>
          <w:rFonts w:hint="eastAsia" w:ascii="仿宋_GB2312" w:hAnsi="仿宋_GB2312" w:eastAsia="仿宋_GB2312" w:cs="仿宋_GB2312"/>
          <w:b w:val="0"/>
          <w:bCs w:val="0"/>
          <w:sz w:val="32"/>
          <w:szCs w:val="32"/>
        </w:rPr>
        <w:t>依照法定权限，做好本辖区的征兵、民兵、预备役、国防教育、国民经济动员、人民防空、国防交通、国防设施保护、拥军优属、退役军人服务等工作。</w:t>
      </w:r>
    </w:p>
    <w:p>
      <w:pPr>
        <w:widowControl/>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二、预算安排总体情况</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按照预算管理有关规定，目前我部门预算的编制实行综合预算制度，即全部收入和支出都反映在预算中。</w:t>
      </w:r>
    </w:p>
    <w:p>
      <w:pPr>
        <w:spacing w:line="560" w:lineRule="exact"/>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1、收入说明</w:t>
      </w:r>
    </w:p>
    <w:p>
      <w:pPr>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年预算收入</w:t>
      </w:r>
      <w:r>
        <w:rPr>
          <w:rFonts w:hint="eastAsia" w:ascii="仿宋_GB2312" w:hAnsi="仿宋_GB2312" w:eastAsia="仿宋_GB2312" w:cs="仿宋_GB2312"/>
          <w:kern w:val="0"/>
          <w:sz w:val="32"/>
          <w:szCs w:val="32"/>
          <w:lang w:val="en-US" w:eastAsia="zh-CN"/>
        </w:rPr>
        <w:t>576.3</w:t>
      </w:r>
      <w:r>
        <w:rPr>
          <w:rFonts w:hint="eastAsia" w:ascii="仿宋_GB2312" w:hAnsi="仿宋_GB2312" w:eastAsia="仿宋_GB2312" w:cs="仿宋_GB2312"/>
          <w:sz w:val="32"/>
          <w:szCs w:val="32"/>
        </w:rPr>
        <w:t>万元，其中：一般公共预算收入</w:t>
      </w:r>
      <w:r>
        <w:rPr>
          <w:rFonts w:hint="eastAsia" w:ascii="仿宋_GB2312" w:hAnsi="仿宋_GB2312" w:eastAsia="仿宋_GB2312" w:cs="仿宋_GB2312"/>
          <w:kern w:val="0"/>
          <w:sz w:val="32"/>
          <w:szCs w:val="32"/>
          <w:lang w:val="en-US" w:eastAsia="zh-CN"/>
        </w:rPr>
        <w:t>576.3</w:t>
      </w:r>
      <w:r>
        <w:rPr>
          <w:rFonts w:hint="eastAsia" w:ascii="仿宋_GB2312" w:hAnsi="仿宋_GB2312" w:eastAsia="仿宋_GB2312" w:cs="仿宋_GB2312"/>
          <w:sz w:val="32"/>
          <w:szCs w:val="32"/>
        </w:rPr>
        <w:t>万元，政府性基金收入0万元，国有资本经营收入0万元，事业收入0万元，其他收入0万元。</w:t>
      </w:r>
    </w:p>
    <w:p>
      <w:pPr>
        <w:spacing w:line="560" w:lineRule="exact"/>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2、支出说明</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年支出预算</w:t>
      </w:r>
      <w:r>
        <w:rPr>
          <w:rFonts w:hint="eastAsia" w:ascii="仿宋_GB2312" w:hAnsi="仿宋_GB2312" w:eastAsia="仿宋_GB2312" w:cs="仿宋_GB2312"/>
          <w:kern w:val="0"/>
          <w:sz w:val="32"/>
          <w:szCs w:val="32"/>
          <w:lang w:val="en-US" w:eastAsia="zh-CN"/>
        </w:rPr>
        <w:t>576.3</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kern w:val="0"/>
          <w:sz w:val="32"/>
          <w:szCs w:val="32"/>
          <w:lang w:val="en-US" w:eastAsia="zh-CN"/>
        </w:rPr>
        <w:t>319.07</w:t>
      </w:r>
      <w:r>
        <w:rPr>
          <w:rFonts w:hint="eastAsia" w:ascii="仿宋_GB2312" w:hAnsi="仿宋_GB2312" w:eastAsia="仿宋_GB2312" w:cs="仿宋_GB2312"/>
          <w:sz w:val="32"/>
          <w:szCs w:val="32"/>
        </w:rPr>
        <w:t>万元，包括人员经费和日常公用经费；项目支出</w:t>
      </w:r>
      <w:r>
        <w:rPr>
          <w:rFonts w:hint="eastAsia" w:ascii="仿宋_GB2312" w:hAnsi="仿宋_GB2312" w:eastAsia="仿宋_GB2312" w:cs="仿宋_GB2312"/>
          <w:sz w:val="32"/>
          <w:szCs w:val="32"/>
          <w:lang w:val="en-US" w:eastAsia="zh-CN"/>
        </w:rPr>
        <w:t>257.23</w:t>
      </w:r>
      <w:r>
        <w:rPr>
          <w:rFonts w:hint="eastAsia" w:ascii="仿宋_GB2312" w:hAnsi="仿宋_GB2312" w:eastAsia="仿宋_GB2312" w:cs="仿宋_GB2312"/>
          <w:sz w:val="32"/>
          <w:szCs w:val="32"/>
        </w:rPr>
        <w:t>元。</w:t>
      </w:r>
    </w:p>
    <w:p>
      <w:pPr>
        <w:spacing w:line="560" w:lineRule="exact"/>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3、比上年增减变化情况</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2021</w:t>
      </w:r>
      <w:r>
        <w:rPr>
          <w:rFonts w:hint="eastAsia" w:ascii="仿宋_GB2312" w:hAnsi="仿宋_GB2312" w:eastAsia="仿宋_GB2312" w:cs="仿宋_GB2312"/>
          <w:sz w:val="32"/>
          <w:szCs w:val="32"/>
        </w:rPr>
        <w:t>年预算收支安排</w:t>
      </w:r>
      <w:r>
        <w:rPr>
          <w:rFonts w:hint="eastAsia" w:ascii="仿宋_GB2312" w:hAnsi="仿宋_GB2312" w:eastAsia="仿宋_GB2312" w:cs="仿宋_GB2312"/>
          <w:kern w:val="0"/>
          <w:sz w:val="32"/>
          <w:szCs w:val="32"/>
          <w:lang w:val="en-US" w:eastAsia="zh-CN"/>
        </w:rPr>
        <w:t>576.3</w:t>
      </w:r>
      <w:r>
        <w:rPr>
          <w:rFonts w:hint="eastAsia" w:ascii="仿宋_GB2312" w:hAnsi="仿宋_GB2312" w:eastAsia="仿宋_GB2312" w:cs="仿宋_GB2312"/>
          <w:sz w:val="32"/>
          <w:szCs w:val="32"/>
        </w:rPr>
        <w:t>万元，较</w:t>
      </w:r>
      <w:r>
        <w:rPr>
          <w:rFonts w:hint="eastAsia" w:ascii="仿宋_GB2312" w:hAnsi="仿宋_GB2312" w:eastAsia="仿宋_GB2312" w:cs="仿宋_GB2312"/>
          <w:sz w:val="32"/>
          <w:szCs w:val="32"/>
          <w:lang w:eastAsia="zh-CN"/>
        </w:rPr>
        <w:t>2020</w:t>
      </w:r>
      <w:r>
        <w:rPr>
          <w:rFonts w:hint="eastAsia" w:ascii="仿宋_GB2312" w:hAnsi="仿宋_GB2312" w:eastAsia="仿宋_GB2312" w:cs="仿宋_GB2312"/>
          <w:sz w:val="32"/>
          <w:szCs w:val="32"/>
        </w:rPr>
        <w:t>年预算增加</w:t>
      </w:r>
      <w:r>
        <w:rPr>
          <w:rFonts w:hint="eastAsia" w:ascii="仿宋_GB2312" w:hAnsi="仿宋_GB2312" w:eastAsia="仿宋_GB2312" w:cs="仿宋_GB2312"/>
          <w:sz w:val="32"/>
          <w:szCs w:val="32"/>
          <w:lang w:val="en-US" w:eastAsia="zh-CN"/>
        </w:rPr>
        <w:t>188.24</w:t>
      </w:r>
      <w:r>
        <w:rPr>
          <w:rFonts w:hint="eastAsia" w:ascii="仿宋_GB2312" w:hAnsi="仿宋_GB2312" w:eastAsia="仿宋_GB2312" w:cs="仿宋_GB2312"/>
          <w:sz w:val="32"/>
          <w:szCs w:val="32"/>
        </w:rPr>
        <w:t>万元，其中基本支出增加</w:t>
      </w:r>
      <w:r>
        <w:rPr>
          <w:rFonts w:hint="eastAsia" w:ascii="仿宋_GB2312" w:hAnsi="仿宋_GB2312" w:eastAsia="仿宋_GB2312" w:cs="仿宋_GB2312"/>
          <w:sz w:val="32"/>
          <w:szCs w:val="32"/>
          <w:lang w:val="en-US" w:eastAsia="zh-CN"/>
        </w:rPr>
        <w:t>62.35</w:t>
      </w:r>
      <w:r>
        <w:rPr>
          <w:rFonts w:hint="eastAsia" w:ascii="仿宋_GB2312" w:hAnsi="仿宋_GB2312" w:eastAsia="仿宋_GB2312" w:cs="仿宋_GB2312"/>
          <w:sz w:val="32"/>
          <w:szCs w:val="32"/>
        </w:rPr>
        <w:t>万元，主要是正常工资调整；项目支出增加125.89万元，</w:t>
      </w:r>
      <w:r>
        <w:rPr>
          <w:rFonts w:hint="eastAsia" w:ascii="仿宋_GB2312" w:hAnsi="仿宋_GB2312" w:eastAsia="仿宋_GB2312" w:cs="仿宋_GB2312"/>
          <w:kern w:val="0"/>
          <w:sz w:val="32"/>
          <w:szCs w:val="32"/>
        </w:rPr>
        <w:t>主要是乡</w:t>
      </w:r>
      <w:r>
        <w:rPr>
          <w:rFonts w:hint="eastAsia" w:ascii="仿宋_GB2312" w:hAnsi="仿宋_GB2312" w:eastAsia="仿宋_GB2312" w:cs="仿宋_GB2312"/>
          <w:kern w:val="0"/>
          <w:sz w:val="32"/>
          <w:szCs w:val="32"/>
          <w:lang w:eastAsia="zh-CN"/>
        </w:rPr>
        <w:t>乡</w:t>
      </w:r>
      <w:r>
        <w:rPr>
          <w:rFonts w:hint="eastAsia" w:ascii="仿宋_GB2312" w:hAnsi="仿宋_GB2312" w:eastAsia="仿宋_GB2312" w:cs="仿宋_GB2312"/>
          <w:kern w:val="0"/>
          <w:sz w:val="32"/>
          <w:szCs w:val="32"/>
        </w:rPr>
        <w:t>和村级转移支付增加</w:t>
      </w:r>
      <w:r>
        <w:rPr>
          <w:rFonts w:hint="eastAsia" w:ascii="仿宋_GB2312" w:hAnsi="仿宋_GB2312" w:eastAsia="仿宋_GB2312" w:cs="仿宋_GB2312"/>
          <w:sz w:val="32"/>
          <w:szCs w:val="32"/>
        </w:rPr>
        <w:t>。</w:t>
      </w:r>
    </w:p>
    <w:p>
      <w:pPr>
        <w:widowControl/>
        <w:spacing w:line="360" w:lineRule="auto"/>
        <w:ind w:firstLine="627" w:firstLineChars="196"/>
        <w:jc w:val="left"/>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三、机关运行经费情况</w:t>
      </w:r>
    </w:p>
    <w:p>
      <w:pPr>
        <w:widowControl/>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日常公用经费安排25.7万元，包括：办公费、差旅费、水费、电费、邮电费，其他支出等。</w:t>
      </w:r>
    </w:p>
    <w:p>
      <w:pPr>
        <w:spacing w:line="560" w:lineRule="exact"/>
        <w:ind w:firstLine="640"/>
        <w:rPr>
          <w:rFonts w:hint="eastAsia"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四、“三公”经费预算情况</w:t>
      </w:r>
    </w:p>
    <w:p>
      <w:pPr>
        <w:spacing w:line="560" w:lineRule="exact"/>
        <w:ind w:firstLine="640"/>
        <w:rPr>
          <w:rFonts w:ascii="仿宋" w:hAnsi="仿宋" w:eastAsia="仿宋" w:cs="仿宋_GB2312"/>
          <w:kern w:val="0"/>
          <w:sz w:val="32"/>
          <w:szCs w:val="32"/>
          <w:highlight w:val="none"/>
        </w:rPr>
      </w:pPr>
      <w:r>
        <w:rPr>
          <w:rFonts w:hint="eastAsia" w:ascii="仿宋" w:hAnsi="仿宋" w:eastAsia="仿宋" w:cs="仿宋_GB2312"/>
          <w:kern w:val="0"/>
          <w:sz w:val="32"/>
          <w:szCs w:val="32"/>
        </w:rPr>
        <w:t>20</w:t>
      </w:r>
      <w:r>
        <w:rPr>
          <w:rFonts w:hint="eastAsia" w:ascii="仿宋" w:hAnsi="仿宋" w:eastAsia="仿宋" w:cs="仿宋_GB2312"/>
          <w:kern w:val="0"/>
          <w:sz w:val="32"/>
          <w:szCs w:val="32"/>
          <w:lang w:val="en-US" w:eastAsia="zh-CN"/>
        </w:rPr>
        <w:t>21</w:t>
      </w:r>
      <w:r>
        <w:rPr>
          <w:rFonts w:hint="eastAsia" w:ascii="仿宋" w:hAnsi="仿宋" w:eastAsia="仿宋" w:cs="仿宋_GB2312"/>
          <w:kern w:val="0"/>
          <w:sz w:val="32"/>
          <w:szCs w:val="32"/>
        </w:rPr>
        <w:t>年度“三公”预算支出1万元，其中，因公出国（境）费0元，</w:t>
      </w:r>
      <w:r>
        <w:rPr>
          <w:rFonts w:hint="eastAsia" w:ascii="仿宋" w:hAnsi="仿宋" w:eastAsia="仿宋" w:cs="仿宋_GB2312"/>
          <w:kern w:val="0"/>
          <w:sz w:val="32"/>
          <w:szCs w:val="32"/>
          <w:lang w:eastAsia="zh-CN"/>
        </w:rPr>
        <w:t>与</w:t>
      </w:r>
      <w:r>
        <w:rPr>
          <w:rFonts w:hint="eastAsia" w:ascii="仿宋" w:hAnsi="仿宋" w:eastAsia="仿宋" w:cs="仿宋_GB2312"/>
          <w:kern w:val="0"/>
          <w:sz w:val="32"/>
          <w:szCs w:val="32"/>
          <w:lang w:val="en-US" w:eastAsia="zh-CN"/>
        </w:rPr>
        <w:t>2020年相比持平，</w:t>
      </w:r>
      <w:r>
        <w:rPr>
          <w:rFonts w:hint="eastAsia" w:ascii="仿宋" w:hAnsi="仿宋" w:eastAsia="仿宋" w:cs="仿宋_GB2312"/>
          <w:kern w:val="0"/>
          <w:sz w:val="32"/>
          <w:szCs w:val="32"/>
        </w:rPr>
        <w:t>安排公务用车维护费1万元，（其中公务用车购置费0万元，公务用车运行维护费0万元），</w:t>
      </w:r>
      <w:r>
        <w:rPr>
          <w:rFonts w:hint="eastAsia" w:ascii="仿宋" w:hAnsi="仿宋" w:eastAsia="仿宋" w:cs="仿宋_GB2312"/>
          <w:kern w:val="0"/>
          <w:sz w:val="32"/>
          <w:szCs w:val="32"/>
          <w:highlight w:val="none"/>
          <w:lang w:eastAsia="zh-CN"/>
        </w:rPr>
        <w:t>比</w:t>
      </w:r>
      <w:r>
        <w:rPr>
          <w:rFonts w:hint="eastAsia" w:ascii="仿宋" w:hAnsi="仿宋" w:eastAsia="仿宋" w:cs="仿宋_GB2312"/>
          <w:kern w:val="0"/>
          <w:sz w:val="32"/>
          <w:szCs w:val="32"/>
          <w:highlight w:val="none"/>
          <w:lang w:val="en-US" w:eastAsia="zh-CN"/>
        </w:rPr>
        <w:t>2020年</w:t>
      </w:r>
      <w:r>
        <w:rPr>
          <w:rFonts w:hint="eastAsia" w:ascii="仿宋" w:hAnsi="仿宋" w:eastAsia="仿宋" w:cs="仿宋_GB2312"/>
          <w:kern w:val="0"/>
          <w:sz w:val="32"/>
          <w:szCs w:val="32"/>
          <w:highlight w:val="none"/>
        </w:rPr>
        <w:t>减少了0.3%。原因为树立过紧日子的思想，预算经费减少。公务接</w:t>
      </w:r>
      <w:r>
        <w:rPr>
          <w:rFonts w:hint="eastAsia" w:ascii="仿宋" w:hAnsi="仿宋" w:eastAsia="仿宋" w:cs="仿宋_GB2312"/>
          <w:kern w:val="0"/>
          <w:sz w:val="32"/>
          <w:szCs w:val="32"/>
          <w:highlight w:val="none"/>
          <w:lang w:eastAsia="zh-CN"/>
        </w:rPr>
        <w:t>待</w:t>
      </w:r>
      <w:r>
        <w:rPr>
          <w:rFonts w:hint="eastAsia" w:ascii="仿宋" w:hAnsi="仿宋" w:eastAsia="仿宋" w:cs="仿宋_GB2312"/>
          <w:kern w:val="0"/>
          <w:sz w:val="32"/>
          <w:szCs w:val="32"/>
          <w:highlight w:val="none"/>
        </w:rPr>
        <w:t>费0万元，</w:t>
      </w:r>
      <w:r>
        <w:rPr>
          <w:rFonts w:hint="eastAsia" w:ascii="仿宋" w:hAnsi="仿宋" w:eastAsia="仿宋" w:cs="仿宋_GB2312"/>
          <w:kern w:val="0"/>
          <w:sz w:val="32"/>
          <w:szCs w:val="32"/>
          <w:highlight w:val="none"/>
          <w:lang w:eastAsia="zh-CN"/>
        </w:rPr>
        <w:t>与</w:t>
      </w:r>
      <w:r>
        <w:rPr>
          <w:rFonts w:hint="eastAsia" w:ascii="仿宋" w:hAnsi="仿宋" w:eastAsia="仿宋" w:cs="仿宋_GB2312"/>
          <w:kern w:val="0"/>
          <w:sz w:val="32"/>
          <w:szCs w:val="32"/>
          <w:highlight w:val="none"/>
          <w:lang w:val="en-US" w:eastAsia="zh-CN"/>
        </w:rPr>
        <w:t>2020年持平。</w:t>
      </w:r>
    </w:p>
    <w:p>
      <w:pPr>
        <w:numPr>
          <w:ilvl w:val="0"/>
          <w:numId w:val="3"/>
        </w:num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绩效预算情况</w:t>
      </w:r>
    </w:p>
    <w:p>
      <w:pPr>
        <w:numPr>
          <w:ilvl w:val="0"/>
          <w:numId w:val="0"/>
        </w:numPr>
        <w:spacing w:line="560" w:lineRule="exact"/>
        <w:rPr>
          <w:rFonts w:hint="eastAsia" w:ascii="仿宋" w:hAnsi="仿宋" w:eastAsia="仿宋" w:cs="仿宋"/>
          <w:b/>
          <w:bCs/>
          <w:sz w:val="32"/>
          <w:szCs w:val="32"/>
        </w:rPr>
      </w:pPr>
      <w:r>
        <w:rPr>
          <w:rFonts w:hint="eastAsia"/>
          <w:b/>
          <w:bCs/>
          <w:sz w:val="32"/>
          <w:szCs w:val="32"/>
          <w:lang w:val="en-US" w:eastAsia="zh-CN"/>
        </w:rPr>
        <w:t xml:space="preserve">    </w:t>
      </w:r>
      <w:r>
        <w:rPr>
          <w:rFonts w:hint="eastAsia" w:ascii="仿宋" w:hAnsi="仿宋" w:eastAsia="仿宋" w:cs="仿宋"/>
          <w:b/>
          <w:bCs/>
          <w:sz w:val="32"/>
          <w:szCs w:val="32"/>
        </w:rPr>
        <w:t>总体绩效目标：</w:t>
      </w:r>
    </w:p>
    <w:p>
      <w:pPr>
        <w:numPr>
          <w:ilvl w:val="0"/>
          <w:numId w:val="0"/>
        </w:num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lang w:eastAsia="zh-CN"/>
        </w:rPr>
        <w:t>一）</w:t>
      </w:r>
      <w:r>
        <w:rPr>
          <w:rFonts w:hint="eastAsia" w:ascii="仿宋" w:hAnsi="仿宋" w:eastAsia="仿宋" w:cs="仿宋"/>
          <w:b/>
          <w:bCs/>
          <w:sz w:val="32"/>
          <w:szCs w:val="32"/>
        </w:rPr>
        <w:t>紧扣产业升级，有效推动经济持续健康发展。</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是</w:t>
      </w:r>
      <w:r>
        <w:rPr>
          <w:rFonts w:hint="eastAsia" w:ascii="仿宋" w:hAnsi="仿宋" w:eastAsia="仿宋" w:cs="仿宋"/>
          <w:sz w:val="32"/>
          <w:szCs w:val="32"/>
        </w:rPr>
        <w:t>大力发展优质产业。近年来我乡重点打造的岳固葡萄、团城黄冠梨、朝天椒等特色农业品牌，要致力于改变产业发展集中在种植业和农产品粗加工的现状，大力发展特色种养、有机种植等优势高效农业，持续推行“互联网+现代农业”发展模式，不断扩大特色农产品的品牌影响力。我乡已牵头与中国农大对接，对岳固葡萄进行品种改良、提升品质，以此为契机，探索发展壮大村级集体经济新路径，力争到202</w:t>
      </w:r>
      <w:r>
        <w:rPr>
          <w:rFonts w:hint="eastAsia" w:ascii="仿宋" w:hAnsi="仿宋" w:eastAsia="仿宋" w:cs="仿宋"/>
          <w:sz w:val="32"/>
          <w:szCs w:val="32"/>
          <w:lang w:val="en-US" w:eastAsia="zh-CN"/>
        </w:rPr>
        <w:t>1</w:t>
      </w:r>
      <w:r>
        <w:rPr>
          <w:rFonts w:hint="eastAsia" w:ascii="仿宋" w:hAnsi="仿宋" w:eastAsia="仿宋" w:cs="仿宋"/>
          <w:sz w:val="32"/>
          <w:szCs w:val="32"/>
        </w:rPr>
        <w:t>年末各个村年收益可达5万元以上，使村民获得感、幸福感、安全感进一步增强。</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是</w:t>
      </w:r>
      <w:r>
        <w:rPr>
          <w:rFonts w:hint="eastAsia" w:ascii="仿宋" w:hAnsi="仿宋" w:eastAsia="仿宋" w:cs="仿宋"/>
          <w:sz w:val="32"/>
          <w:szCs w:val="32"/>
        </w:rPr>
        <w:t>着力打造龙头企业。充分发挥农业产业化地域优势、政策优势，吸引更多的规模项目落户我乡，打造龙头企业，提升特色农业知名度。全力做好项目服务保障，继续实施周调度制度，严格落实全程跟踪服务，全面推行代办制、领办制，确保签约项目早投产、早见效。</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是</w:t>
      </w:r>
      <w:r>
        <w:rPr>
          <w:rFonts w:hint="eastAsia" w:ascii="仿宋" w:hAnsi="仿宋" w:eastAsia="仿宋" w:cs="仿宋"/>
          <w:sz w:val="32"/>
          <w:szCs w:val="32"/>
        </w:rPr>
        <w:t>形成特色发展格局。以红星养殖场为代表的蛋鸡、种猪等禽类养殖规模日益扩大，以邯郸市鑫马制衣有限公司、金喜丹食品厂、运龙箱包厂等为代表的加工业蓬勃发展，着力形成具有地域特色的经济发展格局。</w:t>
      </w:r>
    </w:p>
    <w:p>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w:t>
      </w:r>
      <w:r>
        <w:rPr>
          <w:rFonts w:hint="eastAsia" w:ascii="仿宋" w:hAnsi="仿宋" w:eastAsia="仿宋" w:cs="仿宋"/>
          <w:b/>
          <w:bCs/>
          <w:sz w:val="32"/>
          <w:szCs w:val="32"/>
        </w:rPr>
        <w:t>二</w:t>
      </w:r>
      <w:r>
        <w:rPr>
          <w:rFonts w:hint="eastAsia" w:ascii="仿宋" w:hAnsi="仿宋" w:eastAsia="仿宋" w:cs="仿宋"/>
          <w:b/>
          <w:bCs/>
          <w:sz w:val="32"/>
          <w:szCs w:val="32"/>
          <w:lang w:val="en-US" w:eastAsia="zh-CN"/>
        </w:rPr>
        <w:t>)</w:t>
      </w:r>
      <w:r>
        <w:rPr>
          <w:rFonts w:hint="eastAsia" w:ascii="仿宋" w:hAnsi="仿宋" w:eastAsia="仿宋" w:cs="仿宋"/>
          <w:b/>
          <w:bCs/>
          <w:sz w:val="32"/>
          <w:szCs w:val="32"/>
        </w:rPr>
        <w:t>紧扣三大攻坚，着力补齐全面建成小康社会短板。</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是</w:t>
      </w:r>
      <w:r>
        <w:rPr>
          <w:rFonts w:hint="eastAsia" w:ascii="仿宋" w:hAnsi="仿宋" w:eastAsia="仿宋" w:cs="仿宋"/>
          <w:sz w:val="32"/>
          <w:szCs w:val="32"/>
        </w:rPr>
        <w:t>聚焦聚力脱贫攻坚。紧盯202</w:t>
      </w:r>
      <w:r>
        <w:rPr>
          <w:rFonts w:hint="eastAsia" w:ascii="仿宋" w:hAnsi="仿宋" w:eastAsia="仿宋" w:cs="仿宋"/>
          <w:sz w:val="32"/>
          <w:szCs w:val="32"/>
          <w:lang w:val="en-US" w:eastAsia="zh-CN"/>
        </w:rPr>
        <w:t>1</w:t>
      </w:r>
      <w:r>
        <w:rPr>
          <w:rFonts w:hint="eastAsia" w:ascii="仿宋" w:hAnsi="仿宋" w:eastAsia="仿宋" w:cs="仿宋"/>
          <w:sz w:val="32"/>
          <w:szCs w:val="32"/>
        </w:rPr>
        <w:t>年度脱贫任务，坚持现行标准实现稳定脱贫的总体目标，围绕“两不愁、三保障、一安全”认真开展摸排，严格落实“四个不摘”要求，在预防返贫和新的致贫上下功夫，着力提高脱贫质量，切实做到“三精准、三保障、三落实”，确保2020年在现行标准下建档立卡贫困人口实现稳定脱贫，为我乡脱贫攻坚战取得全面胜利奠定坚实基础。</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是</w:t>
      </w:r>
      <w:r>
        <w:rPr>
          <w:rFonts w:hint="eastAsia" w:ascii="仿宋" w:hAnsi="仿宋" w:eastAsia="仿宋" w:cs="仿宋"/>
          <w:sz w:val="32"/>
          <w:szCs w:val="32"/>
        </w:rPr>
        <w:t>打好打赢污染防治。按照美丽乡村建设标准，开展农村非正规垃圾堆放点整治，完成年度人居环境整治任务；严格落实“河长制”，切实加强水环境治理，进一步完善乡污水管网收集和污水处理；全面实行网格化管理，全面禁止焚烧秸秆，实施烟花爆竹全域禁放，确保PM2.5均值、空气优良率完成年度目标，PM10均值持续下降，不断强化过程管控，健全环境监管网格体系，牢固树立生态优先绿色发展理念，努力打造山清水秀、天蓝地绿。</w:t>
      </w:r>
      <w:r>
        <w:rPr>
          <w:rFonts w:hint="eastAsia" w:ascii="仿宋" w:hAnsi="仿宋" w:eastAsia="仿宋" w:cs="仿宋"/>
          <w:sz w:val="32"/>
          <w:szCs w:val="32"/>
          <w:lang w:val="en-US" w:eastAsia="zh-CN"/>
        </w:rPr>
        <w:t xml:space="preserve">    </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是</w:t>
      </w:r>
      <w:r>
        <w:rPr>
          <w:rFonts w:hint="eastAsia" w:ascii="仿宋" w:hAnsi="仿宋" w:eastAsia="仿宋" w:cs="仿宋"/>
          <w:sz w:val="32"/>
          <w:szCs w:val="32"/>
        </w:rPr>
        <w:t>谋好谋实重大风险防控。对照强延峰书记对信访工作提出的“十点要求”，深刻认识信访稳定的本质，深入推进零式工作法，切实有效解决信访问题，不断巩固信访稳定成果；加强社会治安综合治理，纵深推进</w:t>
      </w:r>
      <w:r>
        <w:rPr>
          <w:rFonts w:hint="eastAsia" w:ascii="仿宋" w:hAnsi="仿宋" w:eastAsia="仿宋" w:cs="仿宋"/>
          <w:sz w:val="32"/>
          <w:szCs w:val="32"/>
          <w:lang w:eastAsia="zh-CN"/>
        </w:rPr>
        <w:t>扫黑除恶专项斗争</w:t>
      </w:r>
      <w:r>
        <w:rPr>
          <w:rFonts w:hint="eastAsia" w:ascii="仿宋" w:hAnsi="仿宋" w:eastAsia="仿宋" w:cs="仿宋"/>
          <w:sz w:val="32"/>
          <w:szCs w:val="32"/>
        </w:rPr>
        <w:t>，做好整改，抓好工作落实，严厉打击各类违法犯罪活动，提高人民群众安全感和满意度；进一步落实保安全、护稳定各项措施，下大气力解决好人民群众切身利益问题，全面做好社会保障、食品安全、安全生产、社会治安等各方面工作，不断增加人民群众的获得感、幸福感、安全感。</w:t>
      </w:r>
    </w:p>
    <w:p>
      <w:pPr>
        <w:ind w:firstLine="321" w:firstLineChars="100"/>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rPr>
        <w:t>三</w:t>
      </w:r>
      <w:r>
        <w:rPr>
          <w:rFonts w:hint="eastAsia" w:ascii="仿宋" w:hAnsi="仿宋" w:eastAsia="仿宋" w:cs="仿宋"/>
          <w:b/>
          <w:bCs/>
          <w:sz w:val="32"/>
          <w:szCs w:val="32"/>
          <w:lang w:eastAsia="zh-CN"/>
        </w:rPr>
        <w:t>）</w:t>
      </w:r>
      <w:r>
        <w:rPr>
          <w:rFonts w:hint="eastAsia" w:ascii="仿宋" w:hAnsi="仿宋" w:eastAsia="仿宋" w:cs="仿宋"/>
          <w:b/>
          <w:bCs/>
          <w:sz w:val="32"/>
          <w:szCs w:val="32"/>
        </w:rPr>
        <w:t>紧扣乡村振兴，保障发展社会民生事业。</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是</w:t>
      </w:r>
      <w:r>
        <w:rPr>
          <w:rFonts w:hint="eastAsia" w:ascii="仿宋" w:hAnsi="仿宋" w:eastAsia="仿宋" w:cs="仿宋"/>
          <w:sz w:val="32"/>
          <w:szCs w:val="32"/>
        </w:rPr>
        <w:t>丰富强化民生关怀。完善公共文化服务体系建设，继续推进两项文化民生工程。加大各类优抚对象走访慰问力度，定期开展对敬老院、困难群众的走访和关怀，帮助困难群众解决实际问题，推进农村留守儿童关爱保护工作，开展助老、助残、医疗、环保等志愿服务活动。继续做好妇联关爱活动，依法维护妇女儿童合法权益。</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是</w:t>
      </w:r>
      <w:r>
        <w:rPr>
          <w:rFonts w:hint="eastAsia" w:ascii="仿宋" w:hAnsi="仿宋" w:eastAsia="仿宋" w:cs="仿宋"/>
          <w:sz w:val="32"/>
          <w:szCs w:val="32"/>
        </w:rPr>
        <w:t>严格落实惠民政策。继续加大财政对民生的投入力度，加快便民服务中心建设，集中力量做好普惠性、基础性、兜底性民生建设。深入推进全民参保计划，稳步提高社会保障水平，夯实社会保障基本全覆盖成果。加强对特困人员、残疾人、优抚对象等群体的兜底保障，继续完善残疾人之家和残疾人工作站设施配备及服务群众工作。</w:t>
      </w:r>
    </w:p>
    <w:p>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rPr>
        <w:t>四</w:t>
      </w:r>
      <w:r>
        <w:rPr>
          <w:rFonts w:hint="eastAsia" w:ascii="仿宋" w:hAnsi="仿宋" w:eastAsia="仿宋" w:cs="仿宋"/>
          <w:b/>
          <w:bCs/>
          <w:sz w:val="32"/>
          <w:szCs w:val="32"/>
          <w:lang w:eastAsia="zh-CN"/>
        </w:rPr>
        <w:t>）</w:t>
      </w:r>
      <w:r>
        <w:rPr>
          <w:rFonts w:hint="eastAsia" w:ascii="仿宋" w:hAnsi="仿宋" w:eastAsia="仿宋" w:cs="仿宋"/>
          <w:b/>
          <w:bCs/>
          <w:sz w:val="32"/>
          <w:szCs w:val="32"/>
        </w:rPr>
        <w:t>紧扣全面发展，努力实现争先进位。</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是</w:t>
      </w:r>
      <w:r>
        <w:rPr>
          <w:rFonts w:hint="eastAsia" w:ascii="仿宋" w:hAnsi="仿宋" w:eastAsia="仿宋" w:cs="仿宋"/>
          <w:sz w:val="32"/>
          <w:szCs w:val="32"/>
        </w:rPr>
        <w:t>树立安全发展理念。严格落实安全生产责任制，确保实现安全生产事故“双下降”。强化人员密集场所等重点领域隐患排查整治，加大对危险品、烟花爆竹的检查和整治力度。</w:t>
      </w:r>
      <w:r>
        <w:rPr>
          <w:rFonts w:hint="eastAsia" w:ascii="仿宋" w:hAnsi="仿宋" w:eastAsia="仿宋" w:cs="仿宋"/>
          <w:sz w:val="32"/>
          <w:szCs w:val="32"/>
          <w:lang w:val="en-US" w:eastAsia="zh-CN"/>
        </w:rPr>
        <w:t xml:space="preserve">   </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是</w:t>
      </w:r>
      <w:r>
        <w:rPr>
          <w:rFonts w:hint="eastAsia" w:ascii="仿宋" w:hAnsi="仿宋" w:eastAsia="仿宋" w:cs="仿宋"/>
          <w:sz w:val="32"/>
          <w:szCs w:val="32"/>
        </w:rPr>
        <w:t>全面统筹其他工作。按照上级要求开展第七次全国人口普查工作。加强退役军人服务管理，进一步深化双拥共建。稳妥解决民族宗教领域相关问题，坚持意识形态工作责任制。加快全乡移风易俗宣传引导向纵深推进，全力推进殡葬改革工作。</w:t>
      </w:r>
    </w:p>
    <w:p>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rPr>
        <w:t>五</w:t>
      </w:r>
      <w:r>
        <w:rPr>
          <w:rFonts w:hint="eastAsia" w:ascii="仿宋" w:hAnsi="仿宋" w:eastAsia="仿宋" w:cs="仿宋"/>
          <w:b/>
          <w:bCs/>
          <w:sz w:val="32"/>
          <w:szCs w:val="32"/>
          <w:lang w:eastAsia="zh-CN"/>
        </w:rPr>
        <w:t>）</w:t>
      </w:r>
      <w:r>
        <w:rPr>
          <w:rFonts w:hint="eastAsia" w:ascii="仿宋" w:hAnsi="仿宋" w:eastAsia="仿宋" w:cs="仿宋"/>
          <w:b/>
          <w:bCs/>
          <w:sz w:val="32"/>
          <w:szCs w:val="32"/>
        </w:rPr>
        <w:t>紧扣</w:t>
      </w:r>
      <w:r>
        <w:rPr>
          <w:rFonts w:hint="eastAsia" w:ascii="仿宋" w:hAnsi="仿宋" w:eastAsia="仿宋" w:cs="仿宋"/>
          <w:b/>
          <w:bCs/>
          <w:sz w:val="32"/>
          <w:szCs w:val="32"/>
          <w:lang w:eastAsia="zh-CN"/>
        </w:rPr>
        <w:t>全面</w:t>
      </w:r>
      <w:r>
        <w:rPr>
          <w:rFonts w:hint="eastAsia" w:ascii="仿宋" w:hAnsi="仿宋" w:eastAsia="仿宋" w:cs="仿宋"/>
          <w:b/>
          <w:bCs/>
          <w:sz w:val="32"/>
          <w:szCs w:val="32"/>
        </w:rPr>
        <w:t>从严治党，建设清正廉洁干部队伍。</w:t>
      </w:r>
    </w:p>
    <w:p>
      <w:pPr>
        <w:widowControl/>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rPr>
        <w:t>切实履行党风廉政建设“一岗双责”，以政治建设为统领，以压实责任为关键，以领导干部为重点，将全面从严治党贯穿政府工作全过程，抓紧日常监督，用好提醒诫勉。主动接受社会和舆论监督，确保办理质量，提高满意度。强化执纪问责，坚决查处不正之风和腐败行为，严肃查处上有政策、下有对策以及政策执行“中梗阻”、弄虚作假等问题。持续抓好问题整改，强化监督成果运用。严管资金关口，严控“三公”经费和一般性支出</w:t>
      </w:r>
      <w:r>
        <w:rPr>
          <w:rFonts w:hint="eastAsia" w:ascii="仿宋" w:hAnsi="仿宋" w:eastAsia="仿宋" w:cs="仿宋"/>
          <w:sz w:val="32"/>
          <w:szCs w:val="32"/>
          <w:lang w:eastAsia="zh-CN"/>
        </w:rPr>
        <w:t>。</w:t>
      </w:r>
    </w:p>
    <w:p>
      <w:pPr>
        <w:widowControl/>
        <w:spacing w:line="360" w:lineRule="auto"/>
        <w:ind w:firstLine="643" w:firstLineChars="200"/>
        <w:jc w:val="left"/>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分项绩效目标</w:t>
      </w:r>
    </w:p>
    <w:p>
      <w:pPr>
        <w:widowControl/>
        <w:spacing w:line="360" w:lineRule="auto"/>
        <w:ind w:firstLine="643" w:firstLineChars="200"/>
        <w:jc w:val="left"/>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1、</w:t>
      </w:r>
      <w:r>
        <w:rPr>
          <w:rFonts w:hint="eastAsia" w:ascii="仿宋" w:hAnsi="仿宋" w:eastAsia="仿宋" w:cs="仿宋"/>
          <w:sz w:val="32"/>
          <w:szCs w:val="32"/>
        </w:rPr>
        <w:t>大力发展特色种养、有机种植等优势高效农业</w:t>
      </w:r>
      <w:r>
        <w:rPr>
          <w:rFonts w:hint="eastAsia" w:ascii="仿宋" w:hAnsi="仿宋" w:eastAsia="仿宋" w:cs="仿宋"/>
          <w:sz w:val="32"/>
          <w:szCs w:val="32"/>
          <w:lang w:eastAsia="zh-CN"/>
        </w:rPr>
        <w:t>。</w:t>
      </w:r>
    </w:p>
    <w:p>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继续实施周调度制度，严格落实全程跟踪服务</w:t>
      </w:r>
      <w:r>
        <w:rPr>
          <w:rFonts w:hint="eastAsia" w:ascii="仿宋" w:hAnsi="仿宋" w:eastAsia="仿宋" w:cs="仿宋"/>
          <w:sz w:val="32"/>
          <w:szCs w:val="32"/>
          <w:lang w:eastAsia="zh-CN"/>
        </w:rPr>
        <w:t>。</w:t>
      </w:r>
    </w:p>
    <w:p>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紧盯202</w:t>
      </w:r>
      <w:r>
        <w:rPr>
          <w:rFonts w:hint="eastAsia" w:ascii="仿宋" w:hAnsi="仿宋" w:eastAsia="仿宋" w:cs="仿宋"/>
          <w:sz w:val="32"/>
          <w:szCs w:val="32"/>
          <w:lang w:val="en-US" w:eastAsia="zh-CN"/>
        </w:rPr>
        <w:t>1</w:t>
      </w:r>
      <w:r>
        <w:rPr>
          <w:rFonts w:hint="eastAsia" w:ascii="仿宋" w:hAnsi="仿宋" w:eastAsia="仿宋" w:cs="仿宋"/>
          <w:sz w:val="32"/>
          <w:szCs w:val="32"/>
        </w:rPr>
        <w:t>年度脱贫任务，坚持现行标准实现稳定脱贫的总体目标，围绕“两不愁、三保障、一安全”认真开展摸排，严格落实“四个不摘”要求</w:t>
      </w:r>
      <w:r>
        <w:rPr>
          <w:rFonts w:hint="eastAsia" w:ascii="仿宋" w:hAnsi="仿宋" w:eastAsia="仿宋" w:cs="仿宋"/>
          <w:sz w:val="32"/>
          <w:szCs w:val="32"/>
          <w:lang w:eastAsia="zh-CN"/>
        </w:rPr>
        <w:t>。</w:t>
      </w:r>
    </w:p>
    <w:p>
      <w:pPr>
        <w:widowControl/>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rPr>
        <w:t>不断强化过程管控，健全环境监管网格体系，牢固树立生态优先绿色发展理念</w:t>
      </w:r>
      <w:r>
        <w:rPr>
          <w:rFonts w:hint="eastAsia" w:ascii="仿宋" w:hAnsi="仿宋" w:eastAsia="仿宋" w:cs="仿宋"/>
          <w:sz w:val="32"/>
          <w:szCs w:val="32"/>
          <w:lang w:eastAsia="zh-CN"/>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全面做好社会保障、食品安全、安全生产、社会治安等各方面工作，不断增加人民群众的获得感、幸福感、安全感。</w:t>
      </w:r>
    </w:p>
    <w:p>
      <w:pPr>
        <w:widowControl/>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rPr>
        <w:t>完善公共文化服务体系建设，继续推进两项文化民生工程</w:t>
      </w:r>
      <w:r>
        <w:rPr>
          <w:rFonts w:hint="eastAsia" w:ascii="仿宋" w:hAnsi="仿宋" w:eastAsia="仿宋" w:cs="仿宋"/>
          <w:sz w:val="32"/>
          <w:szCs w:val="32"/>
          <w:lang w:eastAsia="zh-CN"/>
        </w:rPr>
        <w:t>。</w:t>
      </w:r>
    </w:p>
    <w:p>
      <w:pPr>
        <w:widowControl/>
        <w:spacing w:line="360" w:lineRule="auto"/>
        <w:ind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rPr>
        <w:t>继续加大财政对民生的投入力度，加快便民服务中心建设，集中力量做好普惠性、基础性、兜底性民生建设</w:t>
      </w:r>
      <w:r>
        <w:rPr>
          <w:rFonts w:hint="eastAsia" w:ascii="仿宋" w:hAnsi="仿宋" w:eastAsia="仿宋" w:cs="仿宋"/>
          <w:sz w:val="32"/>
          <w:szCs w:val="32"/>
          <w:lang w:eastAsia="zh-CN"/>
        </w:rPr>
        <w:t>。</w:t>
      </w:r>
    </w:p>
    <w:p>
      <w:pPr>
        <w:widowControl/>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8、</w:t>
      </w:r>
      <w:r>
        <w:rPr>
          <w:rFonts w:hint="eastAsia" w:ascii="仿宋" w:hAnsi="仿宋" w:eastAsia="仿宋" w:cs="仿宋"/>
          <w:sz w:val="32"/>
          <w:szCs w:val="32"/>
        </w:rPr>
        <w:t>严格落实安全生产责任制，确保实现安全生产事故“双下降”。</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加快全乡移风易俗宣传引导向纵深推进，全力推进殡葬改革工作。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以政治建设为统领，以压实责任为关键，以领导干部为重点，将全面从严治党贯穿政府工作全过程，抓紧日常监督，用好提醒诫勉。</w:t>
      </w:r>
    </w:p>
    <w:p>
      <w:pPr>
        <w:ind w:firstLine="643"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工作保障措施</w:t>
      </w:r>
    </w:p>
    <w:p>
      <w:pPr>
        <w:numPr>
          <w:ilvl w:val="0"/>
          <w:numId w:val="4"/>
        </w:numPr>
        <w:ind w:firstLine="640" w:firstLineChars="200"/>
        <w:rPr>
          <w:rFonts w:hint="eastAsia" w:ascii="仿宋" w:hAnsi="仿宋" w:eastAsia="仿宋" w:cs="仿宋"/>
          <w:sz w:val="32"/>
          <w:szCs w:val="32"/>
        </w:rPr>
      </w:pPr>
      <w:r>
        <w:rPr>
          <w:rFonts w:hint="eastAsia" w:ascii="仿宋" w:hAnsi="仿宋" w:eastAsia="仿宋" w:cs="仿宋"/>
          <w:sz w:val="32"/>
          <w:szCs w:val="32"/>
        </w:rPr>
        <w:t>持续推行“互联网+现代农业”发展模式，不断扩大特色农产品的品牌影响力。</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继续实施周调度制度，严格落实全程跟踪服务，全面推行代办制、领办制，确保签约项目早投产、早见效。</w:t>
      </w:r>
    </w:p>
    <w:p>
      <w:pPr>
        <w:numPr>
          <w:ilvl w:val="0"/>
          <w:numId w:val="0"/>
        </w:numPr>
        <w:ind w:firstLine="640"/>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rPr>
        <w:t>着力提高脱贫质量，切实做到“三精准、三保障、三落实”</w:t>
      </w:r>
      <w:r>
        <w:rPr>
          <w:rFonts w:hint="eastAsia" w:ascii="仿宋" w:hAnsi="仿宋" w:eastAsia="仿宋" w:cs="仿宋"/>
          <w:sz w:val="32"/>
          <w:szCs w:val="32"/>
          <w:lang w:eastAsia="zh-CN"/>
        </w:rPr>
        <w:t>。</w:t>
      </w:r>
    </w:p>
    <w:p>
      <w:pPr>
        <w:numPr>
          <w:ilvl w:val="0"/>
          <w:numId w:val="0"/>
        </w:numPr>
        <w:ind w:firstLine="64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按照美丽乡村建设标准，开展农村非正规垃圾堆放点整治</w:t>
      </w:r>
      <w:r>
        <w:rPr>
          <w:rFonts w:hint="eastAsia" w:ascii="仿宋" w:hAnsi="仿宋" w:eastAsia="仿宋" w:cs="仿宋"/>
          <w:sz w:val="32"/>
          <w:szCs w:val="32"/>
          <w:lang w:eastAsia="zh-CN"/>
        </w:rPr>
        <w:t>。</w:t>
      </w:r>
    </w:p>
    <w:p>
      <w:pPr>
        <w:numPr>
          <w:ilvl w:val="0"/>
          <w:numId w:val="0"/>
        </w:numPr>
        <w:ind w:firstLine="640"/>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rPr>
        <w:t>加强社会治安综合治理，纵深推进</w:t>
      </w:r>
      <w:r>
        <w:rPr>
          <w:rFonts w:hint="eastAsia" w:ascii="仿宋" w:hAnsi="仿宋" w:eastAsia="仿宋" w:cs="仿宋"/>
          <w:sz w:val="32"/>
          <w:szCs w:val="32"/>
          <w:lang w:eastAsia="zh-CN"/>
        </w:rPr>
        <w:t>扫黑除恶专项斗争</w:t>
      </w:r>
      <w:r>
        <w:rPr>
          <w:rFonts w:hint="eastAsia" w:ascii="仿宋" w:hAnsi="仿宋" w:eastAsia="仿宋" w:cs="仿宋"/>
          <w:sz w:val="32"/>
          <w:szCs w:val="32"/>
        </w:rPr>
        <w:t>，做好整改，抓好工作落实</w:t>
      </w:r>
      <w:r>
        <w:rPr>
          <w:rFonts w:hint="eastAsia" w:ascii="仿宋" w:hAnsi="仿宋" w:eastAsia="仿宋" w:cs="仿宋"/>
          <w:sz w:val="32"/>
          <w:szCs w:val="32"/>
          <w:lang w:eastAsia="zh-CN"/>
        </w:rPr>
        <w:t>。</w:t>
      </w:r>
    </w:p>
    <w:p>
      <w:pPr>
        <w:numPr>
          <w:ilvl w:val="0"/>
          <w:numId w:val="0"/>
        </w:numPr>
        <w:ind w:firstLine="64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帮助困难群众解决实际问题，推进农村留守儿童关爱保护工作，开展助老、助残、医疗、环保等志愿服务活动。</w:t>
      </w:r>
    </w:p>
    <w:p>
      <w:pPr>
        <w:numPr>
          <w:ilvl w:val="0"/>
          <w:numId w:val="0"/>
        </w:numPr>
        <w:ind w:firstLine="64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深入推进全民参保计划，稳步提高社会保障水平，夯实社会保障基本全覆盖成果。</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w:t>
      </w:r>
      <w:r>
        <w:rPr>
          <w:rFonts w:hint="eastAsia" w:ascii="仿宋" w:hAnsi="仿宋" w:eastAsia="仿宋" w:cs="仿宋"/>
          <w:sz w:val="32"/>
          <w:szCs w:val="32"/>
        </w:rPr>
        <w:t>强化人员密集场所等重点领域隐患排查整治，加大对危险品、烟花爆竹的检查和整治力度。</w:t>
      </w:r>
      <w:r>
        <w:rPr>
          <w:rFonts w:hint="eastAsia" w:ascii="仿宋" w:hAnsi="仿宋" w:eastAsia="仿宋" w:cs="仿宋"/>
          <w:sz w:val="32"/>
          <w:szCs w:val="32"/>
          <w:lang w:val="en-US" w:eastAsia="zh-CN"/>
        </w:rPr>
        <w:t xml:space="preserve"> </w:t>
      </w:r>
    </w:p>
    <w:p>
      <w:pPr>
        <w:numPr>
          <w:ilvl w:val="0"/>
          <w:numId w:val="0"/>
        </w:num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w:t>
      </w:r>
      <w:r>
        <w:rPr>
          <w:rFonts w:hint="eastAsia" w:ascii="仿宋" w:hAnsi="仿宋" w:eastAsia="仿宋" w:cs="仿宋"/>
          <w:sz w:val="32"/>
          <w:szCs w:val="32"/>
        </w:rPr>
        <w:t>稳妥解决民族宗教领域相关问题，坚持意识形态工作责任制。</w:t>
      </w:r>
      <w:r>
        <w:rPr>
          <w:rFonts w:hint="eastAsia" w:ascii="仿宋" w:hAnsi="仿宋" w:eastAsia="仿宋" w:cs="仿宋"/>
          <w:sz w:val="32"/>
          <w:szCs w:val="32"/>
          <w:lang w:val="en-US" w:eastAsia="zh-CN"/>
        </w:rPr>
        <w:t xml:space="preserve"> </w:t>
      </w:r>
    </w:p>
    <w:p>
      <w:pPr>
        <w:widowControl/>
        <w:spacing w:line="360" w:lineRule="auto"/>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10、</w:t>
      </w:r>
      <w:r>
        <w:rPr>
          <w:rFonts w:hint="eastAsia" w:ascii="仿宋" w:hAnsi="仿宋" w:eastAsia="仿宋" w:cs="仿宋"/>
          <w:sz w:val="32"/>
          <w:szCs w:val="32"/>
        </w:rPr>
        <w:t>强化执纪问责，坚决查处不正之风和腐败行为，严肃查处上有政策、下有对策以及政策执行“中梗阻”、弄虚作假等问题。持续抓好问题整改，强化监督成果运用。严管资金关口，严控“三公”经费和一般性支出</w:t>
      </w:r>
      <w:r>
        <w:rPr>
          <w:rFonts w:hint="eastAsia" w:ascii="仿宋" w:hAnsi="仿宋" w:eastAsia="仿宋" w:cs="仿宋"/>
          <w:sz w:val="32"/>
          <w:szCs w:val="32"/>
          <w:lang w:eastAsia="zh-CN"/>
        </w:rPr>
        <w:t>。</w:t>
      </w:r>
    </w:p>
    <w:p>
      <w:pPr>
        <w:outlineLvl w:val="0"/>
        <w:rPr>
          <w:rFonts w:hint="eastAsia" w:ascii="仿宋_GB2312" w:hAnsi="仿宋_GB2312" w:eastAsia="仿宋_GB2312" w:cs="仿宋_GB2312"/>
          <w:b/>
          <w:bCs/>
          <w:sz w:val="32"/>
        </w:rPr>
      </w:pPr>
      <w:bookmarkStart w:id="0" w:name="_Toc482007870"/>
      <w:r>
        <w:rPr>
          <w:rFonts w:hint="eastAsia" w:ascii="仿宋_GB2312" w:hAnsi="仿宋_GB2312" w:eastAsia="仿宋_GB2312" w:cs="仿宋_GB2312"/>
          <w:b/>
          <w:bCs/>
          <w:sz w:val="32"/>
        </w:rPr>
        <w:t>部门职责-工作活动绩效目标</w:t>
      </w:r>
      <w:bookmarkEnd w:id="0"/>
    </w:p>
    <w:tbl>
      <w:tblPr>
        <w:tblStyle w:val="6"/>
        <w:tblW w:w="13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仿宋" w:hAnsi="仿宋" w:eastAsia="仿宋"/>
                <w:sz w:val="24"/>
              </w:rPr>
            </w:pPr>
            <w:r>
              <w:rPr>
                <w:rFonts w:ascii="仿宋" w:hAnsi="仿宋" w:eastAsia="仿宋"/>
                <w:sz w:val="24"/>
              </w:rPr>
              <w:t>80</w:t>
            </w:r>
            <w:r>
              <w:rPr>
                <w:rFonts w:hint="eastAsia" w:ascii="仿宋" w:hAnsi="仿宋" w:eastAsia="仿宋"/>
                <w:sz w:val="24"/>
                <w:lang w:val="en-US" w:eastAsia="zh-CN"/>
              </w:rPr>
              <w:t>7</w:t>
            </w:r>
            <w:r>
              <w:rPr>
                <w:rFonts w:hint="eastAsia" w:ascii="仿宋" w:hAnsi="仿宋" w:eastAsia="仿宋"/>
                <w:sz w:val="24"/>
              </w:rPr>
              <w:t>成安县柏寺营乡政府</w:t>
            </w:r>
          </w:p>
        </w:tc>
        <w:tc>
          <w:tcPr>
            <w:tcW w:w="2948" w:type="dxa"/>
            <w:gridSpan w:val="4"/>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仿宋" w:hAnsi="仿宋" w:eastAsia="仿宋"/>
                <w:sz w:val="24"/>
              </w:rPr>
            </w:pPr>
            <w:r>
              <w:rPr>
                <w:rFonts w:hint="eastAsia" w:ascii="仿宋" w:hAnsi="仿宋" w:eastAsia="仿宋"/>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restart"/>
            <w:shd w:val="clear" w:color="auto" w:fill="auto"/>
            <w:vAlign w:val="center"/>
          </w:tcPr>
          <w:p>
            <w:pPr>
              <w:spacing w:line="300" w:lineRule="exact"/>
              <w:jc w:val="center"/>
              <w:rPr>
                <w:rFonts w:ascii="仿宋" w:hAnsi="仿宋" w:eastAsia="仿宋"/>
                <w:b/>
              </w:rPr>
            </w:pPr>
            <w:r>
              <w:rPr>
                <w:rFonts w:hint="eastAsia" w:ascii="仿宋" w:hAnsi="仿宋" w:eastAsia="仿宋"/>
                <w:b/>
              </w:rPr>
              <w:t>职责活动</w:t>
            </w:r>
          </w:p>
        </w:tc>
        <w:tc>
          <w:tcPr>
            <w:tcW w:w="1276" w:type="dxa"/>
            <w:vMerge w:val="restart"/>
            <w:shd w:val="clear" w:color="auto" w:fill="auto"/>
            <w:vAlign w:val="center"/>
          </w:tcPr>
          <w:p>
            <w:pPr>
              <w:spacing w:line="300" w:lineRule="exact"/>
              <w:jc w:val="center"/>
              <w:rPr>
                <w:rFonts w:ascii="仿宋" w:hAnsi="仿宋" w:eastAsia="仿宋"/>
                <w:b/>
              </w:rPr>
            </w:pPr>
            <w:r>
              <w:rPr>
                <w:rFonts w:hint="eastAsia" w:ascii="仿宋" w:hAnsi="仿宋" w:eastAsia="仿宋"/>
                <w:b/>
              </w:rPr>
              <w:t>年度预算数</w:t>
            </w:r>
          </w:p>
        </w:tc>
        <w:tc>
          <w:tcPr>
            <w:tcW w:w="2976" w:type="dxa"/>
            <w:vMerge w:val="restart"/>
            <w:shd w:val="clear" w:color="auto" w:fill="auto"/>
            <w:vAlign w:val="center"/>
          </w:tcPr>
          <w:p>
            <w:pPr>
              <w:spacing w:line="300" w:lineRule="exact"/>
              <w:jc w:val="center"/>
              <w:rPr>
                <w:rFonts w:ascii="仿宋" w:hAnsi="仿宋" w:eastAsia="仿宋"/>
                <w:b/>
              </w:rPr>
            </w:pPr>
            <w:r>
              <w:rPr>
                <w:rFonts w:hint="eastAsia" w:ascii="仿宋" w:hAnsi="仿宋" w:eastAsia="仿宋"/>
                <w:b/>
              </w:rPr>
              <w:t>内容描述</w:t>
            </w:r>
          </w:p>
        </w:tc>
        <w:tc>
          <w:tcPr>
            <w:tcW w:w="2976" w:type="dxa"/>
            <w:vMerge w:val="restart"/>
            <w:shd w:val="clear" w:color="auto" w:fill="auto"/>
            <w:vAlign w:val="center"/>
          </w:tcPr>
          <w:p>
            <w:pPr>
              <w:spacing w:line="300" w:lineRule="exact"/>
              <w:jc w:val="center"/>
              <w:rPr>
                <w:rFonts w:ascii="仿宋" w:hAnsi="仿宋" w:eastAsia="仿宋"/>
                <w:b/>
              </w:rPr>
            </w:pPr>
            <w:r>
              <w:rPr>
                <w:rFonts w:hint="eastAsia" w:ascii="仿宋" w:hAnsi="仿宋" w:eastAsia="仿宋"/>
                <w:b/>
              </w:rPr>
              <w:t>绩效目标</w:t>
            </w:r>
          </w:p>
        </w:tc>
        <w:tc>
          <w:tcPr>
            <w:tcW w:w="1417" w:type="dxa"/>
            <w:vMerge w:val="restart"/>
            <w:shd w:val="clear" w:color="auto" w:fill="auto"/>
            <w:vAlign w:val="center"/>
          </w:tcPr>
          <w:p>
            <w:pPr>
              <w:spacing w:line="300" w:lineRule="exact"/>
              <w:jc w:val="center"/>
              <w:rPr>
                <w:rFonts w:ascii="仿宋" w:hAnsi="仿宋" w:eastAsia="仿宋"/>
                <w:b/>
              </w:rPr>
            </w:pPr>
            <w:r>
              <w:rPr>
                <w:rFonts w:hint="eastAsia" w:ascii="仿宋" w:hAnsi="仿宋" w:eastAsia="仿宋"/>
                <w:b/>
              </w:rPr>
              <w:t>绩效指标</w:t>
            </w:r>
          </w:p>
        </w:tc>
        <w:tc>
          <w:tcPr>
            <w:tcW w:w="2948" w:type="dxa"/>
            <w:gridSpan w:val="4"/>
            <w:shd w:val="clear" w:color="auto" w:fill="auto"/>
            <w:vAlign w:val="center"/>
          </w:tcPr>
          <w:p>
            <w:pPr>
              <w:spacing w:line="300" w:lineRule="exact"/>
              <w:jc w:val="center"/>
              <w:rPr>
                <w:rFonts w:ascii="仿宋" w:hAnsi="仿宋" w:eastAsia="仿宋"/>
                <w:b/>
              </w:rPr>
            </w:pPr>
            <w:r>
              <w:rPr>
                <w:rFonts w:hint="eastAsia" w:ascii="仿宋" w:hAnsi="仿宋" w:eastAsia="仿宋"/>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tblHeader/>
          <w:jc w:val="center"/>
        </w:trPr>
        <w:tc>
          <w:tcPr>
            <w:tcW w:w="2341" w:type="dxa"/>
            <w:vMerge w:val="continue"/>
            <w:shd w:val="clear" w:color="auto" w:fill="auto"/>
            <w:vAlign w:val="center"/>
          </w:tcPr>
          <w:p>
            <w:pPr>
              <w:spacing w:line="300" w:lineRule="exact"/>
              <w:jc w:val="left"/>
              <w:outlineLvl w:val="0"/>
              <w:rPr>
                <w:rFonts w:ascii="仿宋" w:hAnsi="仿宋" w:eastAsia="仿宋"/>
              </w:rPr>
            </w:pPr>
          </w:p>
        </w:tc>
        <w:tc>
          <w:tcPr>
            <w:tcW w:w="1276" w:type="dxa"/>
            <w:vMerge w:val="continue"/>
            <w:shd w:val="clear" w:color="auto" w:fill="auto"/>
            <w:vAlign w:val="center"/>
          </w:tcPr>
          <w:p>
            <w:pPr>
              <w:spacing w:line="300" w:lineRule="exact"/>
              <w:jc w:val="left"/>
              <w:outlineLvl w:val="0"/>
              <w:rPr>
                <w:rFonts w:ascii="仿宋" w:hAnsi="仿宋" w:eastAsia="仿宋"/>
              </w:rPr>
            </w:pPr>
          </w:p>
        </w:tc>
        <w:tc>
          <w:tcPr>
            <w:tcW w:w="2976" w:type="dxa"/>
            <w:vMerge w:val="continue"/>
            <w:shd w:val="clear" w:color="auto" w:fill="auto"/>
            <w:vAlign w:val="center"/>
          </w:tcPr>
          <w:p>
            <w:pPr>
              <w:spacing w:line="300" w:lineRule="exact"/>
              <w:jc w:val="left"/>
              <w:outlineLvl w:val="0"/>
              <w:rPr>
                <w:rFonts w:ascii="仿宋" w:hAnsi="仿宋" w:eastAsia="仿宋"/>
              </w:rPr>
            </w:pPr>
          </w:p>
        </w:tc>
        <w:tc>
          <w:tcPr>
            <w:tcW w:w="2976" w:type="dxa"/>
            <w:vMerge w:val="continue"/>
            <w:shd w:val="clear" w:color="auto" w:fill="auto"/>
            <w:vAlign w:val="center"/>
          </w:tcPr>
          <w:p>
            <w:pPr>
              <w:spacing w:line="300" w:lineRule="exact"/>
              <w:jc w:val="left"/>
              <w:outlineLvl w:val="0"/>
              <w:rPr>
                <w:rFonts w:ascii="仿宋" w:hAnsi="仿宋" w:eastAsia="仿宋"/>
              </w:rPr>
            </w:pPr>
          </w:p>
        </w:tc>
        <w:tc>
          <w:tcPr>
            <w:tcW w:w="1417" w:type="dxa"/>
            <w:vMerge w:val="continue"/>
            <w:shd w:val="clear" w:color="auto" w:fill="auto"/>
            <w:vAlign w:val="center"/>
          </w:tcPr>
          <w:p>
            <w:pPr>
              <w:spacing w:line="300" w:lineRule="exact"/>
              <w:jc w:val="left"/>
              <w:outlineLvl w:val="0"/>
              <w:rPr>
                <w:rFonts w:ascii="仿宋" w:hAnsi="仿宋" w:eastAsia="仿宋"/>
              </w:rPr>
            </w:pPr>
          </w:p>
        </w:tc>
        <w:tc>
          <w:tcPr>
            <w:tcW w:w="737" w:type="dxa"/>
            <w:shd w:val="clear" w:color="auto" w:fill="auto"/>
            <w:vAlign w:val="center"/>
          </w:tcPr>
          <w:p>
            <w:pPr>
              <w:spacing w:line="300" w:lineRule="exact"/>
              <w:jc w:val="center"/>
              <w:rPr>
                <w:rFonts w:ascii="仿宋" w:hAnsi="仿宋" w:eastAsia="仿宋"/>
                <w:b/>
              </w:rPr>
            </w:pPr>
            <w:r>
              <w:rPr>
                <w:rFonts w:hint="eastAsia" w:ascii="仿宋" w:hAnsi="仿宋" w:eastAsia="仿宋"/>
                <w:b/>
              </w:rPr>
              <w:t>优</w:t>
            </w:r>
          </w:p>
        </w:tc>
        <w:tc>
          <w:tcPr>
            <w:tcW w:w="737" w:type="dxa"/>
            <w:shd w:val="clear" w:color="auto" w:fill="auto"/>
            <w:vAlign w:val="center"/>
          </w:tcPr>
          <w:p>
            <w:pPr>
              <w:spacing w:line="300" w:lineRule="exact"/>
              <w:jc w:val="center"/>
              <w:rPr>
                <w:rFonts w:ascii="仿宋" w:hAnsi="仿宋" w:eastAsia="仿宋"/>
                <w:b/>
              </w:rPr>
            </w:pPr>
            <w:r>
              <w:rPr>
                <w:rFonts w:hint="eastAsia" w:ascii="仿宋" w:hAnsi="仿宋" w:eastAsia="仿宋"/>
                <w:b/>
              </w:rPr>
              <w:t>良</w:t>
            </w:r>
          </w:p>
        </w:tc>
        <w:tc>
          <w:tcPr>
            <w:tcW w:w="737" w:type="dxa"/>
            <w:shd w:val="clear" w:color="auto" w:fill="auto"/>
            <w:vAlign w:val="center"/>
          </w:tcPr>
          <w:p>
            <w:pPr>
              <w:spacing w:line="300" w:lineRule="exact"/>
              <w:jc w:val="center"/>
              <w:rPr>
                <w:rFonts w:ascii="仿宋" w:hAnsi="仿宋" w:eastAsia="仿宋"/>
                <w:b/>
              </w:rPr>
            </w:pPr>
            <w:r>
              <w:rPr>
                <w:rFonts w:hint="eastAsia" w:ascii="仿宋" w:hAnsi="仿宋" w:eastAsia="仿宋"/>
                <w:b/>
              </w:rPr>
              <w:t>中</w:t>
            </w:r>
          </w:p>
        </w:tc>
        <w:tc>
          <w:tcPr>
            <w:tcW w:w="737" w:type="dxa"/>
            <w:shd w:val="clear" w:color="auto" w:fill="auto"/>
            <w:vAlign w:val="center"/>
          </w:tcPr>
          <w:p>
            <w:pPr>
              <w:spacing w:line="300" w:lineRule="exact"/>
              <w:jc w:val="center"/>
              <w:rPr>
                <w:rFonts w:ascii="仿宋" w:hAnsi="仿宋" w:eastAsia="仿宋"/>
                <w:b/>
              </w:rPr>
            </w:pPr>
            <w:r>
              <w:rPr>
                <w:rFonts w:hint="eastAsia" w:ascii="仿宋" w:hAnsi="仿宋" w:eastAsia="仿宋"/>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仿宋" w:hAnsi="仿宋" w:eastAsia="仿宋"/>
                <w:b/>
              </w:rPr>
            </w:pPr>
            <w:r>
              <w:rPr>
                <w:rFonts w:hint="eastAsia" w:ascii="仿宋" w:hAnsi="仿宋" w:eastAsia="仿宋"/>
                <w:b/>
              </w:rPr>
              <w:t>促进经济发展、增加农民收入</w:t>
            </w:r>
          </w:p>
        </w:tc>
        <w:tc>
          <w:tcPr>
            <w:tcW w:w="1276" w:type="dxa"/>
            <w:shd w:val="clear" w:color="auto" w:fill="auto"/>
            <w:vAlign w:val="center"/>
          </w:tcPr>
          <w:p>
            <w:pPr>
              <w:spacing w:line="300" w:lineRule="exact"/>
              <w:jc w:val="left"/>
              <w:rPr>
                <w:rFonts w:ascii="仿宋" w:hAnsi="仿宋" w:eastAsia="仿宋"/>
              </w:rPr>
            </w:pPr>
            <w:r>
              <w:rPr>
                <w:rFonts w:hint="eastAsia" w:ascii="仿宋" w:hAnsi="仿宋" w:eastAsia="仿宋"/>
              </w:rPr>
              <w:t>10</w:t>
            </w:r>
          </w:p>
        </w:tc>
        <w:tc>
          <w:tcPr>
            <w:tcW w:w="2976" w:type="dxa"/>
            <w:shd w:val="clear" w:color="auto" w:fill="auto"/>
            <w:vAlign w:val="center"/>
          </w:tcPr>
          <w:p>
            <w:pPr>
              <w:spacing w:line="300" w:lineRule="exact"/>
              <w:jc w:val="left"/>
              <w:rPr>
                <w:rFonts w:ascii="仿宋" w:hAnsi="仿宋" w:eastAsia="仿宋"/>
              </w:rPr>
            </w:pPr>
            <w:r>
              <w:rPr>
                <w:rFonts w:hint="eastAsia" w:ascii="仿宋" w:hAnsi="仿宋" w:eastAsia="仿宋"/>
              </w:rPr>
              <w:t>科学制定乡村发展规划，推动产业结构调整，根据本地产业优势，培育壮大本地支柱产业；营造良好的发展环境、扶持典型、示范引导，提高经济发展的质量和水平；加强农村基础设施建设和新型农村服务体系建设，落实强农惠农措施，促进农业发展，增加农民收入；大力发展民管经济，增强农村集体经济实力，培育和发展农村经济合作组织、经济实体、行业协会和中介组织，尊重农民的生产经营自主权，提高农民的自我发展能力；搞好农业新技术示范，促进农业新技术推广；搞好政策、信息、咨询服务，宣传国家投资方向、重点支持的产业产品，培训经济人才，及时为农民提供产、供、销等市场信息</w:t>
            </w:r>
            <w:r>
              <w:rPr>
                <w:rFonts w:ascii="仿宋" w:hAnsi="仿宋" w:eastAsia="仿宋"/>
              </w:rPr>
              <w:t>,</w:t>
            </w:r>
            <w:r>
              <w:rPr>
                <w:rFonts w:hint="eastAsia" w:ascii="仿宋" w:hAnsi="仿宋" w:eastAsia="仿宋"/>
              </w:rPr>
              <w:t>发布经济致富信息。</w:t>
            </w:r>
          </w:p>
        </w:tc>
        <w:tc>
          <w:tcPr>
            <w:tcW w:w="2976" w:type="dxa"/>
            <w:shd w:val="clear" w:color="auto" w:fill="auto"/>
            <w:vAlign w:val="center"/>
          </w:tcPr>
          <w:p>
            <w:pPr>
              <w:spacing w:line="300" w:lineRule="exact"/>
              <w:jc w:val="left"/>
              <w:rPr>
                <w:rFonts w:ascii="仿宋" w:hAnsi="仿宋" w:eastAsia="仿宋"/>
              </w:rPr>
            </w:pPr>
            <w:r>
              <w:rPr>
                <w:rFonts w:hint="eastAsia" w:ascii="仿宋" w:hAnsi="仿宋" w:eastAsia="仿宋"/>
              </w:rPr>
              <w:t>科学制定乡村发展规划，推动产业结构调整，根据本地产业优势，培育壮大本地支柱产业；营造良好的发展环境、扶持典型、示范引导，提高经济发展的质量和水平；加强农村基础设施建设和新型农村服务体系建设，落实强农惠农措施，促进农业发展，增加农民收入；大力发展民管经济，增强农村集体经济实力，培育和发展农村经济合作组织、经济实体、行业协会和中介组织，尊重农民的生产经营自主权，提高农民的自我发展能力；搞好农业新技术示范，促进农业新技术推广；搞好政策、信息、咨询服务，宣传国家投资方向、重点支持的产业产品，培训经济人才，及时为农民提供产、供、销等市场信息</w:t>
            </w:r>
            <w:r>
              <w:rPr>
                <w:rFonts w:ascii="仿宋" w:hAnsi="仿宋" w:eastAsia="仿宋"/>
              </w:rPr>
              <w:t>,</w:t>
            </w:r>
            <w:r>
              <w:rPr>
                <w:rFonts w:hint="eastAsia" w:ascii="仿宋" w:hAnsi="仿宋" w:eastAsia="仿宋"/>
              </w:rPr>
              <w:t>发布经济致富信息。</w:t>
            </w:r>
          </w:p>
        </w:tc>
        <w:tc>
          <w:tcPr>
            <w:tcW w:w="1417" w:type="dxa"/>
            <w:shd w:val="clear" w:color="auto" w:fill="auto"/>
            <w:vAlign w:val="center"/>
          </w:tcPr>
          <w:p>
            <w:pPr>
              <w:spacing w:line="300" w:lineRule="exact"/>
              <w:jc w:val="left"/>
              <w:rPr>
                <w:rFonts w:hint="default" w:ascii="仿宋" w:hAnsi="仿宋" w:eastAsia="仿宋"/>
                <w:lang w:val="en-US" w:eastAsia="zh-CN"/>
              </w:rPr>
            </w:pPr>
            <w:r>
              <w:rPr>
                <w:rFonts w:hint="eastAsia" w:ascii="仿宋" w:hAnsi="仿宋" w:eastAsia="仿宋"/>
                <w:lang w:val="en-US" w:eastAsia="zh-CN"/>
              </w:rPr>
              <w:t>农民人均收入高于去年的比率</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100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≥80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≥70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＜60</w:t>
            </w:r>
            <w:r>
              <w:rPr>
                <w:rFonts w:hint="eastAsia" w:ascii="仿宋" w:hAnsi="仿宋" w:eastAsia="仿宋"/>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仿宋" w:hAnsi="仿宋" w:eastAsia="仿宋"/>
                <w:b/>
              </w:rPr>
            </w:pPr>
            <w:r>
              <w:rPr>
                <w:rFonts w:hint="eastAsia" w:ascii="仿宋" w:hAnsi="仿宋" w:eastAsia="仿宋"/>
                <w:b/>
              </w:rPr>
              <w:t>强化公共服务、着力改善民生</w:t>
            </w:r>
          </w:p>
        </w:tc>
        <w:tc>
          <w:tcPr>
            <w:tcW w:w="1276" w:type="dxa"/>
            <w:shd w:val="clear" w:color="auto" w:fill="auto"/>
            <w:vAlign w:val="center"/>
          </w:tcPr>
          <w:p>
            <w:pPr>
              <w:spacing w:line="300" w:lineRule="exact"/>
              <w:jc w:val="left"/>
              <w:rPr>
                <w:rFonts w:ascii="仿宋" w:hAnsi="仿宋" w:eastAsia="仿宋"/>
              </w:rPr>
            </w:pPr>
            <w:r>
              <w:rPr>
                <w:rFonts w:hint="eastAsia" w:ascii="仿宋" w:hAnsi="仿宋" w:eastAsia="仿宋"/>
              </w:rPr>
              <w:t>35</w:t>
            </w:r>
          </w:p>
        </w:tc>
        <w:tc>
          <w:tcPr>
            <w:tcW w:w="2976" w:type="dxa"/>
            <w:shd w:val="clear" w:color="auto" w:fill="auto"/>
            <w:vAlign w:val="center"/>
          </w:tcPr>
          <w:p>
            <w:pPr>
              <w:spacing w:line="300" w:lineRule="exact"/>
              <w:jc w:val="left"/>
              <w:rPr>
                <w:rFonts w:ascii="仿宋" w:hAnsi="仿宋" w:eastAsia="仿宋"/>
              </w:rPr>
            </w:pPr>
            <w:r>
              <w:rPr>
                <w:rFonts w:hint="eastAsia" w:ascii="仿宋" w:hAnsi="仿宋" w:eastAsia="仿宋"/>
              </w:rPr>
              <w:t>拓展服务渠道，改进服务方式，通过</w:t>
            </w:r>
            <w:r>
              <w:rPr>
                <w:rFonts w:hint="cs" w:ascii="仿宋" w:hAnsi="仿宋" w:eastAsia="仿宋"/>
              </w:rPr>
              <w:t>“</w:t>
            </w:r>
            <w:r>
              <w:rPr>
                <w:rFonts w:hint="eastAsia" w:ascii="仿宋" w:hAnsi="仿宋" w:eastAsia="仿宋"/>
              </w:rPr>
              <w:t>一站式</w:t>
            </w:r>
            <w:r>
              <w:rPr>
                <w:rFonts w:hint="cs" w:ascii="仿宋" w:hAnsi="仿宋" w:eastAsia="仿宋"/>
              </w:rPr>
              <w:t>”</w:t>
            </w:r>
            <w:r>
              <w:rPr>
                <w:rFonts w:hint="eastAsia" w:ascii="仿宋" w:hAnsi="仿宋" w:eastAsia="仿宋"/>
              </w:rPr>
              <w:t>服务、办事代理制等多种形式，方便群众办事；推进依法行政，严格依法履行职责；推行行政机关首问办理制度，强化责任意识；着力解决群众生产生活中的突出问题，切实维护农民合法权益；加强农村市场体系建设，增强市场服务能力；加强农田水利基本建设，增强农业抗御自然灾害的能力；加强基础设施建设，改善农民生产生活环境；搞好科技、信息服务，提高农民运用现代信息技术水平；加强对农村劳动力的职业技能培训，做好农村社会保障工作，扩大农村新型合作医疗覆盖面，提高农民参合率，建立健全农村困难群众最底生活保障制度，做好烈军属、五保户养老金的社会化发放和申领资格认证，解除农民后顾之忧；做好育龄妇女普查和生殖健康检查；保证粮食直补，农资直补等各项惠农政策落实到户。</w:t>
            </w:r>
          </w:p>
        </w:tc>
        <w:tc>
          <w:tcPr>
            <w:tcW w:w="2976" w:type="dxa"/>
            <w:shd w:val="clear" w:color="auto" w:fill="auto"/>
            <w:vAlign w:val="center"/>
          </w:tcPr>
          <w:p>
            <w:pPr>
              <w:spacing w:line="300" w:lineRule="exact"/>
              <w:jc w:val="left"/>
              <w:rPr>
                <w:rFonts w:ascii="仿宋" w:hAnsi="仿宋" w:eastAsia="仿宋"/>
              </w:rPr>
            </w:pPr>
            <w:r>
              <w:rPr>
                <w:rFonts w:hint="eastAsia" w:ascii="仿宋" w:hAnsi="仿宋" w:eastAsia="仿宋"/>
              </w:rPr>
              <w:t>拓展服务渠道，改进服务方式，通过</w:t>
            </w:r>
            <w:r>
              <w:rPr>
                <w:rFonts w:hint="cs" w:ascii="仿宋" w:hAnsi="仿宋" w:eastAsia="仿宋"/>
              </w:rPr>
              <w:t>“</w:t>
            </w:r>
            <w:r>
              <w:rPr>
                <w:rFonts w:hint="eastAsia" w:ascii="仿宋" w:hAnsi="仿宋" w:eastAsia="仿宋"/>
              </w:rPr>
              <w:t>一站式</w:t>
            </w:r>
            <w:r>
              <w:rPr>
                <w:rFonts w:hint="cs" w:ascii="仿宋" w:hAnsi="仿宋" w:eastAsia="仿宋"/>
              </w:rPr>
              <w:t>”</w:t>
            </w:r>
            <w:r>
              <w:rPr>
                <w:rFonts w:hint="eastAsia" w:ascii="仿宋" w:hAnsi="仿宋" w:eastAsia="仿宋"/>
              </w:rPr>
              <w:t>服务、办事代理制等多种形式，方便群众办事；推进依法行政，严格依法履行职责；推行行政机关首问办理制度，强化责任意识；着力解决群众生产生活中的突出问题，切实维护农民合法权益；加强农村市场体系建设，增强市场服务能力；加强农田水利基本建设，增强农业抗御自然灾害的能力；加强基础设施建设，改善农民生产生活环境；搞好科技、信息服务，提高农民运用现代信息技术水平；加强对农村劳动力的职业技能培训，做好农村社会保障工作，扩大农村新型合作医疗覆盖面，提高农民参合率，建立健全农村困难群众最底生活保障制度，做好烈军属、五保户养老金的社会化发放和申领资格认证，解除农民后顾之忧；做好育龄妇女普查和生殖健康检查；保证粮食直补，农资直补等各项惠农政策落实到户。</w:t>
            </w:r>
          </w:p>
        </w:tc>
        <w:tc>
          <w:tcPr>
            <w:tcW w:w="1417" w:type="dxa"/>
            <w:shd w:val="clear" w:color="auto" w:fill="auto"/>
            <w:vAlign w:val="center"/>
          </w:tcPr>
          <w:p>
            <w:pPr>
              <w:spacing w:line="300" w:lineRule="exact"/>
              <w:jc w:val="left"/>
              <w:rPr>
                <w:rFonts w:hint="default" w:ascii="仿宋" w:hAnsi="仿宋" w:eastAsia="仿宋"/>
                <w:lang w:val="en-US" w:eastAsia="zh-CN"/>
              </w:rPr>
            </w:pPr>
            <w:r>
              <w:rPr>
                <w:rFonts w:hint="eastAsia" w:ascii="仿宋" w:hAnsi="仿宋" w:eastAsia="仿宋"/>
                <w:lang w:val="en-US" w:eastAsia="zh-CN"/>
              </w:rPr>
              <w:t>服务对象的满意度</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100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≥80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≥70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＜60</w:t>
            </w:r>
            <w:r>
              <w:rPr>
                <w:rFonts w:hint="eastAsia" w:ascii="仿宋" w:hAnsi="仿宋" w:eastAsia="仿宋"/>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仿宋" w:hAnsi="仿宋" w:eastAsia="仿宋"/>
                <w:b/>
              </w:rPr>
            </w:pPr>
            <w:r>
              <w:rPr>
                <w:rFonts w:hint="eastAsia" w:ascii="仿宋" w:hAnsi="仿宋" w:eastAsia="仿宋"/>
                <w:b/>
              </w:rPr>
              <w:t>加强社会管理、维护农村稳定</w:t>
            </w:r>
          </w:p>
        </w:tc>
        <w:tc>
          <w:tcPr>
            <w:tcW w:w="1276" w:type="dxa"/>
            <w:shd w:val="clear" w:color="auto" w:fill="auto"/>
            <w:vAlign w:val="center"/>
          </w:tcPr>
          <w:p>
            <w:pPr>
              <w:spacing w:line="300" w:lineRule="exact"/>
              <w:jc w:val="left"/>
              <w:rPr>
                <w:rFonts w:hint="default" w:ascii="仿宋" w:hAnsi="仿宋" w:eastAsia="仿宋"/>
                <w:lang w:val="en-US" w:eastAsia="zh-CN"/>
              </w:rPr>
            </w:pPr>
            <w:r>
              <w:rPr>
                <w:rFonts w:hint="eastAsia" w:ascii="仿宋" w:hAnsi="仿宋" w:eastAsia="仿宋"/>
                <w:lang w:val="en-US" w:eastAsia="zh-CN"/>
              </w:rPr>
              <w:t>20</w:t>
            </w:r>
          </w:p>
        </w:tc>
        <w:tc>
          <w:tcPr>
            <w:tcW w:w="2976" w:type="dxa"/>
            <w:shd w:val="clear" w:color="auto" w:fill="auto"/>
            <w:vAlign w:val="center"/>
          </w:tcPr>
          <w:p>
            <w:pPr>
              <w:spacing w:line="300" w:lineRule="exact"/>
              <w:jc w:val="left"/>
              <w:rPr>
                <w:rFonts w:ascii="仿宋" w:hAnsi="仿宋" w:eastAsia="仿宋"/>
              </w:rPr>
            </w:pPr>
            <w:r>
              <w:rPr>
                <w:rFonts w:hint="eastAsia" w:ascii="仿宋" w:hAnsi="仿宋" w:eastAsia="仿宋"/>
              </w:rPr>
              <w:t>抓好农村思想政治建设和精神文明建设，加强农村教育、卫生、文化、体育、环境保护等社会事业的管理，促进农村经济社会的健康、和谐、可持续发展；加强计划生育管理，确保基本国策各项工作落到实处；加强安全生产管理，做好各项安全生产的监督检查、隐患排查，落实安全生产责任制；加强社会治安综合治理，综合发挥人民调解、行政调解和司法调解的作用，及时化解农村社会矛盾，消除社会不稳定因素；协助司法机关打击各类刑事犯罪活动，妥善处理突发性、群体性事件，确保人民群众生命财产安全；切实解决好农村征地、集体资产管理等方面损坏农民利益的突出问题，确保社会稳定；指导村民自治，积极稳妥有序推进农村新民居建设，促进社会组织健康发展，增强社会自治功能，完善村规民约，深化农村平安创建工作。</w:t>
            </w:r>
          </w:p>
        </w:tc>
        <w:tc>
          <w:tcPr>
            <w:tcW w:w="2976" w:type="dxa"/>
            <w:shd w:val="clear" w:color="auto" w:fill="auto"/>
            <w:vAlign w:val="center"/>
          </w:tcPr>
          <w:p>
            <w:pPr>
              <w:spacing w:line="300" w:lineRule="exact"/>
              <w:jc w:val="left"/>
              <w:rPr>
                <w:rFonts w:ascii="仿宋" w:hAnsi="仿宋" w:eastAsia="仿宋"/>
              </w:rPr>
            </w:pPr>
            <w:r>
              <w:rPr>
                <w:rFonts w:hint="eastAsia" w:ascii="仿宋" w:hAnsi="仿宋" w:eastAsia="仿宋"/>
              </w:rPr>
              <w:t>抓好农村思想政治建设和精神文明建设，加强农村教育、卫生、文化、体育、环境保护等社会事业的管理，促进农村经济社会的健康、和谐、可持续发展；加强计划生育管理，确保基本国策各项工作落到实处；加强安全生产管理，做好各项安全生产的监督检查、隐患排查，落实安全生产责任制；加强社会治安综合治理，综合发挥人民调解、行政调解和司法调解的作用，及时化解农村社会矛盾，消除社会不稳定因素；协助司法机关打击各类刑事犯罪活动，妥善处理突发性、群体性事件，确保人民群众生命财产安全；切实解决好农村征地、集体资产管理等方面损坏农民利益的突出问题，确保社会稳定；指导村民自治，积极稳妥有序推进农村新民居建设，促进社会组织健康发展，增强社会自治功能，完善村规民约，深化农村平安创建工作。</w:t>
            </w:r>
          </w:p>
        </w:tc>
        <w:tc>
          <w:tcPr>
            <w:tcW w:w="1417" w:type="dxa"/>
            <w:shd w:val="clear" w:color="auto" w:fill="auto"/>
            <w:vAlign w:val="center"/>
          </w:tcPr>
          <w:p>
            <w:pPr>
              <w:spacing w:line="300" w:lineRule="exact"/>
              <w:jc w:val="left"/>
              <w:rPr>
                <w:rFonts w:hint="default" w:ascii="仿宋" w:hAnsi="仿宋" w:eastAsia="仿宋"/>
                <w:lang w:val="en-US" w:eastAsia="zh-CN"/>
              </w:rPr>
            </w:pPr>
            <w:r>
              <w:rPr>
                <w:rFonts w:hint="eastAsia" w:ascii="仿宋" w:hAnsi="仿宋" w:eastAsia="仿宋"/>
                <w:lang w:val="en-US" w:eastAsia="zh-CN"/>
              </w:rPr>
              <w:t>社会矛盾纠纷的下降率</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100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≥80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≥70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hint="eastAsia" w:ascii="仿宋" w:hAnsi="仿宋" w:eastAsia="仿宋"/>
              </w:rPr>
              <w:t>＜60</w:t>
            </w:r>
            <w:r>
              <w:rPr>
                <w:rFonts w:hint="eastAsia" w:ascii="仿宋" w:hAnsi="仿宋" w:eastAsia="仿宋"/>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left"/>
              <w:rPr>
                <w:rFonts w:ascii="仿宋" w:hAnsi="仿宋" w:eastAsia="仿宋"/>
                <w:b/>
              </w:rPr>
            </w:pPr>
            <w:r>
              <w:rPr>
                <w:rFonts w:hint="eastAsia" w:ascii="仿宋" w:hAnsi="仿宋" w:eastAsia="仿宋"/>
                <w:b/>
              </w:rPr>
              <w:t>　　推进基层民主、促进农村和谐</w:t>
            </w:r>
          </w:p>
        </w:tc>
        <w:tc>
          <w:tcPr>
            <w:tcW w:w="1276" w:type="dxa"/>
            <w:shd w:val="clear" w:color="auto" w:fill="auto"/>
            <w:vAlign w:val="center"/>
          </w:tcPr>
          <w:p>
            <w:pPr>
              <w:spacing w:line="300" w:lineRule="exact"/>
              <w:jc w:val="left"/>
              <w:rPr>
                <w:rFonts w:hint="default" w:ascii="仿宋" w:hAnsi="仿宋" w:eastAsia="仿宋"/>
                <w:lang w:val="en-US" w:eastAsia="zh-CN"/>
              </w:rPr>
            </w:pPr>
            <w:r>
              <w:rPr>
                <w:rFonts w:hint="eastAsia" w:ascii="仿宋" w:hAnsi="仿宋" w:eastAsia="仿宋"/>
                <w:lang w:val="en-US" w:eastAsia="zh-CN"/>
              </w:rPr>
              <w:t>30</w:t>
            </w:r>
          </w:p>
        </w:tc>
        <w:tc>
          <w:tcPr>
            <w:tcW w:w="2976" w:type="dxa"/>
            <w:shd w:val="clear" w:color="auto" w:fill="auto"/>
            <w:vAlign w:val="center"/>
          </w:tcPr>
          <w:p>
            <w:pPr>
              <w:spacing w:line="300" w:lineRule="exact"/>
              <w:jc w:val="left"/>
              <w:rPr>
                <w:rFonts w:ascii="仿宋" w:hAnsi="仿宋" w:eastAsia="仿宋"/>
              </w:rPr>
            </w:pPr>
            <w:r>
              <w:rPr>
                <w:rFonts w:hint="eastAsia" w:ascii="仿宋" w:hAnsi="仿宋" w:eastAsia="仿宋"/>
              </w:rPr>
              <w:t>坚持党的领导，保障农民群众的选举权；健全完善村党组织领导的充满活力的村民自治机构，保障村民的参与权；健全村务公开制度，保障农民群众的知情权；规范民主决策机制，拓展村民民主参与村级事务的渠道，调动村民群众生产生活中的突出问题，切实维护农民合法权益；创新方法，不断深化基层民主管理内涵，着力解决基层民主管理中的薄弱问题，进一步密切党群干群关系、巩固党的执政基础，促进和谐社会建设。</w:t>
            </w:r>
          </w:p>
        </w:tc>
        <w:tc>
          <w:tcPr>
            <w:tcW w:w="2976" w:type="dxa"/>
            <w:shd w:val="clear" w:color="auto" w:fill="auto"/>
            <w:vAlign w:val="center"/>
          </w:tcPr>
          <w:p>
            <w:pPr>
              <w:spacing w:line="300" w:lineRule="exact"/>
              <w:jc w:val="left"/>
              <w:rPr>
                <w:rFonts w:ascii="仿宋" w:hAnsi="仿宋" w:eastAsia="仿宋"/>
              </w:rPr>
            </w:pPr>
            <w:r>
              <w:rPr>
                <w:rFonts w:hint="eastAsia" w:ascii="仿宋" w:hAnsi="仿宋" w:eastAsia="仿宋"/>
              </w:rPr>
              <w:t>推进基层民主、促进农村和谐</w:t>
            </w:r>
          </w:p>
        </w:tc>
        <w:tc>
          <w:tcPr>
            <w:tcW w:w="1417" w:type="dxa"/>
            <w:shd w:val="clear" w:color="auto" w:fill="auto"/>
            <w:vAlign w:val="center"/>
          </w:tcPr>
          <w:p>
            <w:pPr>
              <w:spacing w:line="300" w:lineRule="exact"/>
              <w:jc w:val="left"/>
              <w:rPr>
                <w:rFonts w:ascii="仿宋" w:hAnsi="仿宋" w:eastAsia="仿宋"/>
              </w:rPr>
            </w:pPr>
            <w:r>
              <w:rPr>
                <w:rFonts w:hint="eastAsia" w:ascii="仿宋" w:hAnsi="仿宋" w:eastAsia="仿宋"/>
              </w:rPr>
              <w:t>推进基层民主、促进农村和谐</w:t>
            </w:r>
          </w:p>
        </w:tc>
        <w:tc>
          <w:tcPr>
            <w:tcW w:w="737" w:type="dxa"/>
            <w:shd w:val="clear" w:color="auto" w:fill="auto"/>
            <w:vAlign w:val="center"/>
          </w:tcPr>
          <w:p>
            <w:pPr>
              <w:spacing w:line="300" w:lineRule="exact"/>
              <w:jc w:val="center"/>
              <w:rPr>
                <w:rFonts w:hint="eastAsia" w:ascii="仿宋" w:hAnsi="仿宋" w:eastAsia="仿宋"/>
                <w:lang w:val="en-US" w:eastAsia="zh-CN"/>
              </w:rPr>
            </w:pPr>
            <w:r>
              <w:rPr>
                <w:rFonts w:ascii="仿宋" w:hAnsi="仿宋" w:eastAsia="仿宋"/>
              </w:rPr>
              <w:t>100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ascii="仿宋" w:hAnsi="仿宋" w:eastAsia="仿宋"/>
              </w:rPr>
            </w:pPr>
            <w:r>
              <w:rPr>
                <w:rFonts w:hint="eastAsia" w:ascii="仿宋" w:hAnsi="仿宋" w:eastAsia="仿宋"/>
              </w:rPr>
              <w:t>≥80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ascii="仿宋" w:hAnsi="仿宋" w:eastAsia="仿宋"/>
              </w:rPr>
            </w:pPr>
            <w:r>
              <w:rPr>
                <w:rFonts w:hint="eastAsia" w:ascii="仿宋" w:hAnsi="仿宋" w:eastAsia="仿宋"/>
              </w:rPr>
              <w:t>≥70</w:t>
            </w:r>
            <w:r>
              <w:rPr>
                <w:rFonts w:hint="eastAsia" w:ascii="仿宋" w:hAnsi="仿宋" w:eastAsia="仿宋"/>
                <w:lang w:val="en-US" w:eastAsia="zh-CN"/>
              </w:rPr>
              <w:t>%</w:t>
            </w:r>
          </w:p>
        </w:tc>
        <w:tc>
          <w:tcPr>
            <w:tcW w:w="737" w:type="dxa"/>
            <w:shd w:val="clear" w:color="auto" w:fill="auto"/>
            <w:vAlign w:val="center"/>
          </w:tcPr>
          <w:p>
            <w:pPr>
              <w:spacing w:line="300" w:lineRule="exact"/>
              <w:jc w:val="center"/>
              <w:rPr>
                <w:rFonts w:hint="default" w:ascii="仿宋" w:hAnsi="仿宋" w:eastAsia="仿宋"/>
                <w:lang w:val="en-US" w:eastAsia="zh-CN"/>
              </w:rPr>
            </w:pPr>
            <w:r>
              <w:rPr>
                <w:rFonts w:hint="eastAsia" w:ascii="仿宋" w:hAnsi="仿宋" w:eastAsia="仿宋"/>
              </w:rPr>
              <w:t>＜</w:t>
            </w:r>
            <w:r>
              <w:rPr>
                <w:rFonts w:hint="eastAsia" w:ascii="仿宋" w:hAnsi="仿宋" w:eastAsia="仿宋"/>
                <w:lang w:val="en-US" w:eastAsia="zh-CN"/>
              </w:rPr>
              <w:t>60%</w:t>
            </w:r>
          </w:p>
        </w:tc>
      </w:tr>
    </w:tbl>
    <w:p>
      <w:pPr>
        <w:widowControl/>
        <w:numPr>
          <w:ilvl w:val="0"/>
          <w:numId w:val="3"/>
        </w:numPr>
        <w:spacing w:line="360" w:lineRule="auto"/>
        <w:ind w:firstLine="640" w:firstLineChars="200"/>
        <w:jc w:val="left"/>
        <w:rPr>
          <w:rFonts w:hint="eastAsia" w:ascii="黑体" w:hAnsi="黑体" w:eastAsia="黑体" w:cs="黑体"/>
          <w:kern w:val="0"/>
          <w:sz w:val="32"/>
          <w:szCs w:val="32"/>
        </w:rPr>
      </w:pPr>
      <w:r>
        <w:rPr>
          <w:rFonts w:hint="eastAsia" w:ascii="黑体" w:hAnsi="黑体" w:eastAsia="黑体" w:cs="黑体"/>
          <w:kern w:val="0"/>
          <w:sz w:val="32"/>
          <w:szCs w:val="32"/>
        </w:rPr>
        <w:t>政府采购预算情况</w:t>
      </w:r>
    </w:p>
    <w:p>
      <w:pPr>
        <w:widowControl/>
        <w:numPr>
          <w:ilvl w:val="0"/>
          <w:numId w:val="0"/>
        </w:numPr>
        <w:spacing w:line="360" w:lineRule="auto"/>
        <w:jc w:val="left"/>
        <w:rPr>
          <w:rFonts w:ascii="仿宋" w:hAnsi="仿宋" w:eastAsia="仿宋" w:cs="Calibri"/>
          <w:b/>
          <w:kern w:val="0"/>
          <w:sz w:val="32"/>
          <w:szCs w:val="32"/>
        </w:rPr>
      </w:pPr>
      <w:r>
        <w:rPr>
          <w:rFonts w:hint="eastAsia" w:ascii="仿宋" w:hAnsi="仿宋" w:eastAsia="仿宋" w:cs="仿宋_GB2312"/>
          <w:kern w:val="0"/>
          <w:sz w:val="32"/>
          <w:szCs w:val="32"/>
          <w:lang w:val="en-US" w:eastAsia="zh-CN"/>
        </w:rPr>
        <w:t xml:space="preserve">    </w:t>
      </w:r>
      <w:r>
        <w:rPr>
          <w:rFonts w:ascii="仿宋" w:hAnsi="仿宋" w:eastAsia="仿宋" w:cs="仿宋_GB2312"/>
          <w:kern w:val="0"/>
          <w:sz w:val="32"/>
          <w:szCs w:val="32"/>
        </w:rPr>
        <w:t>政府采购指国家机关、事业单位和社会团体组织，使用财政性资金，购买集中采购目录以内的或者采购限额标准以上的货物、工程或服务的行为。政府采购应遵循公开透明、公平竞争、公正和诚实信用的原则。凡使用纳入预算管理的资金采购符合《河北省政府采购集中采购目录和限额标准》（冀财采[2015]11号）要求的货物、工程或服务的项目，采购人均应编入政府采购预算。按照政府采购相关法律法规要求，结合我</w:t>
      </w:r>
      <w:r>
        <w:rPr>
          <w:rFonts w:hint="eastAsia" w:ascii="仿宋" w:hAnsi="仿宋" w:eastAsia="仿宋" w:cs="仿宋_GB2312"/>
          <w:kern w:val="0"/>
          <w:sz w:val="32"/>
          <w:szCs w:val="32"/>
        </w:rPr>
        <w:t>乡</w:t>
      </w:r>
      <w:r>
        <w:rPr>
          <w:rFonts w:ascii="仿宋" w:hAnsi="仿宋" w:eastAsia="仿宋" w:cs="仿宋_GB2312"/>
          <w:kern w:val="0"/>
          <w:sz w:val="32"/>
          <w:szCs w:val="32"/>
        </w:rPr>
        <w:t>实际，</w:t>
      </w:r>
      <w:r>
        <w:rPr>
          <w:rFonts w:hint="eastAsia" w:ascii="仿宋" w:hAnsi="仿宋" w:eastAsia="仿宋" w:cs="仿宋_GB2312"/>
          <w:kern w:val="0"/>
          <w:sz w:val="32"/>
          <w:szCs w:val="32"/>
          <w:lang w:eastAsia="zh-CN"/>
        </w:rPr>
        <w:t>2021</w:t>
      </w:r>
      <w:r>
        <w:rPr>
          <w:rFonts w:ascii="仿宋" w:hAnsi="仿宋" w:eastAsia="仿宋" w:cs="仿宋_GB2312"/>
          <w:kern w:val="0"/>
          <w:sz w:val="32"/>
          <w:szCs w:val="32"/>
        </w:rPr>
        <w:t>年我</w:t>
      </w:r>
      <w:r>
        <w:rPr>
          <w:rFonts w:hint="eastAsia" w:ascii="仿宋" w:hAnsi="仿宋" w:eastAsia="仿宋" w:cs="仿宋_GB2312"/>
          <w:kern w:val="0"/>
          <w:sz w:val="32"/>
          <w:szCs w:val="32"/>
        </w:rPr>
        <w:t>乡</w:t>
      </w:r>
      <w:r>
        <w:rPr>
          <w:rFonts w:ascii="仿宋" w:hAnsi="仿宋" w:eastAsia="仿宋" w:cs="仿宋_GB2312"/>
          <w:kern w:val="0"/>
          <w:sz w:val="32"/>
          <w:szCs w:val="32"/>
        </w:rPr>
        <w:t>政府采购事项为</w:t>
      </w:r>
      <w:r>
        <w:rPr>
          <w:rFonts w:hint="eastAsia" w:ascii="仿宋" w:hAnsi="仿宋" w:eastAsia="仿宋" w:cs="仿宋_GB2312"/>
          <w:kern w:val="0"/>
          <w:sz w:val="32"/>
          <w:szCs w:val="32"/>
        </w:rPr>
        <w:t>11.6万元，</w:t>
      </w:r>
      <w:r>
        <w:rPr>
          <w:rFonts w:ascii="仿宋" w:hAnsi="仿宋" w:eastAsia="仿宋" w:cs="仿宋_GB2312"/>
          <w:kern w:val="0"/>
          <w:sz w:val="32"/>
          <w:szCs w:val="32"/>
        </w:rPr>
        <w:t>本年拟用于政府采购微机等办公设备</w:t>
      </w:r>
      <w:r>
        <w:rPr>
          <w:rFonts w:hint="eastAsia" w:ascii="仿宋" w:hAnsi="仿宋" w:eastAsia="仿宋" w:cs="仿宋_GB2312"/>
          <w:kern w:val="0"/>
          <w:sz w:val="32"/>
          <w:szCs w:val="32"/>
        </w:rPr>
        <w:t>11.6</w:t>
      </w:r>
      <w:r>
        <w:rPr>
          <w:rFonts w:ascii="仿宋" w:hAnsi="仿宋" w:eastAsia="仿宋" w:cs="仿宋_GB2312"/>
          <w:kern w:val="0"/>
          <w:sz w:val="32"/>
          <w:szCs w:val="32"/>
        </w:rPr>
        <w:t>万元。</w:t>
      </w:r>
    </w:p>
    <w:p>
      <w:pPr>
        <w:widowControl/>
        <w:spacing w:line="360" w:lineRule="auto"/>
        <w:ind w:firstLine="640" w:firstLineChars="200"/>
        <w:jc w:val="left"/>
        <w:rPr>
          <w:rFonts w:ascii="黑体" w:hAnsi="黑体" w:eastAsia="黑体" w:cs="黑体"/>
          <w:kern w:val="0"/>
          <w:sz w:val="32"/>
          <w:szCs w:val="32"/>
        </w:rPr>
      </w:pPr>
    </w:p>
    <w:tbl>
      <w:tblPr>
        <w:tblStyle w:val="6"/>
        <w:tblW w:w="1400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53"/>
        <w:gridCol w:w="709"/>
        <w:gridCol w:w="1984"/>
        <w:gridCol w:w="851"/>
        <w:gridCol w:w="708"/>
        <w:gridCol w:w="844"/>
        <w:gridCol w:w="857"/>
        <w:gridCol w:w="851"/>
        <w:gridCol w:w="850"/>
        <w:gridCol w:w="851"/>
        <w:gridCol w:w="709"/>
        <w:gridCol w:w="850"/>
        <w:gridCol w:w="851"/>
        <w:gridCol w:w="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106" w:type="dxa"/>
            <w:gridSpan w:val="7"/>
            <w:tcBorders>
              <w:top w:val="single" w:color="FFFFFF" w:sz="6" w:space="0"/>
              <w:left w:val="single" w:color="FFFFFF" w:sz="6" w:space="0"/>
              <w:right w:val="single" w:color="FFFFFF" w:sz="6" w:space="0"/>
            </w:tcBorders>
            <w:vAlign w:val="center"/>
          </w:tcPr>
          <w:p>
            <w:pPr>
              <w:spacing w:line="560" w:lineRule="exact"/>
              <w:jc w:val="center"/>
              <w:rPr>
                <w:rFonts w:ascii="仿宋" w:hAnsi="仿宋" w:eastAsia="仿宋" w:cs="Times New Roman"/>
              </w:rPr>
            </w:pPr>
            <w:r>
              <w:rPr>
                <w:rFonts w:hint="eastAsia" w:ascii="仿宋" w:hAnsi="仿宋" w:eastAsia="仿宋" w:cs="方正小标宋_GBK"/>
              </w:rPr>
              <w:t>部门（单位）名称：柏寺营乡人民政府</w:t>
            </w:r>
          </w:p>
        </w:tc>
        <w:tc>
          <w:tcPr>
            <w:tcW w:w="5895" w:type="dxa"/>
            <w:gridSpan w:val="7"/>
            <w:tcBorders>
              <w:top w:val="single" w:color="FFFFFF" w:sz="6" w:space="0"/>
              <w:left w:val="single" w:color="FFFFFF" w:sz="6" w:space="0"/>
              <w:right w:val="single" w:color="FFFFFF" w:sz="6" w:space="0"/>
            </w:tcBorders>
            <w:vAlign w:val="center"/>
          </w:tcPr>
          <w:p>
            <w:pPr>
              <w:spacing w:line="560" w:lineRule="exact"/>
              <w:jc w:val="center"/>
              <w:rPr>
                <w:rFonts w:ascii="仿宋" w:hAnsi="仿宋" w:eastAsia="仿宋" w:cs="Times New Roman"/>
                <w:sz w:val="24"/>
                <w:szCs w:val="24"/>
              </w:rPr>
            </w:pPr>
            <w:r>
              <w:rPr>
                <w:rFonts w:hint="eastAsia" w:ascii="仿宋" w:hAnsi="仿宋" w:eastAsia="仿宋" w:cs="方正书宋_GBK"/>
                <w:sz w:val="24"/>
                <w:szCs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862" w:type="dxa"/>
            <w:gridSpan w:val="2"/>
            <w:vAlign w:val="center"/>
          </w:tcPr>
          <w:p>
            <w:pPr>
              <w:spacing w:line="560" w:lineRule="exact"/>
              <w:jc w:val="center"/>
              <w:rPr>
                <w:rFonts w:ascii="宋体" w:hAnsi="宋体" w:eastAsia="宋体" w:cs="Times New Roman"/>
                <w:b/>
                <w:bCs/>
              </w:rPr>
            </w:pPr>
            <w:r>
              <w:rPr>
                <w:rFonts w:hint="eastAsia" w:ascii="宋体" w:hAnsi="宋体" w:eastAsia="宋体" w:cs="方正书宋_GBK"/>
                <w:b/>
                <w:bCs/>
              </w:rPr>
              <w:t>政府采购项目来源</w:t>
            </w:r>
          </w:p>
        </w:tc>
        <w:tc>
          <w:tcPr>
            <w:tcW w:w="1984" w:type="dxa"/>
            <w:vMerge w:val="restart"/>
            <w:vAlign w:val="center"/>
          </w:tcPr>
          <w:p>
            <w:pPr>
              <w:spacing w:line="560" w:lineRule="exact"/>
              <w:jc w:val="center"/>
              <w:rPr>
                <w:rFonts w:ascii="宋体" w:hAnsi="宋体" w:eastAsia="宋体" w:cs="Times New Roman"/>
                <w:b/>
                <w:bCs/>
              </w:rPr>
            </w:pPr>
            <w:r>
              <w:rPr>
                <w:rFonts w:hint="eastAsia" w:ascii="宋体" w:hAnsi="宋体" w:eastAsia="宋体" w:cs="方正书宋_GBK"/>
                <w:b/>
                <w:bCs/>
              </w:rPr>
              <w:t>采购物品名称</w:t>
            </w:r>
          </w:p>
        </w:tc>
        <w:tc>
          <w:tcPr>
            <w:tcW w:w="851" w:type="dxa"/>
            <w:vMerge w:val="restart"/>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政府采购目录序号</w:t>
            </w:r>
          </w:p>
        </w:tc>
        <w:tc>
          <w:tcPr>
            <w:tcW w:w="708" w:type="dxa"/>
            <w:vMerge w:val="restart"/>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数量单位</w:t>
            </w:r>
          </w:p>
        </w:tc>
        <w:tc>
          <w:tcPr>
            <w:tcW w:w="844" w:type="dxa"/>
            <w:vMerge w:val="restart"/>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数量</w:t>
            </w:r>
          </w:p>
        </w:tc>
        <w:tc>
          <w:tcPr>
            <w:tcW w:w="857" w:type="dxa"/>
            <w:vMerge w:val="restart"/>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单价</w:t>
            </w:r>
          </w:p>
        </w:tc>
        <w:tc>
          <w:tcPr>
            <w:tcW w:w="5895" w:type="dxa"/>
            <w:gridSpan w:val="7"/>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政府采购金额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153" w:type="dxa"/>
            <w:vMerge w:val="restart"/>
            <w:vAlign w:val="center"/>
          </w:tcPr>
          <w:p>
            <w:pPr>
              <w:spacing w:line="560" w:lineRule="exact"/>
              <w:jc w:val="center"/>
              <w:rPr>
                <w:rFonts w:ascii="宋体" w:hAnsi="宋体" w:eastAsia="宋体" w:cs="Times New Roman"/>
                <w:b/>
                <w:bCs/>
              </w:rPr>
            </w:pPr>
            <w:r>
              <w:rPr>
                <w:rFonts w:hint="eastAsia" w:ascii="宋体" w:hAnsi="宋体" w:eastAsia="宋体" w:cs="方正书宋_GBK"/>
                <w:b/>
                <w:bCs/>
              </w:rPr>
              <w:t>项目名称</w:t>
            </w:r>
          </w:p>
        </w:tc>
        <w:tc>
          <w:tcPr>
            <w:tcW w:w="709" w:type="dxa"/>
            <w:vMerge w:val="restart"/>
            <w:vAlign w:val="center"/>
          </w:tcPr>
          <w:p>
            <w:pPr>
              <w:spacing w:line="560" w:lineRule="exact"/>
              <w:jc w:val="center"/>
              <w:rPr>
                <w:rFonts w:ascii="宋体" w:hAnsi="宋体" w:eastAsia="宋体" w:cs="Times New Roman"/>
                <w:b/>
                <w:bCs/>
              </w:rPr>
            </w:pPr>
            <w:r>
              <w:rPr>
                <w:rFonts w:hint="eastAsia" w:ascii="宋体" w:hAnsi="宋体" w:eastAsia="宋体" w:cs="方正书宋_GBK"/>
                <w:b/>
                <w:bCs/>
              </w:rPr>
              <w:t>预算资金</w:t>
            </w:r>
          </w:p>
        </w:tc>
        <w:tc>
          <w:tcPr>
            <w:tcW w:w="1984" w:type="dxa"/>
            <w:vMerge w:val="continue"/>
            <w:vAlign w:val="center"/>
          </w:tcPr>
          <w:p>
            <w:pPr>
              <w:spacing w:line="560" w:lineRule="exact"/>
              <w:jc w:val="center"/>
              <w:outlineLvl w:val="0"/>
              <w:rPr>
                <w:rFonts w:ascii="宋体" w:hAnsi="宋体" w:eastAsia="宋体" w:cs="Times New Roman"/>
              </w:rPr>
            </w:pPr>
          </w:p>
        </w:tc>
        <w:tc>
          <w:tcPr>
            <w:tcW w:w="851" w:type="dxa"/>
            <w:vMerge w:val="continue"/>
            <w:vAlign w:val="center"/>
          </w:tcPr>
          <w:p>
            <w:pPr>
              <w:spacing w:line="280" w:lineRule="exact"/>
              <w:jc w:val="center"/>
              <w:outlineLvl w:val="0"/>
              <w:rPr>
                <w:rFonts w:ascii="宋体" w:hAnsi="宋体" w:eastAsia="宋体" w:cs="Times New Roman"/>
              </w:rPr>
            </w:pPr>
          </w:p>
        </w:tc>
        <w:tc>
          <w:tcPr>
            <w:tcW w:w="708" w:type="dxa"/>
            <w:vMerge w:val="continue"/>
            <w:vAlign w:val="center"/>
          </w:tcPr>
          <w:p>
            <w:pPr>
              <w:spacing w:line="280" w:lineRule="exact"/>
              <w:jc w:val="center"/>
              <w:outlineLvl w:val="0"/>
              <w:rPr>
                <w:rFonts w:ascii="宋体" w:hAnsi="宋体" w:eastAsia="宋体" w:cs="Times New Roman"/>
              </w:rPr>
            </w:pPr>
          </w:p>
        </w:tc>
        <w:tc>
          <w:tcPr>
            <w:tcW w:w="844" w:type="dxa"/>
            <w:vMerge w:val="continue"/>
            <w:vAlign w:val="center"/>
          </w:tcPr>
          <w:p>
            <w:pPr>
              <w:spacing w:line="280" w:lineRule="exact"/>
              <w:jc w:val="center"/>
              <w:outlineLvl w:val="0"/>
              <w:rPr>
                <w:rFonts w:ascii="宋体" w:hAnsi="宋体" w:eastAsia="宋体" w:cs="Times New Roman"/>
              </w:rPr>
            </w:pPr>
          </w:p>
        </w:tc>
        <w:tc>
          <w:tcPr>
            <w:tcW w:w="857" w:type="dxa"/>
            <w:vMerge w:val="continue"/>
            <w:vAlign w:val="center"/>
          </w:tcPr>
          <w:p>
            <w:pPr>
              <w:spacing w:line="280" w:lineRule="exact"/>
              <w:jc w:val="center"/>
              <w:outlineLvl w:val="0"/>
              <w:rPr>
                <w:rFonts w:ascii="宋体" w:hAnsi="宋体" w:eastAsia="宋体" w:cs="Times New Roman"/>
              </w:rPr>
            </w:pPr>
          </w:p>
        </w:tc>
        <w:tc>
          <w:tcPr>
            <w:tcW w:w="851" w:type="dxa"/>
            <w:vMerge w:val="restart"/>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总计</w:t>
            </w:r>
          </w:p>
        </w:tc>
        <w:tc>
          <w:tcPr>
            <w:tcW w:w="4111" w:type="dxa"/>
            <w:gridSpan w:val="5"/>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当年部门预算安排资金</w:t>
            </w:r>
          </w:p>
        </w:tc>
        <w:tc>
          <w:tcPr>
            <w:tcW w:w="933" w:type="dxa"/>
            <w:vMerge w:val="restart"/>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其他渠道资金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2153" w:type="dxa"/>
            <w:vMerge w:val="continue"/>
            <w:vAlign w:val="center"/>
          </w:tcPr>
          <w:p>
            <w:pPr>
              <w:spacing w:line="560" w:lineRule="exact"/>
              <w:jc w:val="center"/>
              <w:outlineLvl w:val="0"/>
              <w:rPr>
                <w:rFonts w:ascii="宋体" w:hAnsi="宋体" w:eastAsia="宋体" w:cs="Times New Roman"/>
              </w:rPr>
            </w:pPr>
          </w:p>
        </w:tc>
        <w:tc>
          <w:tcPr>
            <w:tcW w:w="709" w:type="dxa"/>
            <w:vMerge w:val="continue"/>
            <w:vAlign w:val="center"/>
          </w:tcPr>
          <w:p>
            <w:pPr>
              <w:spacing w:line="560" w:lineRule="exact"/>
              <w:jc w:val="center"/>
              <w:outlineLvl w:val="0"/>
              <w:rPr>
                <w:rFonts w:ascii="宋体" w:hAnsi="宋体" w:eastAsia="宋体" w:cs="Times New Roman"/>
              </w:rPr>
            </w:pPr>
          </w:p>
        </w:tc>
        <w:tc>
          <w:tcPr>
            <w:tcW w:w="1984" w:type="dxa"/>
            <w:vMerge w:val="continue"/>
            <w:vAlign w:val="center"/>
          </w:tcPr>
          <w:p>
            <w:pPr>
              <w:spacing w:line="560" w:lineRule="exact"/>
              <w:jc w:val="center"/>
              <w:outlineLvl w:val="0"/>
              <w:rPr>
                <w:rFonts w:ascii="宋体" w:hAnsi="宋体" w:eastAsia="宋体" w:cs="Times New Roman"/>
              </w:rPr>
            </w:pPr>
          </w:p>
        </w:tc>
        <w:tc>
          <w:tcPr>
            <w:tcW w:w="851" w:type="dxa"/>
            <w:vMerge w:val="continue"/>
            <w:vAlign w:val="center"/>
          </w:tcPr>
          <w:p>
            <w:pPr>
              <w:spacing w:line="280" w:lineRule="exact"/>
              <w:jc w:val="center"/>
              <w:outlineLvl w:val="0"/>
              <w:rPr>
                <w:rFonts w:ascii="宋体" w:hAnsi="宋体" w:eastAsia="宋体" w:cs="Times New Roman"/>
              </w:rPr>
            </w:pPr>
          </w:p>
        </w:tc>
        <w:tc>
          <w:tcPr>
            <w:tcW w:w="708" w:type="dxa"/>
            <w:vMerge w:val="continue"/>
            <w:vAlign w:val="center"/>
          </w:tcPr>
          <w:p>
            <w:pPr>
              <w:spacing w:line="280" w:lineRule="exact"/>
              <w:jc w:val="center"/>
              <w:outlineLvl w:val="0"/>
              <w:rPr>
                <w:rFonts w:ascii="宋体" w:hAnsi="宋体" w:eastAsia="宋体" w:cs="Times New Roman"/>
              </w:rPr>
            </w:pPr>
          </w:p>
        </w:tc>
        <w:tc>
          <w:tcPr>
            <w:tcW w:w="844" w:type="dxa"/>
            <w:vMerge w:val="continue"/>
            <w:vAlign w:val="center"/>
          </w:tcPr>
          <w:p>
            <w:pPr>
              <w:spacing w:line="280" w:lineRule="exact"/>
              <w:jc w:val="center"/>
              <w:outlineLvl w:val="0"/>
              <w:rPr>
                <w:rFonts w:ascii="宋体" w:hAnsi="宋体" w:eastAsia="宋体" w:cs="Times New Roman"/>
              </w:rPr>
            </w:pPr>
          </w:p>
        </w:tc>
        <w:tc>
          <w:tcPr>
            <w:tcW w:w="857" w:type="dxa"/>
            <w:vMerge w:val="continue"/>
            <w:vAlign w:val="center"/>
          </w:tcPr>
          <w:p>
            <w:pPr>
              <w:spacing w:line="280" w:lineRule="exact"/>
              <w:jc w:val="center"/>
              <w:outlineLvl w:val="0"/>
              <w:rPr>
                <w:rFonts w:ascii="宋体" w:hAnsi="宋体" w:eastAsia="宋体" w:cs="Times New Roman"/>
              </w:rPr>
            </w:pPr>
          </w:p>
        </w:tc>
        <w:tc>
          <w:tcPr>
            <w:tcW w:w="851" w:type="dxa"/>
            <w:vMerge w:val="continue"/>
            <w:vAlign w:val="center"/>
          </w:tcPr>
          <w:p>
            <w:pPr>
              <w:spacing w:line="280" w:lineRule="exact"/>
              <w:jc w:val="center"/>
              <w:outlineLvl w:val="0"/>
              <w:rPr>
                <w:rFonts w:ascii="宋体" w:hAnsi="宋体" w:eastAsia="宋体" w:cs="Times New Roman"/>
              </w:rPr>
            </w:pPr>
          </w:p>
        </w:tc>
        <w:tc>
          <w:tcPr>
            <w:tcW w:w="850" w:type="dxa"/>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合计</w:t>
            </w:r>
          </w:p>
        </w:tc>
        <w:tc>
          <w:tcPr>
            <w:tcW w:w="851" w:type="dxa"/>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一般公共预算拨款</w:t>
            </w:r>
          </w:p>
        </w:tc>
        <w:tc>
          <w:tcPr>
            <w:tcW w:w="709" w:type="dxa"/>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基金预算拨款</w:t>
            </w:r>
          </w:p>
        </w:tc>
        <w:tc>
          <w:tcPr>
            <w:tcW w:w="850" w:type="dxa"/>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财政专户核拨</w:t>
            </w:r>
          </w:p>
        </w:tc>
        <w:tc>
          <w:tcPr>
            <w:tcW w:w="851" w:type="dxa"/>
            <w:vAlign w:val="center"/>
          </w:tcPr>
          <w:p>
            <w:pPr>
              <w:spacing w:line="280" w:lineRule="exact"/>
              <w:jc w:val="center"/>
              <w:rPr>
                <w:rFonts w:ascii="宋体" w:hAnsi="宋体" w:eastAsia="宋体" w:cs="Times New Roman"/>
                <w:b/>
                <w:bCs/>
              </w:rPr>
            </w:pPr>
            <w:r>
              <w:rPr>
                <w:rFonts w:hint="eastAsia" w:ascii="宋体" w:hAnsi="宋体" w:eastAsia="宋体" w:cs="方正书宋_GBK"/>
                <w:b/>
                <w:bCs/>
              </w:rPr>
              <w:t>其他来源收入</w:t>
            </w:r>
          </w:p>
        </w:tc>
        <w:tc>
          <w:tcPr>
            <w:tcW w:w="933" w:type="dxa"/>
            <w:vMerge w:val="continue"/>
            <w:vAlign w:val="center"/>
          </w:tcPr>
          <w:p>
            <w:pPr>
              <w:spacing w:line="560" w:lineRule="exact"/>
              <w:jc w:val="center"/>
              <w:outlineLvl w:val="0"/>
              <w:rPr>
                <w:rFonts w:ascii="宋体" w:hAnsi="宋体" w:eastAsia="宋体"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3" w:type="dxa"/>
            <w:vAlign w:val="center"/>
          </w:tcPr>
          <w:p>
            <w:pPr>
              <w:jc w:val="center"/>
              <w:rPr>
                <w:rFonts w:hint="eastAsia" w:eastAsiaTheme="minorEastAsia"/>
                <w:color w:val="000000"/>
                <w:sz w:val="18"/>
                <w:szCs w:val="18"/>
                <w:lang w:eastAsia="zh-CN"/>
              </w:rPr>
            </w:pPr>
            <w:r>
              <w:rPr>
                <w:rFonts w:hint="eastAsia"/>
                <w:color w:val="000000"/>
                <w:sz w:val="18"/>
                <w:szCs w:val="18"/>
                <w:lang w:eastAsia="zh-CN"/>
              </w:rPr>
              <w:t>合计</w:t>
            </w:r>
          </w:p>
        </w:tc>
        <w:tc>
          <w:tcPr>
            <w:tcW w:w="709" w:type="dxa"/>
            <w:vAlign w:val="center"/>
          </w:tcPr>
          <w:p>
            <w:pPr>
              <w:spacing w:line="560" w:lineRule="exact"/>
              <w:jc w:val="center"/>
              <w:rPr>
                <w:rFonts w:hint="eastAsia" w:ascii="宋体" w:hAnsi="宋体" w:eastAsia="宋体" w:cs="Times New Roman"/>
              </w:rPr>
            </w:pPr>
          </w:p>
        </w:tc>
        <w:tc>
          <w:tcPr>
            <w:tcW w:w="1984" w:type="dxa"/>
            <w:vAlign w:val="center"/>
          </w:tcPr>
          <w:p>
            <w:pPr>
              <w:jc w:val="center"/>
              <w:rPr>
                <w:rFonts w:hint="eastAsia"/>
                <w:color w:val="000000"/>
                <w:sz w:val="18"/>
                <w:szCs w:val="18"/>
              </w:rPr>
            </w:pPr>
          </w:p>
        </w:tc>
        <w:tc>
          <w:tcPr>
            <w:tcW w:w="851" w:type="dxa"/>
            <w:vAlign w:val="center"/>
          </w:tcPr>
          <w:p>
            <w:pPr>
              <w:spacing w:line="560" w:lineRule="exact"/>
              <w:jc w:val="center"/>
              <w:rPr>
                <w:rFonts w:ascii="宋体" w:hAnsi="宋体" w:eastAsia="宋体" w:cs="Times New Roman"/>
              </w:rPr>
            </w:pPr>
          </w:p>
        </w:tc>
        <w:tc>
          <w:tcPr>
            <w:tcW w:w="708" w:type="dxa"/>
            <w:vAlign w:val="center"/>
          </w:tcPr>
          <w:p>
            <w:pPr>
              <w:spacing w:line="560" w:lineRule="exact"/>
              <w:jc w:val="center"/>
              <w:rPr>
                <w:rFonts w:hint="eastAsia" w:ascii="宋体" w:hAnsi="宋体" w:eastAsia="宋体" w:cs="Times New Roman"/>
              </w:rPr>
            </w:pPr>
          </w:p>
        </w:tc>
        <w:tc>
          <w:tcPr>
            <w:tcW w:w="844" w:type="dxa"/>
            <w:vAlign w:val="center"/>
          </w:tcPr>
          <w:p>
            <w:pPr>
              <w:spacing w:line="560" w:lineRule="exact"/>
              <w:jc w:val="center"/>
              <w:rPr>
                <w:rFonts w:hint="eastAsia" w:ascii="宋体" w:hAnsi="宋体" w:eastAsia="宋体" w:cs="Times New Roman"/>
              </w:rPr>
            </w:pPr>
          </w:p>
        </w:tc>
        <w:tc>
          <w:tcPr>
            <w:tcW w:w="857" w:type="dxa"/>
            <w:vAlign w:val="center"/>
          </w:tcPr>
          <w:p>
            <w:pPr>
              <w:spacing w:line="560" w:lineRule="exact"/>
              <w:jc w:val="center"/>
              <w:rPr>
                <w:rFonts w:hint="eastAsia" w:ascii="宋体" w:hAnsi="宋体" w:eastAsia="宋体" w:cs="Times New Roman"/>
              </w:rPr>
            </w:pPr>
          </w:p>
        </w:tc>
        <w:tc>
          <w:tcPr>
            <w:tcW w:w="851" w:type="dxa"/>
            <w:vAlign w:val="center"/>
          </w:tcPr>
          <w:p>
            <w:pPr>
              <w:spacing w:line="560" w:lineRule="exact"/>
              <w:jc w:val="center"/>
              <w:rPr>
                <w:rFonts w:hint="default" w:ascii="宋体" w:hAnsi="宋体" w:eastAsia="宋体" w:cs="Times New Roman"/>
                <w:lang w:val="en-US" w:eastAsia="zh-CN"/>
              </w:rPr>
            </w:pPr>
            <w:r>
              <w:rPr>
                <w:rFonts w:hint="eastAsia" w:ascii="宋体" w:hAnsi="宋体" w:eastAsia="宋体" w:cs="Times New Roman"/>
                <w:lang w:val="en-US" w:eastAsia="zh-CN"/>
              </w:rPr>
              <w:t>11.6</w:t>
            </w:r>
          </w:p>
        </w:tc>
        <w:tc>
          <w:tcPr>
            <w:tcW w:w="850" w:type="dxa"/>
            <w:vAlign w:val="center"/>
          </w:tcPr>
          <w:p>
            <w:pPr>
              <w:spacing w:line="560" w:lineRule="exact"/>
              <w:jc w:val="center"/>
              <w:rPr>
                <w:rFonts w:hint="default" w:ascii="宋体" w:hAnsi="宋体" w:eastAsia="宋体" w:cs="Times New Roman"/>
                <w:lang w:val="en-US" w:eastAsia="zh-CN"/>
              </w:rPr>
            </w:pPr>
            <w:r>
              <w:rPr>
                <w:rFonts w:hint="eastAsia" w:ascii="宋体" w:hAnsi="宋体" w:eastAsia="宋体" w:cs="Times New Roman"/>
                <w:lang w:val="en-US" w:eastAsia="zh-CN"/>
              </w:rPr>
              <w:t>11.6</w:t>
            </w:r>
          </w:p>
        </w:tc>
        <w:tc>
          <w:tcPr>
            <w:tcW w:w="851" w:type="dxa"/>
            <w:vAlign w:val="center"/>
          </w:tcPr>
          <w:p>
            <w:pPr>
              <w:spacing w:line="560" w:lineRule="exact"/>
              <w:jc w:val="center"/>
              <w:rPr>
                <w:rFonts w:hint="default" w:ascii="宋体" w:hAnsi="宋体" w:eastAsia="宋体" w:cs="Times New Roman"/>
                <w:lang w:val="en-US" w:eastAsia="zh-CN"/>
              </w:rPr>
            </w:pPr>
            <w:r>
              <w:rPr>
                <w:rFonts w:hint="eastAsia" w:ascii="宋体" w:hAnsi="宋体" w:eastAsia="宋体" w:cs="Times New Roman"/>
                <w:lang w:val="en-US" w:eastAsia="zh-CN"/>
              </w:rPr>
              <w:t>11.6</w:t>
            </w:r>
          </w:p>
        </w:tc>
        <w:tc>
          <w:tcPr>
            <w:tcW w:w="709" w:type="dxa"/>
            <w:vAlign w:val="center"/>
          </w:tcPr>
          <w:p>
            <w:pPr>
              <w:spacing w:line="560" w:lineRule="exact"/>
              <w:jc w:val="center"/>
              <w:rPr>
                <w:rFonts w:ascii="宋体" w:hAnsi="宋体" w:eastAsia="宋体" w:cs="Times New Roman"/>
              </w:rPr>
            </w:pPr>
          </w:p>
        </w:tc>
        <w:tc>
          <w:tcPr>
            <w:tcW w:w="850" w:type="dxa"/>
            <w:vAlign w:val="center"/>
          </w:tcPr>
          <w:p>
            <w:pPr>
              <w:spacing w:line="560" w:lineRule="exact"/>
              <w:jc w:val="center"/>
              <w:rPr>
                <w:rFonts w:ascii="宋体" w:hAnsi="宋体" w:eastAsia="宋体" w:cs="Times New Roman"/>
              </w:rPr>
            </w:pPr>
          </w:p>
        </w:tc>
        <w:tc>
          <w:tcPr>
            <w:tcW w:w="851" w:type="dxa"/>
            <w:vAlign w:val="center"/>
          </w:tcPr>
          <w:p>
            <w:pPr>
              <w:spacing w:line="560" w:lineRule="exact"/>
              <w:jc w:val="center"/>
              <w:rPr>
                <w:rFonts w:ascii="宋体" w:hAnsi="宋体" w:eastAsia="宋体" w:cs="Times New Roman"/>
              </w:rPr>
            </w:pPr>
          </w:p>
        </w:tc>
        <w:tc>
          <w:tcPr>
            <w:tcW w:w="933" w:type="dxa"/>
            <w:vAlign w:val="center"/>
          </w:tcPr>
          <w:p>
            <w:pPr>
              <w:spacing w:line="560" w:lineRule="exact"/>
              <w:jc w:val="center"/>
              <w:rPr>
                <w:rFonts w:ascii="宋体" w:hAnsi="宋体" w:eastAsia="宋体"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3" w:type="dxa"/>
            <w:vAlign w:val="top"/>
          </w:tcPr>
          <w:p>
            <w:pPr>
              <w:rPr>
                <w:rFonts w:ascii="宋体" w:hAnsi="宋体" w:eastAsia="宋体" w:cs="宋体"/>
                <w:color w:val="000000"/>
                <w:sz w:val="18"/>
                <w:szCs w:val="18"/>
              </w:rPr>
            </w:pPr>
            <w:r>
              <w:rPr>
                <w:rFonts w:hint="eastAsia" w:eastAsia="宋体"/>
                <w:color w:val="000000"/>
                <w:sz w:val="18"/>
                <w:szCs w:val="18"/>
                <w:highlight w:val="yellow"/>
                <w:lang w:eastAsia="zh-CN"/>
              </w:rPr>
              <w:t>日常公用经费</w:t>
            </w:r>
          </w:p>
        </w:tc>
        <w:tc>
          <w:tcPr>
            <w:tcW w:w="709" w:type="dxa"/>
            <w:vAlign w:val="center"/>
          </w:tcPr>
          <w:p>
            <w:pPr>
              <w:spacing w:line="560" w:lineRule="exact"/>
              <w:jc w:val="center"/>
              <w:rPr>
                <w:rFonts w:ascii="宋体" w:hAnsi="宋体" w:eastAsia="宋体" w:cs="Times New Roman"/>
              </w:rPr>
            </w:pPr>
            <w:r>
              <w:rPr>
                <w:rFonts w:hint="eastAsia" w:ascii="宋体" w:hAnsi="宋体" w:eastAsia="宋体" w:cs="Times New Roman"/>
              </w:rPr>
              <w:t>2</w:t>
            </w:r>
          </w:p>
        </w:tc>
        <w:tc>
          <w:tcPr>
            <w:tcW w:w="1984" w:type="dxa"/>
            <w:vAlign w:val="center"/>
          </w:tcPr>
          <w:p>
            <w:pPr>
              <w:jc w:val="center"/>
              <w:rPr>
                <w:rFonts w:ascii="宋体" w:hAnsi="宋体" w:eastAsia="宋体" w:cs="宋体"/>
                <w:color w:val="000000"/>
                <w:sz w:val="18"/>
                <w:szCs w:val="18"/>
              </w:rPr>
            </w:pPr>
            <w:r>
              <w:rPr>
                <w:rFonts w:hint="eastAsia"/>
                <w:color w:val="000000"/>
                <w:sz w:val="18"/>
                <w:szCs w:val="18"/>
              </w:rPr>
              <w:t>A</w:t>
            </w:r>
            <w:r>
              <w:rPr>
                <w:rStyle w:val="11"/>
                <w:rFonts w:hint="default"/>
              </w:rPr>
              <w:t>02010104台式计算机</w:t>
            </w:r>
          </w:p>
        </w:tc>
        <w:tc>
          <w:tcPr>
            <w:tcW w:w="851" w:type="dxa"/>
            <w:vAlign w:val="center"/>
          </w:tcPr>
          <w:p>
            <w:pPr>
              <w:spacing w:line="560" w:lineRule="exact"/>
              <w:jc w:val="left"/>
              <w:rPr>
                <w:rFonts w:ascii="宋体" w:hAnsi="宋体" w:eastAsia="宋体" w:cs="Times New Roman"/>
              </w:rPr>
            </w:pPr>
            <w:r>
              <w:rPr>
                <w:rFonts w:hint="eastAsia" w:ascii="宋体" w:hAnsi="宋体" w:eastAsia="宋体" w:cs="Times New Roman"/>
                <w:sz w:val="18"/>
                <w:szCs w:val="18"/>
                <w:highlight w:val="yellow"/>
                <w:lang w:val="en-US" w:eastAsia="zh-CN"/>
              </w:rPr>
              <w:t>A02010104</w:t>
            </w:r>
          </w:p>
        </w:tc>
        <w:tc>
          <w:tcPr>
            <w:tcW w:w="708" w:type="dxa"/>
            <w:vAlign w:val="center"/>
          </w:tcPr>
          <w:p>
            <w:pPr>
              <w:spacing w:line="560" w:lineRule="exact"/>
              <w:jc w:val="center"/>
              <w:rPr>
                <w:rFonts w:ascii="宋体" w:hAnsi="宋体" w:eastAsia="宋体" w:cs="Times New Roman"/>
              </w:rPr>
            </w:pPr>
            <w:r>
              <w:rPr>
                <w:rFonts w:hint="eastAsia" w:ascii="宋体" w:hAnsi="宋体" w:eastAsia="宋体" w:cs="Times New Roman"/>
              </w:rPr>
              <w:t>台</w:t>
            </w:r>
          </w:p>
        </w:tc>
        <w:tc>
          <w:tcPr>
            <w:tcW w:w="844" w:type="dxa"/>
            <w:vAlign w:val="center"/>
          </w:tcPr>
          <w:p>
            <w:pPr>
              <w:spacing w:line="560" w:lineRule="exact"/>
              <w:jc w:val="center"/>
              <w:rPr>
                <w:rFonts w:ascii="宋体" w:hAnsi="宋体" w:eastAsia="宋体" w:cs="Times New Roman"/>
              </w:rPr>
            </w:pPr>
            <w:r>
              <w:rPr>
                <w:rFonts w:hint="eastAsia" w:ascii="宋体" w:hAnsi="宋体" w:eastAsia="宋体" w:cs="Times New Roman"/>
              </w:rPr>
              <w:t>5</w:t>
            </w:r>
          </w:p>
        </w:tc>
        <w:tc>
          <w:tcPr>
            <w:tcW w:w="857" w:type="dxa"/>
            <w:vAlign w:val="center"/>
          </w:tcPr>
          <w:p>
            <w:pPr>
              <w:spacing w:line="560" w:lineRule="exact"/>
              <w:jc w:val="center"/>
              <w:rPr>
                <w:rFonts w:ascii="宋体" w:hAnsi="宋体" w:eastAsia="宋体" w:cs="Times New Roman"/>
              </w:rPr>
            </w:pPr>
            <w:r>
              <w:rPr>
                <w:rFonts w:hint="eastAsia" w:ascii="宋体" w:hAnsi="宋体" w:eastAsia="宋体" w:cs="Times New Roman"/>
              </w:rPr>
              <w:t>0.4</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2</w:t>
            </w:r>
          </w:p>
        </w:tc>
        <w:tc>
          <w:tcPr>
            <w:tcW w:w="850" w:type="dxa"/>
            <w:vAlign w:val="center"/>
          </w:tcPr>
          <w:p>
            <w:pPr>
              <w:spacing w:line="560" w:lineRule="exact"/>
              <w:jc w:val="center"/>
              <w:rPr>
                <w:rFonts w:ascii="宋体" w:hAnsi="宋体" w:eastAsia="宋体" w:cs="Times New Roman"/>
              </w:rPr>
            </w:pPr>
            <w:r>
              <w:rPr>
                <w:rFonts w:hint="eastAsia" w:ascii="宋体" w:hAnsi="宋体" w:eastAsia="宋体" w:cs="Times New Roman"/>
              </w:rPr>
              <w:t>2</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2</w:t>
            </w:r>
          </w:p>
        </w:tc>
        <w:tc>
          <w:tcPr>
            <w:tcW w:w="709" w:type="dxa"/>
            <w:vAlign w:val="center"/>
          </w:tcPr>
          <w:p>
            <w:pPr>
              <w:spacing w:line="560" w:lineRule="exact"/>
              <w:jc w:val="center"/>
              <w:rPr>
                <w:rFonts w:ascii="宋体" w:hAnsi="宋体" w:eastAsia="宋体" w:cs="Times New Roman"/>
              </w:rPr>
            </w:pPr>
          </w:p>
        </w:tc>
        <w:tc>
          <w:tcPr>
            <w:tcW w:w="850" w:type="dxa"/>
            <w:vAlign w:val="center"/>
          </w:tcPr>
          <w:p>
            <w:pPr>
              <w:spacing w:line="560" w:lineRule="exact"/>
              <w:jc w:val="center"/>
              <w:rPr>
                <w:rFonts w:ascii="宋体" w:hAnsi="宋体" w:eastAsia="宋体" w:cs="Times New Roman"/>
              </w:rPr>
            </w:pPr>
          </w:p>
        </w:tc>
        <w:tc>
          <w:tcPr>
            <w:tcW w:w="851" w:type="dxa"/>
            <w:vAlign w:val="center"/>
          </w:tcPr>
          <w:p>
            <w:pPr>
              <w:spacing w:line="560" w:lineRule="exact"/>
              <w:jc w:val="center"/>
              <w:rPr>
                <w:rFonts w:ascii="宋体" w:hAnsi="宋体" w:eastAsia="宋体" w:cs="Times New Roman"/>
              </w:rPr>
            </w:pPr>
          </w:p>
        </w:tc>
        <w:tc>
          <w:tcPr>
            <w:tcW w:w="933" w:type="dxa"/>
            <w:vAlign w:val="center"/>
          </w:tcPr>
          <w:p>
            <w:pPr>
              <w:spacing w:line="560" w:lineRule="exact"/>
              <w:jc w:val="center"/>
              <w:rPr>
                <w:rFonts w:ascii="宋体" w:hAnsi="宋体" w:eastAsia="宋体"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3" w:type="dxa"/>
            <w:vAlign w:val="top"/>
          </w:tcPr>
          <w:p>
            <w:pPr>
              <w:rPr>
                <w:rFonts w:ascii="宋体" w:hAnsi="宋体" w:eastAsia="宋体" w:cs="宋体"/>
                <w:color w:val="000000"/>
                <w:sz w:val="18"/>
                <w:szCs w:val="18"/>
              </w:rPr>
            </w:pPr>
            <w:r>
              <w:rPr>
                <w:rFonts w:hint="eastAsia" w:eastAsia="宋体"/>
                <w:color w:val="000000"/>
                <w:sz w:val="18"/>
                <w:szCs w:val="18"/>
                <w:highlight w:val="yellow"/>
                <w:lang w:eastAsia="zh-CN"/>
              </w:rPr>
              <w:t>日常公用经费</w:t>
            </w:r>
          </w:p>
        </w:tc>
        <w:tc>
          <w:tcPr>
            <w:tcW w:w="709" w:type="dxa"/>
            <w:vAlign w:val="center"/>
          </w:tcPr>
          <w:p>
            <w:pPr>
              <w:spacing w:line="560" w:lineRule="exact"/>
              <w:jc w:val="center"/>
              <w:rPr>
                <w:rFonts w:ascii="宋体" w:hAnsi="宋体" w:eastAsia="宋体" w:cs="Times New Roman"/>
              </w:rPr>
            </w:pPr>
            <w:r>
              <w:rPr>
                <w:rFonts w:hint="eastAsia" w:ascii="宋体" w:hAnsi="宋体" w:eastAsia="宋体" w:cs="Times New Roman"/>
              </w:rPr>
              <w:t>1</w:t>
            </w:r>
          </w:p>
        </w:tc>
        <w:tc>
          <w:tcPr>
            <w:tcW w:w="1984" w:type="dxa"/>
            <w:vAlign w:val="center"/>
          </w:tcPr>
          <w:p>
            <w:pPr>
              <w:jc w:val="center"/>
              <w:rPr>
                <w:rFonts w:ascii="宋体" w:hAnsi="宋体" w:eastAsia="宋体" w:cs="宋体"/>
                <w:color w:val="000000"/>
                <w:sz w:val="18"/>
                <w:szCs w:val="18"/>
              </w:rPr>
            </w:pPr>
            <w:r>
              <w:rPr>
                <w:rFonts w:hint="eastAsia"/>
                <w:color w:val="000000"/>
                <w:sz w:val="18"/>
                <w:szCs w:val="18"/>
              </w:rPr>
              <w:t>复印机</w:t>
            </w:r>
          </w:p>
        </w:tc>
        <w:tc>
          <w:tcPr>
            <w:tcW w:w="851" w:type="dxa"/>
            <w:vAlign w:val="center"/>
          </w:tcPr>
          <w:p>
            <w:pPr>
              <w:spacing w:line="560" w:lineRule="exact"/>
              <w:jc w:val="left"/>
              <w:rPr>
                <w:rFonts w:ascii="宋体" w:hAnsi="宋体" w:eastAsia="宋体" w:cs="Times New Roman"/>
              </w:rPr>
            </w:pPr>
            <w:r>
              <w:rPr>
                <w:rFonts w:hint="eastAsia" w:ascii="宋体" w:hAnsi="宋体" w:eastAsia="宋体" w:cs="Times New Roman"/>
                <w:sz w:val="18"/>
                <w:szCs w:val="18"/>
                <w:lang w:val="en-US" w:eastAsia="zh-CN"/>
              </w:rPr>
              <w:t>A020201</w:t>
            </w:r>
          </w:p>
        </w:tc>
        <w:tc>
          <w:tcPr>
            <w:tcW w:w="708" w:type="dxa"/>
            <w:vAlign w:val="center"/>
          </w:tcPr>
          <w:p>
            <w:pPr>
              <w:spacing w:line="560" w:lineRule="exact"/>
              <w:jc w:val="center"/>
              <w:rPr>
                <w:rFonts w:ascii="宋体" w:hAnsi="宋体" w:eastAsia="宋体" w:cs="Times New Roman"/>
              </w:rPr>
            </w:pPr>
            <w:r>
              <w:rPr>
                <w:rFonts w:hint="eastAsia" w:ascii="宋体" w:hAnsi="宋体" w:eastAsia="宋体" w:cs="Times New Roman"/>
              </w:rPr>
              <w:t>台</w:t>
            </w:r>
          </w:p>
        </w:tc>
        <w:tc>
          <w:tcPr>
            <w:tcW w:w="844" w:type="dxa"/>
            <w:vAlign w:val="center"/>
          </w:tcPr>
          <w:p>
            <w:pPr>
              <w:spacing w:line="560" w:lineRule="exact"/>
              <w:jc w:val="center"/>
              <w:rPr>
                <w:rFonts w:ascii="宋体" w:hAnsi="宋体" w:eastAsia="宋体" w:cs="Times New Roman"/>
              </w:rPr>
            </w:pPr>
            <w:r>
              <w:rPr>
                <w:rFonts w:hint="eastAsia" w:ascii="宋体" w:hAnsi="宋体" w:eastAsia="宋体" w:cs="Times New Roman"/>
              </w:rPr>
              <w:t>2</w:t>
            </w:r>
          </w:p>
        </w:tc>
        <w:tc>
          <w:tcPr>
            <w:tcW w:w="857" w:type="dxa"/>
            <w:vAlign w:val="center"/>
          </w:tcPr>
          <w:p>
            <w:pPr>
              <w:spacing w:line="560" w:lineRule="exact"/>
              <w:jc w:val="center"/>
              <w:rPr>
                <w:rFonts w:ascii="宋体" w:hAnsi="宋体" w:eastAsia="宋体" w:cs="Times New Roman"/>
              </w:rPr>
            </w:pPr>
            <w:r>
              <w:rPr>
                <w:rFonts w:hint="eastAsia" w:ascii="宋体" w:hAnsi="宋体" w:eastAsia="宋体" w:cs="Times New Roman"/>
              </w:rPr>
              <w:t>0.5</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1</w:t>
            </w:r>
          </w:p>
        </w:tc>
        <w:tc>
          <w:tcPr>
            <w:tcW w:w="850" w:type="dxa"/>
            <w:vAlign w:val="center"/>
          </w:tcPr>
          <w:p>
            <w:pPr>
              <w:spacing w:line="560" w:lineRule="exact"/>
              <w:jc w:val="center"/>
              <w:rPr>
                <w:rFonts w:ascii="宋体" w:hAnsi="宋体" w:eastAsia="宋体" w:cs="Times New Roman"/>
              </w:rPr>
            </w:pPr>
            <w:r>
              <w:rPr>
                <w:rFonts w:hint="eastAsia" w:ascii="宋体" w:hAnsi="宋体" w:eastAsia="宋体" w:cs="Times New Roman"/>
              </w:rPr>
              <w:t>1</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1</w:t>
            </w:r>
          </w:p>
        </w:tc>
        <w:tc>
          <w:tcPr>
            <w:tcW w:w="709" w:type="dxa"/>
            <w:vAlign w:val="center"/>
          </w:tcPr>
          <w:p>
            <w:pPr>
              <w:spacing w:line="560" w:lineRule="exact"/>
              <w:jc w:val="center"/>
              <w:rPr>
                <w:rFonts w:ascii="宋体" w:hAnsi="宋体" w:eastAsia="宋体" w:cs="Times New Roman"/>
              </w:rPr>
            </w:pPr>
          </w:p>
        </w:tc>
        <w:tc>
          <w:tcPr>
            <w:tcW w:w="850" w:type="dxa"/>
            <w:vAlign w:val="center"/>
          </w:tcPr>
          <w:p>
            <w:pPr>
              <w:spacing w:line="560" w:lineRule="exact"/>
              <w:jc w:val="center"/>
              <w:rPr>
                <w:rFonts w:ascii="宋体" w:hAnsi="宋体" w:eastAsia="宋体" w:cs="Times New Roman"/>
              </w:rPr>
            </w:pPr>
          </w:p>
        </w:tc>
        <w:tc>
          <w:tcPr>
            <w:tcW w:w="851" w:type="dxa"/>
            <w:vAlign w:val="center"/>
          </w:tcPr>
          <w:p>
            <w:pPr>
              <w:spacing w:line="560" w:lineRule="exact"/>
              <w:jc w:val="center"/>
              <w:rPr>
                <w:rFonts w:ascii="宋体" w:hAnsi="宋体" w:eastAsia="宋体" w:cs="Times New Roman"/>
              </w:rPr>
            </w:pPr>
          </w:p>
        </w:tc>
        <w:tc>
          <w:tcPr>
            <w:tcW w:w="933" w:type="dxa"/>
            <w:vAlign w:val="center"/>
          </w:tcPr>
          <w:p>
            <w:pPr>
              <w:spacing w:line="560" w:lineRule="exact"/>
              <w:jc w:val="center"/>
              <w:rPr>
                <w:rFonts w:ascii="宋体" w:hAnsi="宋体" w:eastAsia="宋体"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3" w:type="dxa"/>
            <w:vAlign w:val="top"/>
          </w:tcPr>
          <w:p>
            <w:pPr>
              <w:rPr>
                <w:rFonts w:ascii="宋体" w:hAnsi="宋体" w:eastAsia="宋体" w:cs="宋体"/>
                <w:color w:val="000000"/>
                <w:sz w:val="18"/>
                <w:szCs w:val="18"/>
              </w:rPr>
            </w:pPr>
            <w:r>
              <w:rPr>
                <w:rFonts w:hint="eastAsia" w:eastAsia="宋体"/>
                <w:color w:val="000000"/>
                <w:sz w:val="18"/>
                <w:szCs w:val="18"/>
                <w:highlight w:val="yellow"/>
                <w:lang w:eastAsia="zh-CN"/>
              </w:rPr>
              <w:t>日常公用经费</w:t>
            </w:r>
          </w:p>
        </w:tc>
        <w:tc>
          <w:tcPr>
            <w:tcW w:w="709" w:type="dxa"/>
            <w:vAlign w:val="center"/>
          </w:tcPr>
          <w:p>
            <w:pPr>
              <w:spacing w:line="560" w:lineRule="exact"/>
              <w:jc w:val="center"/>
              <w:rPr>
                <w:rFonts w:ascii="宋体" w:hAnsi="宋体" w:eastAsia="宋体" w:cs="Times New Roman"/>
              </w:rPr>
            </w:pPr>
            <w:r>
              <w:rPr>
                <w:rFonts w:hint="eastAsia" w:ascii="宋体" w:hAnsi="宋体" w:eastAsia="宋体" w:cs="Times New Roman"/>
              </w:rPr>
              <w:t>2</w:t>
            </w:r>
          </w:p>
        </w:tc>
        <w:tc>
          <w:tcPr>
            <w:tcW w:w="1984" w:type="dxa"/>
            <w:vAlign w:val="center"/>
          </w:tcPr>
          <w:p>
            <w:pPr>
              <w:jc w:val="center"/>
              <w:rPr>
                <w:rFonts w:ascii="宋体" w:hAnsi="宋体" w:eastAsia="宋体" w:cs="宋体"/>
                <w:color w:val="000000"/>
                <w:sz w:val="18"/>
                <w:szCs w:val="18"/>
              </w:rPr>
            </w:pPr>
            <w:r>
              <w:rPr>
                <w:rFonts w:hint="eastAsia"/>
                <w:color w:val="000000"/>
                <w:sz w:val="18"/>
                <w:szCs w:val="18"/>
              </w:rPr>
              <w:t>空调</w:t>
            </w:r>
          </w:p>
        </w:tc>
        <w:tc>
          <w:tcPr>
            <w:tcW w:w="851" w:type="dxa"/>
            <w:vAlign w:val="center"/>
          </w:tcPr>
          <w:p>
            <w:pPr>
              <w:spacing w:line="560" w:lineRule="exact"/>
              <w:jc w:val="left"/>
              <w:rPr>
                <w:rFonts w:ascii="宋体" w:hAnsi="宋体" w:eastAsia="宋体" w:cs="Times New Roman"/>
              </w:rPr>
            </w:pPr>
            <w:r>
              <w:rPr>
                <w:rFonts w:hint="eastAsia" w:ascii="宋体" w:hAnsi="宋体" w:eastAsia="宋体" w:cs="Times New Roman"/>
                <w:sz w:val="18"/>
                <w:szCs w:val="18"/>
                <w:lang w:val="en-US" w:eastAsia="zh-CN"/>
              </w:rPr>
              <w:t>A020523</w:t>
            </w:r>
          </w:p>
        </w:tc>
        <w:tc>
          <w:tcPr>
            <w:tcW w:w="708" w:type="dxa"/>
            <w:vAlign w:val="center"/>
          </w:tcPr>
          <w:p>
            <w:pPr>
              <w:spacing w:line="560" w:lineRule="exact"/>
              <w:jc w:val="center"/>
              <w:rPr>
                <w:rFonts w:ascii="宋体" w:hAnsi="宋体" w:eastAsia="宋体" w:cs="Times New Roman"/>
              </w:rPr>
            </w:pPr>
            <w:r>
              <w:rPr>
                <w:rFonts w:hint="eastAsia" w:ascii="宋体" w:hAnsi="宋体" w:eastAsia="宋体" w:cs="Times New Roman"/>
              </w:rPr>
              <w:t>台</w:t>
            </w:r>
          </w:p>
        </w:tc>
        <w:tc>
          <w:tcPr>
            <w:tcW w:w="844" w:type="dxa"/>
            <w:vAlign w:val="center"/>
          </w:tcPr>
          <w:p>
            <w:pPr>
              <w:spacing w:line="560" w:lineRule="exact"/>
              <w:jc w:val="center"/>
              <w:rPr>
                <w:rFonts w:hint="default" w:ascii="宋体" w:hAnsi="宋体" w:eastAsia="宋体" w:cs="Times New Roman"/>
                <w:lang w:val="en-US" w:eastAsia="zh-CN"/>
              </w:rPr>
            </w:pPr>
            <w:r>
              <w:rPr>
                <w:rFonts w:hint="eastAsia" w:ascii="宋体" w:hAnsi="宋体" w:eastAsia="宋体" w:cs="Times New Roman"/>
                <w:lang w:val="en-US" w:eastAsia="zh-CN"/>
              </w:rPr>
              <w:t>5</w:t>
            </w:r>
          </w:p>
        </w:tc>
        <w:tc>
          <w:tcPr>
            <w:tcW w:w="857" w:type="dxa"/>
            <w:vAlign w:val="center"/>
          </w:tcPr>
          <w:p>
            <w:pPr>
              <w:spacing w:line="560" w:lineRule="exact"/>
              <w:jc w:val="center"/>
              <w:rPr>
                <w:rFonts w:ascii="宋体" w:hAnsi="宋体" w:eastAsia="宋体" w:cs="Times New Roman"/>
              </w:rPr>
            </w:pPr>
            <w:r>
              <w:rPr>
                <w:rFonts w:hint="eastAsia" w:ascii="宋体" w:hAnsi="宋体" w:eastAsia="宋体" w:cs="Times New Roman"/>
              </w:rPr>
              <w:t>0.4</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2</w:t>
            </w:r>
          </w:p>
        </w:tc>
        <w:tc>
          <w:tcPr>
            <w:tcW w:w="850" w:type="dxa"/>
            <w:vAlign w:val="center"/>
          </w:tcPr>
          <w:p>
            <w:pPr>
              <w:spacing w:line="560" w:lineRule="exact"/>
              <w:jc w:val="center"/>
              <w:rPr>
                <w:rFonts w:ascii="宋体" w:hAnsi="宋体" w:eastAsia="宋体" w:cs="Times New Roman"/>
              </w:rPr>
            </w:pPr>
            <w:r>
              <w:rPr>
                <w:rFonts w:hint="eastAsia" w:ascii="宋体" w:hAnsi="宋体" w:eastAsia="宋体" w:cs="Times New Roman"/>
              </w:rPr>
              <w:t>2</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2</w:t>
            </w:r>
          </w:p>
        </w:tc>
        <w:tc>
          <w:tcPr>
            <w:tcW w:w="709" w:type="dxa"/>
            <w:vAlign w:val="center"/>
          </w:tcPr>
          <w:p>
            <w:pPr>
              <w:spacing w:line="560" w:lineRule="exact"/>
              <w:jc w:val="center"/>
              <w:rPr>
                <w:rFonts w:ascii="宋体" w:hAnsi="宋体" w:eastAsia="宋体" w:cs="Times New Roman"/>
              </w:rPr>
            </w:pPr>
          </w:p>
        </w:tc>
        <w:tc>
          <w:tcPr>
            <w:tcW w:w="850" w:type="dxa"/>
            <w:vAlign w:val="center"/>
          </w:tcPr>
          <w:p>
            <w:pPr>
              <w:spacing w:line="560" w:lineRule="exact"/>
              <w:jc w:val="center"/>
              <w:rPr>
                <w:rFonts w:ascii="宋体" w:hAnsi="宋体" w:eastAsia="宋体" w:cs="Times New Roman"/>
              </w:rPr>
            </w:pPr>
          </w:p>
        </w:tc>
        <w:tc>
          <w:tcPr>
            <w:tcW w:w="851" w:type="dxa"/>
            <w:vAlign w:val="center"/>
          </w:tcPr>
          <w:p>
            <w:pPr>
              <w:spacing w:line="560" w:lineRule="exact"/>
              <w:jc w:val="center"/>
              <w:rPr>
                <w:rFonts w:ascii="宋体" w:hAnsi="宋体" w:eastAsia="宋体" w:cs="Times New Roman"/>
              </w:rPr>
            </w:pPr>
          </w:p>
        </w:tc>
        <w:tc>
          <w:tcPr>
            <w:tcW w:w="933" w:type="dxa"/>
            <w:vAlign w:val="center"/>
          </w:tcPr>
          <w:p>
            <w:pPr>
              <w:spacing w:line="560" w:lineRule="exact"/>
              <w:jc w:val="center"/>
              <w:rPr>
                <w:rFonts w:ascii="宋体" w:hAnsi="宋体" w:eastAsia="宋体"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3" w:type="dxa"/>
            <w:vAlign w:val="top"/>
          </w:tcPr>
          <w:p>
            <w:pPr>
              <w:rPr>
                <w:rFonts w:ascii="宋体" w:hAnsi="宋体" w:eastAsia="宋体" w:cs="宋体"/>
                <w:color w:val="000000"/>
                <w:sz w:val="18"/>
                <w:szCs w:val="18"/>
              </w:rPr>
            </w:pPr>
            <w:r>
              <w:rPr>
                <w:rFonts w:hint="eastAsia" w:eastAsia="宋体"/>
                <w:color w:val="000000"/>
                <w:sz w:val="18"/>
                <w:szCs w:val="18"/>
                <w:highlight w:val="yellow"/>
                <w:lang w:eastAsia="zh-CN"/>
              </w:rPr>
              <w:t>日常公用经费</w:t>
            </w:r>
          </w:p>
        </w:tc>
        <w:tc>
          <w:tcPr>
            <w:tcW w:w="709" w:type="dxa"/>
            <w:vAlign w:val="center"/>
          </w:tcPr>
          <w:p>
            <w:pPr>
              <w:spacing w:line="560" w:lineRule="exact"/>
              <w:jc w:val="center"/>
              <w:rPr>
                <w:rFonts w:ascii="宋体" w:hAnsi="宋体" w:eastAsia="宋体" w:cs="Times New Roman"/>
              </w:rPr>
            </w:pPr>
            <w:r>
              <w:rPr>
                <w:rFonts w:hint="eastAsia" w:ascii="宋体" w:hAnsi="宋体" w:eastAsia="宋体" w:cs="Times New Roman"/>
              </w:rPr>
              <w:t>1.5</w:t>
            </w:r>
          </w:p>
        </w:tc>
        <w:tc>
          <w:tcPr>
            <w:tcW w:w="1984" w:type="dxa"/>
            <w:vAlign w:val="center"/>
          </w:tcPr>
          <w:p>
            <w:pPr>
              <w:jc w:val="center"/>
              <w:rPr>
                <w:rFonts w:ascii="宋体" w:hAnsi="宋体" w:eastAsia="宋体" w:cs="宋体"/>
                <w:color w:val="000000"/>
                <w:sz w:val="18"/>
                <w:szCs w:val="18"/>
              </w:rPr>
            </w:pPr>
            <w:r>
              <w:rPr>
                <w:rFonts w:hint="eastAsia"/>
                <w:color w:val="000000"/>
                <w:sz w:val="18"/>
                <w:szCs w:val="18"/>
              </w:rPr>
              <w:t>桌子</w:t>
            </w:r>
          </w:p>
        </w:tc>
        <w:tc>
          <w:tcPr>
            <w:tcW w:w="851" w:type="dxa"/>
            <w:vAlign w:val="center"/>
          </w:tcPr>
          <w:p>
            <w:pPr>
              <w:spacing w:line="560" w:lineRule="exact"/>
              <w:jc w:val="left"/>
              <w:rPr>
                <w:rFonts w:ascii="宋体" w:hAnsi="宋体" w:eastAsia="宋体" w:cs="Times New Roman"/>
              </w:rPr>
            </w:pPr>
            <w:r>
              <w:rPr>
                <w:rFonts w:hint="eastAsia" w:ascii="宋体" w:hAnsi="宋体" w:eastAsia="宋体" w:cs="Times New Roman"/>
                <w:sz w:val="18"/>
                <w:szCs w:val="18"/>
                <w:lang w:val="en-US" w:eastAsia="zh-CN"/>
              </w:rPr>
              <w:t>A060205</w:t>
            </w:r>
          </w:p>
        </w:tc>
        <w:tc>
          <w:tcPr>
            <w:tcW w:w="708" w:type="dxa"/>
            <w:vAlign w:val="center"/>
          </w:tcPr>
          <w:p>
            <w:pPr>
              <w:spacing w:line="560" w:lineRule="exact"/>
              <w:jc w:val="center"/>
              <w:rPr>
                <w:rFonts w:ascii="宋体" w:hAnsi="宋体" w:eastAsia="宋体" w:cs="Times New Roman"/>
              </w:rPr>
            </w:pPr>
            <w:r>
              <w:rPr>
                <w:rFonts w:hint="eastAsia" w:ascii="宋体" w:hAnsi="宋体" w:eastAsia="宋体" w:cs="Times New Roman"/>
              </w:rPr>
              <w:t>张</w:t>
            </w:r>
          </w:p>
        </w:tc>
        <w:tc>
          <w:tcPr>
            <w:tcW w:w="844" w:type="dxa"/>
            <w:vAlign w:val="center"/>
          </w:tcPr>
          <w:p>
            <w:pPr>
              <w:spacing w:line="560" w:lineRule="exact"/>
              <w:jc w:val="center"/>
              <w:rPr>
                <w:rFonts w:ascii="宋体" w:hAnsi="宋体" w:eastAsia="宋体" w:cs="Times New Roman"/>
              </w:rPr>
            </w:pPr>
            <w:r>
              <w:rPr>
                <w:rFonts w:hint="eastAsia" w:ascii="宋体" w:hAnsi="宋体" w:eastAsia="宋体" w:cs="Times New Roman"/>
              </w:rPr>
              <w:t>15</w:t>
            </w:r>
          </w:p>
        </w:tc>
        <w:tc>
          <w:tcPr>
            <w:tcW w:w="857" w:type="dxa"/>
            <w:vAlign w:val="center"/>
          </w:tcPr>
          <w:p>
            <w:pPr>
              <w:spacing w:line="560" w:lineRule="exact"/>
              <w:jc w:val="center"/>
              <w:rPr>
                <w:rFonts w:ascii="宋体" w:hAnsi="宋体" w:eastAsia="宋体" w:cs="Times New Roman"/>
              </w:rPr>
            </w:pPr>
            <w:r>
              <w:rPr>
                <w:rFonts w:hint="eastAsia" w:ascii="宋体" w:hAnsi="宋体" w:eastAsia="宋体" w:cs="Times New Roman"/>
              </w:rPr>
              <w:t>0.1</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1.5</w:t>
            </w:r>
          </w:p>
        </w:tc>
        <w:tc>
          <w:tcPr>
            <w:tcW w:w="850" w:type="dxa"/>
            <w:vAlign w:val="center"/>
          </w:tcPr>
          <w:p>
            <w:pPr>
              <w:spacing w:line="560" w:lineRule="exact"/>
              <w:jc w:val="center"/>
              <w:rPr>
                <w:rFonts w:ascii="宋体" w:hAnsi="宋体" w:eastAsia="宋体" w:cs="Times New Roman"/>
              </w:rPr>
            </w:pPr>
            <w:r>
              <w:rPr>
                <w:rFonts w:hint="eastAsia" w:ascii="宋体" w:hAnsi="宋体" w:eastAsia="宋体" w:cs="Times New Roman"/>
              </w:rPr>
              <w:t>1.5</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1.5</w:t>
            </w:r>
          </w:p>
        </w:tc>
        <w:tc>
          <w:tcPr>
            <w:tcW w:w="709" w:type="dxa"/>
            <w:vAlign w:val="center"/>
          </w:tcPr>
          <w:p>
            <w:pPr>
              <w:spacing w:line="560" w:lineRule="exact"/>
              <w:jc w:val="center"/>
              <w:rPr>
                <w:rFonts w:ascii="宋体" w:hAnsi="宋体" w:eastAsia="宋体" w:cs="Times New Roman"/>
              </w:rPr>
            </w:pPr>
          </w:p>
        </w:tc>
        <w:tc>
          <w:tcPr>
            <w:tcW w:w="850" w:type="dxa"/>
            <w:vAlign w:val="center"/>
          </w:tcPr>
          <w:p>
            <w:pPr>
              <w:spacing w:line="560" w:lineRule="exact"/>
              <w:jc w:val="center"/>
              <w:rPr>
                <w:rFonts w:ascii="宋体" w:hAnsi="宋体" w:eastAsia="宋体" w:cs="Times New Roman"/>
              </w:rPr>
            </w:pPr>
          </w:p>
        </w:tc>
        <w:tc>
          <w:tcPr>
            <w:tcW w:w="851" w:type="dxa"/>
            <w:vAlign w:val="center"/>
          </w:tcPr>
          <w:p>
            <w:pPr>
              <w:spacing w:line="560" w:lineRule="exact"/>
              <w:jc w:val="center"/>
              <w:rPr>
                <w:rFonts w:ascii="宋体" w:hAnsi="宋体" w:eastAsia="宋体" w:cs="Times New Roman"/>
              </w:rPr>
            </w:pPr>
          </w:p>
        </w:tc>
        <w:tc>
          <w:tcPr>
            <w:tcW w:w="933" w:type="dxa"/>
            <w:vAlign w:val="center"/>
          </w:tcPr>
          <w:p>
            <w:pPr>
              <w:spacing w:line="560" w:lineRule="exact"/>
              <w:jc w:val="center"/>
              <w:rPr>
                <w:rFonts w:ascii="宋体" w:hAnsi="宋体" w:eastAsia="宋体"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3" w:type="dxa"/>
            <w:vAlign w:val="top"/>
          </w:tcPr>
          <w:p>
            <w:pPr>
              <w:rPr>
                <w:rFonts w:ascii="宋体" w:hAnsi="宋体" w:eastAsia="宋体" w:cs="宋体"/>
                <w:color w:val="000000"/>
                <w:sz w:val="18"/>
                <w:szCs w:val="18"/>
              </w:rPr>
            </w:pPr>
            <w:r>
              <w:rPr>
                <w:rFonts w:hint="eastAsia" w:eastAsia="宋体"/>
                <w:color w:val="000000"/>
                <w:sz w:val="18"/>
                <w:szCs w:val="18"/>
                <w:highlight w:val="yellow"/>
                <w:lang w:eastAsia="zh-CN"/>
              </w:rPr>
              <w:t>日常公用经费</w:t>
            </w:r>
          </w:p>
        </w:tc>
        <w:tc>
          <w:tcPr>
            <w:tcW w:w="709" w:type="dxa"/>
            <w:vAlign w:val="center"/>
          </w:tcPr>
          <w:p>
            <w:pPr>
              <w:spacing w:line="560" w:lineRule="exact"/>
              <w:jc w:val="center"/>
              <w:rPr>
                <w:rFonts w:ascii="宋体" w:hAnsi="宋体" w:eastAsia="宋体" w:cs="Times New Roman"/>
              </w:rPr>
            </w:pPr>
            <w:r>
              <w:rPr>
                <w:rFonts w:hint="eastAsia" w:ascii="宋体" w:hAnsi="宋体" w:eastAsia="宋体" w:cs="Times New Roman"/>
              </w:rPr>
              <w:t>1.</w:t>
            </w:r>
            <w:r>
              <w:rPr>
                <w:rFonts w:hint="eastAsia" w:ascii="宋体" w:hAnsi="宋体" w:eastAsia="宋体" w:cs="Times New Roman"/>
                <w:lang w:val="en-US" w:eastAsia="zh-CN"/>
              </w:rPr>
              <w:t>75</w:t>
            </w:r>
          </w:p>
        </w:tc>
        <w:tc>
          <w:tcPr>
            <w:tcW w:w="1984" w:type="dxa"/>
            <w:vAlign w:val="center"/>
          </w:tcPr>
          <w:p>
            <w:pPr>
              <w:jc w:val="center"/>
              <w:rPr>
                <w:rFonts w:ascii="宋体" w:hAnsi="宋体" w:eastAsia="宋体" w:cs="宋体"/>
                <w:color w:val="000000"/>
                <w:sz w:val="18"/>
                <w:szCs w:val="18"/>
              </w:rPr>
            </w:pPr>
            <w:r>
              <w:rPr>
                <w:rFonts w:hint="eastAsia"/>
                <w:color w:val="000000"/>
                <w:sz w:val="18"/>
                <w:szCs w:val="18"/>
              </w:rPr>
              <w:t>椅子</w:t>
            </w:r>
          </w:p>
        </w:tc>
        <w:tc>
          <w:tcPr>
            <w:tcW w:w="851" w:type="dxa"/>
            <w:vAlign w:val="center"/>
          </w:tcPr>
          <w:p>
            <w:pPr>
              <w:spacing w:line="560" w:lineRule="exact"/>
              <w:jc w:val="left"/>
              <w:rPr>
                <w:rFonts w:ascii="宋体" w:hAnsi="宋体" w:eastAsia="宋体" w:cs="Times New Roman"/>
              </w:rPr>
            </w:pPr>
            <w:r>
              <w:rPr>
                <w:rFonts w:hint="eastAsia" w:ascii="宋体" w:hAnsi="宋体" w:eastAsia="宋体" w:cs="Times New Roman"/>
                <w:sz w:val="18"/>
                <w:szCs w:val="18"/>
                <w:lang w:val="en-US" w:eastAsia="zh-CN"/>
              </w:rPr>
              <w:t>A0699</w:t>
            </w:r>
          </w:p>
        </w:tc>
        <w:tc>
          <w:tcPr>
            <w:tcW w:w="708" w:type="dxa"/>
            <w:vAlign w:val="center"/>
          </w:tcPr>
          <w:p>
            <w:pPr>
              <w:spacing w:line="560" w:lineRule="exact"/>
              <w:jc w:val="center"/>
              <w:rPr>
                <w:rFonts w:ascii="宋体" w:hAnsi="宋体" w:eastAsia="宋体" w:cs="Times New Roman"/>
              </w:rPr>
            </w:pPr>
            <w:r>
              <w:rPr>
                <w:rFonts w:hint="eastAsia" w:ascii="宋体" w:hAnsi="宋体" w:eastAsia="宋体" w:cs="Times New Roman"/>
              </w:rPr>
              <w:t>把</w:t>
            </w:r>
          </w:p>
        </w:tc>
        <w:tc>
          <w:tcPr>
            <w:tcW w:w="844" w:type="dxa"/>
            <w:vAlign w:val="center"/>
          </w:tcPr>
          <w:p>
            <w:pPr>
              <w:spacing w:line="560" w:lineRule="exact"/>
              <w:jc w:val="center"/>
              <w:rPr>
                <w:rFonts w:ascii="宋体" w:hAnsi="宋体" w:eastAsia="宋体" w:cs="Times New Roman"/>
              </w:rPr>
            </w:pPr>
            <w:r>
              <w:rPr>
                <w:rFonts w:hint="eastAsia" w:ascii="宋体" w:hAnsi="宋体" w:eastAsia="宋体" w:cs="Times New Roman"/>
              </w:rPr>
              <w:t>25</w:t>
            </w:r>
          </w:p>
        </w:tc>
        <w:tc>
          <w:tcPr>
            <w:tcW w:w="857" w:type="dxa"/>
            <w:vAlign w:val="center"/>
          </w:tcPr>
          <w:p>
            <w:pPr>
              <w:spacing w:line="560" w:lineRule="exact"/>
              <w:jc w:val="center"/>
              <w:rPr>
                <w:rFonts w:ascii="宋体" w:hAnsi="宋体" w:eastAsia="宋体" w:cs="Times New Roman"/>
              </w:rPr>
            </w:pPr>
            <w:r>
              <w:rPr>
                <w:rFonts w:hint="eastAsia" w:ascii="宋体" w:hAnsi="宋体" w:eastAsia="宋体" w:cs="Times New Roman"/>
              </w:rPr>
              <w:t>0.07</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1.75</w:t>
            </w:r>
          </w:p>
        </w:tc>
        <w:tc>
          <w:tcPr>
            <w:tcW w:w="850" w:type="dxa"/>
            <w:vAlign w:val="center"/>
          </w:tcPr>
          <w:p>
            <w:pPr>
              <w:spacing w:line="560" w:lineRule="exact"/>
              <w:jc w:val="center"/>
              <w:rPr>
                <w:rFonts w:ascii="宋体" w:hAnsi="宋体" w:eastAsia="宋体" w:cs="Times New Roman"/>
              </w:rPr>
            </w:pPr>
            <w:r>
              <w:rPr>
                <w:rFonts w:hint="eastAsia" w:ascii="宋体" w:hAnsi="宋体" w:eastAsia="宋体" w:cs="Times New Roman"/>
              </w:rPr>
              <w:t>1.75</w:t>
            </w:r>
          </w:p>
        </w:tc>
        <w:tc>
          <w:tcPr>
            <w:tcW w:w="851" w:type="dxa"/>
            <w:vAlign w:val="center"/>
          </w:tcPr>
          <w:p>
            <w:pPr>
              <w:spacing w:line="560" w:lineRule="exact"/>
              <w:jc w:val="center"/>
              <w:rPr>
                <w:rFonts w:ascii="宋体" w:hAnsi="宋体" w:eastAsia="宋体" w:cs="Times New Roman"/>
              </w:rPr>
            </w:pPr>
            <w:r>
              <w:rPr>
                <w:rFonts w:hint="eastAsia" w:ascii="宋体" w:hAnsi="宋体" w:eastAsia="宋体" w:cs="Times New Roman"/>
              </w:rPr>
              <w:t>1.75</w:t>
            </w:r>
          </w:p>
        </w:tc>
        <w:tc>
          <w:tcPr>
            <w:tcW w:w="709" w:type="dxa"/>
            <w:vAlign w:val="center"/>
          </w:tcPr>
          <w:p>
            <w:pPr>
              <w:spacing w:line="560" w:lineRule="exact"/>
              <w:jc w:val="center"/>
              <w:rPr>
                <w:rFonts w:ascii="宋体" w:hAnsi="宋体" w:eastAsia="宋体" w:cs="Times New Roman"/>
              </w:rPr>
            </w:pPr>
          </w:p>
        </w:tc>
        <w:tc>
          <w:tcPr>
            <w:tcW w:w="850" w:type="dxa"/>
            <w:vAlign w:val="center"/>
          </w:tcPr>
          <w:p>
            <w:pPr>
              <w:spacing w:line="560" w:lineRule="exact"/>
              <w:jc w:val="center"/>
              <w:rPr>
                <w:rFonts w:ascii="宋体" w:hAnsi="宋体" w:eastAsia="宋体" w:cs="Times New Roman"/>
              </w:rPr>
            </w:pPr>
          </w:p>
        </w:tc>
        <w:tc>
          <w:tcPr>
            <w:tcW w:w="851" w:type="dxa"/>
            <w:vAlign w:val="center"/>
          </w:tcPr>
          <w:p>
            <w:pPr>
              <w:spacing w:line="560" w:lineRule="exact"/>
              <w:jc w:val="center"/>
              <w:rPr>
                <w:rFonts w:ascii="宋体" w:hAnsi="宋体" w:eastAsia="宋体" w:cs="Times New Roman"/>
              </w:rPr>
            </w:pPr>
          </w:p>
        </w:tc>
        <w:tc>
          <w:tcPr>
            <w:tcW w:w="933" w:type="dxa"/>
            <w:vAlign w:val="center"/>
          </w:tcPr>
          <w:p>
            <w:pPr>
              <w:spacing w:line="560" w:lineRule="exact"/>
              <w:jc w:val="center"/>
              <w:rPr>
                <w:rFonts w:ascii="宋体" w:hAnsi="宋体" w:eastAsia="宋体" w:cs="Times New Roma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3" w:type="dxa"/>
            <w:vAlign w:val="top"/>
          </w:tcPr>
          <w:p>
            <w:pPr>
              <w:rPr>
                <w:rFonts w:ascii="宋体" w:hAnsi="宋体" w:eastAsia="宋体" w:cs="宋体"/>
                <w:color w:val="000000"/>
                <w:sz w:val="18"/>
                <w:szCs w:val="18"/>
              </w:rPr>
            </w:pPr>
            <w:r>
              <w:rPr>
                <w:rFonts w:hint="eastAsia" w:eastAsia="宋体"/>
                <w:color w:val="000000"/>
                <w:sz w:val="18"/>
                <w:szCs w:val="18"/>
                <w:highlight w:val="yellow"/>
                <w:lang w:eastAsia="zh-CN"/>
              </w:rPr>
              <w:t>日常公用经费</w:t>
            </w:r>
          </w:p>
        </w:tc>
        <w:tc>
          <w:tcPr>
            <w:tcW w:w="709"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1.5</w:t>
            </w:r>
          </w:p>
        </w:tc>
        <w:tc>
          <w:tcPr>
            <w:tcW w:w="1984" w:type="dxa"/>
            <w:vAlign w:val="center"/>
          </w:tcPr>
          <w:p>
            <w:pPr>
              <w:jc w:val="center"/>
              <w:rPr>
                <w:rFonts w:ascii="宋体" w:hAnsi="宋体" w:eastAsia="宋体" w:cs="宋体"/>
                <w:color w:val="000000"/>
                <w:sz w:val="18"/>
                <w:szCs w:val="18"/>
              </w:rPr>
            </w:pPr>
            <w:r>
              <w:rPr>
                <w:rFonts w:hint="eastAsia"/>
                <w:color w:val="000000"/>
                <w:sz w:val="18"/>
                <w:szCs w:val="18"/>
              </w:rPr>
              <w:t>文件柜</w:t>
            </w:r>
          </w:p>
        </w:tc>
        <w:tc>
          <w:tcPr>
            <w:tcW w:w="851" w:type="dxa"/>
            <w:vAlign w:val="center"/>
          </w:tcPr>
          <w:p>
            <w:pPr>
              <w:spacing w:line="560" w:lineRule="exact"/>
              <w:jc w:val="left"/>
              <w:rPr>
                <w:rFonts w:ascii="宋体" w:hAnsi="宋体" w:eastAsia="宋体" w:cs="Times New Roman"/>
                <w:bCs/>
              </w:rPr>
            </w:pPr>
            <w:r>
              <w:rPr>
                <w:rFonts w:hint="eastAsia" w:ascii="宋体" w:hAnsi="宋体" w:eastAsia="宋体" w:cs="Times New Roman"/>
                <w:bCs/>
                <w:sz w:val="18"/>
                <w:szCs w:val="18"/>
                <w:lang w:val="en-US" w:eastAsia="zh-CN"/>
              </w:rPr>
              <w:t>A060503</w:t>
            </w:r>
          </w:p>
        </w:tc>
        <w:tc>
          <w:tcPr>
            <w:tcW w:w="708"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个</w:t>
            </w:r>
          </w:p>
        </w:tc>
        <w:tc>
          <w:tcPr>
            <w:tcW w:w="844"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15</w:t>
            </w:r>
          </w:p>
        </w:tc>
        <w:tc>
          <w:tcPr>
            <w:tcW w:w="857"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0.1</w:t>
            </w:r>
          </w:p>
        </w:tc>
        <w:tc>
          <w:tcPr>
            <w:tcW w:w="851"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1.5</w:t>
            </w:r>
          </w:p>
        </w:tc>
        <w:tc>
          <w:tcPr>
            <w:tcW w:w="850"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1.5</w:t>
            </w:r>
          </w:p>
        </w:tc>
        <w:tc>
          <w:tcPr>
            <w:tcW w:w="851"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1.5</w:t>
            </w:r>
          </w:p>
        </w:tc>
        <w:tc>
          <w:tcPr>
            <w:tcW w:w="709" w:type="dxa"/>
            <w:vAlign w:val="center"/>
          </w:tcPr>
          <w:p>
            <w:pPr>
              <w:spacing w:line="560" w:lineRule="exact"/>
              <w:jc w:val="center"/>
              <w:rPr>
                <w:rFonts w:ascii="宋体" w:hAnsi="宋体" w:eastAsia="宋体" w:cs="Times New Roman"/>
                <w:bCs/>
              </w:rPr>
            </w:pPr>
          </w:p>
        </w:tc>
        <w:tc>
          <w:tcPr>
            <w:tcW w:w="850" w:type="dxa"/>
            <w:vAlign w:val="center"/>
          </w:tcPr>
          <w:p>
            <w:pPr>
              <w:spacing w:line="560" w:lineRule="exact"/>
              <w:jc w:val="center"/>
              <w:rPr>
                <w:rFonts w:ascii="宋体" w:hAnsi="宋体" w:eastAsia="宋体" w:cs="Times New Roman"/>
                <w:bCs/>
              </w:rPr>
            </w:pPr>
          </w:p>
        </w:tc>
        <w:tc>
          <w:tcPr>
            <w:tcW w:w="851" w:type="dxa"/>
            <w:vAlign w:val="center"/>
          </w:tcPr>
          <w:p>
            <w:pPr>
              <w:spacing w:line="560" w:lineRule="exact"/>
              <w:jc w:val="center"/>
              <w:rPr>
                <w:rFonts w:ascii="宋体" w:hAnsi="宋体" w:eastAsia="宋体" w:cs="Times New Roman"/>
                <w:bCs/>
              </w:rPr>
            </w:pPr>
          </w:p>
        </w:tc>
        <w:tc>
          <w:tcPr>
            <w:tcW w:w="933" w:type="dxa"/>
            <w:vAlign w:val="center"/>
          </w:tcPr>
          <w:p>
            <w:pPr>
              <w:spacing w:line="560" w:lineRule="exact"/>
              <w:jc w:val="center"/>
              <w:rPr>
                <w:rFonts w:ascii="宋体" w:hAnsi="宋体" w:eastAsia="宋体" w:cs="Times New Roman"/>
                <w:bC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8" w:hRule="atLeast"/>
          <w:jc w:val="center"/>
        </w:trPr>
        <w:tc>
          <w:tcPr>
            <w:tcW w:w="2153" w:type="dxa"/>
            <w:vAlign w:val="top"/>
          </w:tcPr>
          <w:p>
            <w:pPr>
              <w:rPr>
                <w:rFonts w:ascii="宋体" w:hAnsi="宋体" w:eastAsia="宋体" w:cs="宋体"/>
                <w:color w:val="000000"/>
                <w:sz w:val="18"/>
                <w:szCs w:val="18"/>
              </w:rPr>
            </w:pPr>
            <w:r>
              <w:rPr>
                <w:rFonts w:hint="eastAsia" w:eastAsia="宋体"/>
                <w:color w:val="000000"/>
                <w:sz w:val="18"/>
                <w:szCs w:val="18"/>
                <w:highlight w:val="yellow"/>
                <w:lang w:eastAsia="zh-CN"/>
              </w:rPr>
              <w:t>日常公用经费</w:t>
            </w:r>
          </w:p>
        </w:tc>
        <w:tc>
          <w:tcPr>
            <w:tcW w:w="709"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w:t>
            </w:r>
          </w:p>
        </w:tc>
        <w:tc>
          <w:tcPr>
            <w:tcW w:w="1984" w:type="dxa"/>
            <w:vAlign w:val="center"/>
          </w:tcPr>
          <w:p>
            <w:pPr>
              <w:jc w:val="center"/>
              <w:rPr>
                <w:rFonts w:ascii="宋体" w:hAnsi="宋体" w:eastAsia="宋体" w:cs="宋体"/>
                <w:color w:val="000000"/>
                <w:sz w:val="18"/>
                <w:szCs w:val="18"/>
              </w:rPr>
            </w:pPr>
            <w:r>
              <w:rPr>
                <w:rFonts w:hint="eastAsia"/>
                <w:color w:val="000000"/>
                <w:sz w:val="18"/>
                <w:szCs w:val="18"/>
              </w:rPr>
              <w:t>沙发</w:t>
            </w:r>
          </w:p>
        </w:tc>
        <w:tc>
          <w:tcPr>
            <w:tcW w:w="851" w:type="dxa"/>
            <w:vAlign w:val="center"/>
          </w:tcPr>
          <w:p>
            <w:pPr>
              <w:spacing w:line="560" w:lineRule="exact"/>
              <w:jc w:val="left"/>
              <w:rPr>
                <w:rFonts w:ascii="宋体" w:hAnsi="宋体" w:eastAsia="宋体" w:cs="Times New Roman"/>
                <w:bCs/>
              </w:rPr>
            </w:pPr>
            <w:r>
              <w:rPr>
                <w:rFonts w:hint="eastAsia" w:ascii="宋体" w:hAnsi="宋体" w:eastAsia="宋体" w:cs="Times New Roman"/>
                <w:bCs/>
                <w:sz w:val="18"/>
                <w:szCs w:val="18"/>
                <w:lang w:val="en-US" w:eastAsia="zh-CN"/>
              </w:rPr>
              <w:t>A060499</w:t>
            </w:r>
          </w:p>
        </w:tc>
        <w:tc>
          <w:tcPr>
            <w:tcW w:w="708"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个</w:t>
            </w:r>
          </w:p>
        </w:tc>
        <w:tc>
          <w:tcPr>
            <w:tcW w:w="844"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10</w:t>
            </w:r>
          </w:p>
        </w:tc>
        <w:tc>
          <w:tcPr>
            <w:tcW w:w="857"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0.1</w:t>
            </w:r>
          </w:p>
        </w:tc>
        <w:tc>
          <w:tcPr>
            <w:tcW w:w="851"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w:t>
            </w:r>
          </w:p>
        </w:tc>
        <w:tc>
          <w:tcPr>
            <w:tcW w:w="850"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w:t>
            </w:r>
          </w:p>
        </w:tc>
        <w:tc>
          <w:tcPr>
            <w:tcW w:w="851"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w:t>
            </w:r>
          </w:p>
        </w:tc>
        <w:tc>
          <w:tcPr>
            <w:tcW w:w="709" w:type="dxa"/>
            <w:vAlign w:val="center"/>
          </w:tcPr>
          <w:p>
            <w:pPr>
              <w:spacing w:line="560" w:lineRule="exact"/>
              <w:jc w:val="center"/>
              <w:rPr>
                <w:rFonts w:ascii="宋体" w:hAnsi="宋体" w:eastAsia="宋体" w:cs="Times New Roman"/>
                <w:bCs/>
              </w:rPr>
            </w:pPr>
          </w:p>
        </w:tc>
        <w:tc>
          <w:tcPr>
            <w:tcW w:w="850" w:type="dxa"/>
            <w:vAlign w:val="center"/>
          </w:tcPr>
          <w:p>
            <w:pPr>
              <w:spacing w:line="560" w:lineRule="exact"/>
              <w:jc w:val="center"/>
              <w:rPr>
                <w:rFonts w:ascii="宋体" w:hAnsi="宋体" w:eastAsia="宋体" w:cs="Times New Roman"/>
                <w:bCs/>
              </w:rPr>
            </w:pPr>
          </w:p>
        </w:tc>
        <w:tc>
          <w:tcPr>
            <w:tcW w:w="851" w:type="dxa"/>
            <w:vAlign w:val="center"/>
          </w:tcPr>
          <w:p>
            <w:pPr>
              <w:spacing w:line="560" w:lineRule="exact"/>
              <w:jc w:val="center"/>
              <w:rPr>
                <w:rFonts w:ascii="宋体" w:hAnsi="宋体" w:eastAsia="宋体" w:cs="Times New Roman"/>
                <w:bCs/>
              </w:rPr>
            </w:pPr>
          </w:p>
        </w:tc>
        <w:tc>
          <w:tcPr>
            <w:tcW w:w="933" w:type="dxa"/>
            <w:vAlign w:val="center"/>
          </w:tcPr>
          <w:p>
            <w:pPr>
              <w:spacing w:line="560" w:lineRule="exact"/>
              <w:jc w:val="center"/>
              <w:rPr>
                <w:rFonts w:ascii="宋体" w:hAnsi="宋体" w:eastAsia="宋体" w:cs="Times New Roman"/>
                <w:bC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2153" w:type="dxa"/>
            <w:vAlign w:val="top"/>
          </w:tcPr>
          <w:p>
            <w:pPr>
              <w:rPr>
                <w:rFonts w:ascii="宋体" w:hAnsi="宋体" w:eastAsia="宋体" w:cs="宋体"/>
                <w:color w:val="000000"/>
                <w:sz w:val="18"/>
                <w:szCs w:val="18"/>
              </w:rPr>
            </w:pPr>
            <w:r>
              <w:rPr>
                <w:rFonts w:hint="eastAsia" w:eastAsia="宋体"/>
                <w:color w:val="000000"/>
                <w:sz w:val="18"/>
                <w:szCs w:val="18"/>
                <w:highlight w:val="yellow"/>
                <w:lang w:eastAsia="zh-CN"/>
              </w:rPr>
              <w:t>日常公用经费</w:t>
            </w:r>
          </w:p>
        </w:tc>
        <w:tc>
          <w:tcPr>
            <w:tcW w:w="709"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1.2</w:t>
            </w:r>
          </w:p>
        </w:tc>
        <w:tc>
          <w:tcPr>
            <w:tcW w:w="1984" w:type="dxa"/>
            <w:vAlign w:val="center"/>
          </w:tcPr>
          <w:p>
            <w:pPr>
              <w:jc w:val="center"/>
              <w:rPr>
                <w:rFonts w:ascii="宋体" w:hAnsi="宋体" w:eastAsia="宋体" w:cs="宋体"/>
                <w:color w:val="000000"/>
                <w:sz w:val="18"/>
                <w:szCs w:val="18"/>
              </w:rPr>
            </w:pPr>
            <w:r>
              <w:rPr>
                <w:rFonts w:hint="eastAsia"/>
                <w:color w:val="000000"/>
                <w:sz w:val="18"/>
                <w:szCs w:val="18"/>
              </w:rPr>
              <w:t>书柜</w:t>
            </w:r>
          </w:p>
        </w:tc>
        <w:tc>
          <w:tcPr>
            <w:tcW w:w="851" w:type="dxa"/>
            <w:vAlign w:val="center"/>
          </w:tcPr>
          <w:p>
            <w:pPr>
              <w:spacing w:line="560" w:lineRule="exact"/>
              <w:jc w:val="left"/>
              <w:rPr>
                <w:rFonts w:ascii="宋体" w:hAnsi="宋体" w:eastAsia="宋体" w:cs="Times New Roman"/>
                <w:bCs/>
              </w:rPr>
            </w:pPr>
            <w:r>
              <w:rPr>
                <w:rFonts w:hint="eastAsia" w:ascii="宋体" w:hAnsi="宋体" w:eastAsia="宋体" w:cs="Times New Roman"/>
                <w:bCs/>
                <w:sz w:val="18"/>
                <w:szCs w:val="18"/>
                <w:lang w:val="en-US" w:eastAsia="zh-CN"/>
              </w:rPr>
              <w:t>A060501</w:t>
            </w:r>
          </w:p>
        </w:tc>
        <w:tc>
          <w:tcPr>
            <w:tcW w:w="708"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组</w:t>
            </w:r>
          </w:p>
        </w:tc>
        <w:tc>
          <w:tcPr>
            <w:tcW w:w="844"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10</w:t>
            </w:r>
          </w:p>
        </w:tc>
        <w:tc>
          <w:tcPr>
            <w:tcW w:w="857"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0.12</w:t>
            </w:r>
          </w:p>
        </w:tc>
        <w:tc>
          <w:tcPr>
            <w:tcW w:w="851"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1.2</w:t>
            </w:r>
          </w:p>
        </w:tc>
        <w:tc>
          <w:tcPr>
            <w:tcW w:w="850"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1.2</w:t>
            </w:r>
          </w:p>
        </w:tc>
        <w:tc>
          <w:tcPr>
            <w:tcW w:w="851" w:type="dxa"/>
            <w:vAlign w:val="center"/>
          </w:tcPr>
          <w:p>
            <w:pPr>
              <w:spacing w:line="560" w:lineRule="exact"/>
              <w:jc w:val="center"/>
              <w:rPr>
                <w:rFonts w:ascii="宋体" w:hAnsi="宋体" w:eastAsia="宋体" w:cs="Times New Roman"/>
                <w:bCs/>
              </w:rPr>
            </w:pPr>
            <w:r>
              <w:rPr>
                <w:rFonts w:hint="eastAsia" w:ascii="宋体" w:hAnsi="宋体" w:eastAsia="宋体" w:cs="Times New Roman"/>
                <w:bCs/>
              </w:rPr>
              <w:t>1.2</w:t>
            </w:r>
          </w:p>
        </w:tc>
        <w:tc>
          <w:tcPr>
            <w:tcW w:w="709" w:type="dxa"/>
            <w:vAlign w:val="center"/>
          </w:tcPr>
          <w:p>
            <w:pPr>
              <w:spacing w:line="560" w:lineRule="exact"/>
              <w:jc w:val="center"/>
              <w:rPr>
                <w:rFonts w:ascii="宋体" w:hAnsi="宋体" w:eastAsia="宋体" w:cs="Times New Roman"/>
                <w:bCs/>
              </w:rPr>
            </w:pPr>
          </w:p>
        </w:tc>
        <w:tc>
          <w:tcPr>
            <w:tcW w:w="850" w:type="dxa"/>
            <w:vAlign w:val="center"/>
          </w:tcPr>
          <w:p>
            <w:pPr>
              <w:spacing w:line="560" w:lineRule="exact"/>
              <w:jc w:val="center"/>
              <w:rPr>
                <w:rFonts w:ascii="宋体" w:hAnsi="宋体" w:eastAsia="宋体" w:cs="Times New Roman"/>
                <w:bCs/>
              </w:rPr>
            </w:pPr>
          </w:p>
        </w:tc>
        <w:tc>
          <w:tcPr>
            <w:tcW w:w="851" w:type="dxa"/>
            <w:vAlign w:val="center"/>
          </w:tcPr>
          <w:p>
            <w:pPr>
              <w:spacing w:line="560" w:lineRule="exact"/>
              <w:jc w:val="center"/>
              <w:rPr>
                <w:rFonts w:ascii="宋体" w:hAnsi="宋体" w:eastAsia="宋体" w:cs="Times New Roman"/>
                <w:bCs/>
              </w:rPr>
            </w:pPr>
          </w:p>
        </w:tc>
        <w:tc>
          <w:tcPr>
            <w:tcW w:w="933" w:type="dxa"/>
            <w:vAlign w:val="center"/>
          </w:tcPr>
          <w:p>
            <w:pPr>
              <w:spacing w:line="560" w:lineRule="exact"/>
              <w:jc w:val="center"/>
              <w:rPr>
                <w:rFonts w:ascii="宋体" w:hAnsi="宋体" w:eastAsia="宋体" w:cs="Times New Roman"/>
                <w:bC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153" w:type="dxa"/>
            <w:vAlign w:val="top"/>
          </w:tcPr>
          <w:p>
            <w:pPr>
              <w:rPr>
                <w:rFonts w:ascii="宋体" w:hAnsi="宋体" w:eastAsia="宋体" w:cs="宋体"/>
                <w:color w:val="000000"/>
                <w:sz w:val="18"/>
                <w:szCs w:val="18"/>
              </w:rPr>
            </w:pPr>
            <w:r>
              <w:rPr>
                <w:rFonts w:hint="eastAsia" w:eastAsia="宋体"/>
                <w:color w:val="000000"/>
                <w:sz w:val="18"/>
                <w:szCs w:val="18"/>
                <w:highlight w:val="yellow"/>
                <w:lang w:eastAsia="zh-CN"/>
              </w:rPr>
              <w:t>合计</w:t>
            </w:r>
          </w:p>
        </w:tc>
        <w:tc>
          <w:tcPr>
            <w:tcW w:w="709" w:type="dxa"/>
          </w:tcPr>
          <w:p>
            <w:pPr>
              <w:spacing w:line="560" w:lineRule="exact"/>
              <w:jc w:val="center"/>
              <w:rPr>
                <w:rFonts w:hint="eastAsia" w:ascii="宋体" w:hAnsi="宋体" w:eastAsia="宋体" w:cs="Times New Roman"/>
                <w:bCs/>
                <w:lang w:val="en-US" w:eastAsia="zh-CN"/>
              </w:rPr>
            </w:pPr>
            <w:r>
              <w:rPr>
                <w:rFonts w:hint="eastAsia" w:ascii="宋体" w:hAnsi="宋体" w:eastAsia="宋体" w:cs="Times New Roman"/>
                <w:bCs/>
                <w:sz w:val="18"/>
                <w:szCs w:val="18"/>
                <w:lang w:val="en-US" w:eastAsia="zh-CN"/>
              </w:rPr>
              <w:t>11.95</w:t>
            </w:r>
          </w:p>
        </w:tc>
        <w:tc>
          <w:tcPr>
            <w:tcW w:w="1984" w:type="dxa"/>
          </w:tcPr>
          <w:p>
            <w:pPr>
              <w:jc w:val="center"/>
              <w:rPr>
                <w:rFonts w:ascii="宋体" w:hAnsi="宋体" w:eastAsia="宋体" w:cs="宋体"/>
                <w:color w:val="000000"/>
                <w:sz w:val="18"/>
                <w:szCs w:val="18"/>
              </w:rPr>
            </w:pPr>
          </w:p>
        </w:tc>
        <w:tc>
          <w:tcPr>
            <w:tcW w:w="851" w:type="dxa"/>
          </w:tcPr>
          <w:p>
            <w:pPr>
              <w:spacing w:line="560" w:lineRule="exact"/>
              <w:jc w:val="center"/>
              <w:rPr>
                <w:rFonts w:ascii="宋体" w:hAnsi="宋体" w:eastAsia="宋体" w:cs="Times New Roman"/>
                <w:bCs/>
              </w:rPr>
            </w:pPr>
          </w:p>
        </w:tc>
        <w:tc>
          <w:tcPr>
            <w:tcW w:w="708" w:type="dxa"/>
          </w:tcPr>
          <w:p>
            <w:pPr>
              <w:spacing w:line="560" w:lineRule="exact"/>
              <w:jc w:val="center"/>
              <w:rPr>
                <w:rFonts w:ascii="宋体" w:hAnsi="宋体" w:eastAsia="宋体" w:cs="Times New Roman"/>
                <w:bCs/>
              </w:rPr>
            </w:pPr>
          </w:p>
        </w:tc>
        <w:tc>
          <w:tcPr>
            <w:tcW w:w="844" w:type="dxa"/>
          </w:tcPr>
          <w:p>
            <w:pPr>
              <w:spacing w:line="560" w:lineRule="exact"/>
              <w:jc w:val="center"/>
              <w:rPr>
                <w:rFonts w:ascii="宋体" w:hAnsi="宋体" w:eastAsia="宋体" w:cs="Times New Roman"/>
                <w:bCs/>
              </w:rPr>
            </w:pPr>
          </w:p>
        </w:tc>
        <w:tc>
          <w:tcPr>
            <w:tcW w:w="857" w:type="dxa"/>
          </w:tcPr>
          <w:p>
            <w:pPr>
              <w:spacing w:line="560" w:lineRule="exact"/>
              <w:jc w:val="center"/>
              <w:rPr>
                <w:rFonts w:hint="eastAsia" w:ascii="宋体" w:hAnsi="宋体" w:eastAsia="宋体" w:cs="Times New Roman"/>
                <w:bCs/>
                <w:lang w:val="en-US" w:eastAsia="zh-CN"/>
              </w:rPr>
            </w:pPr>
            <w:r>
              <w:rPr>
                <w:rFonts w:hint="eastAsia" w:ascii="宋体" w:hAnsi="宋体" w:eastAsia="宋体" w:cs="Times New Roman"/>
                <w:bCs/>
                <w:lang w:val="en-US" w:eastAsia="zh-CN"/>
              </w:rPr>
              <w:t>11.95</w:t>
            </w:r>
          </w:p>
        </w:tc>
        <w:tc>
          <w:tcPr>
            <w:tcW w:w="851" w:type="dxa"/>
          </w:tcPr>
          <w:p>
            <w:pPr>
              <w:spacing w:line="560" w:lineRule="exact"/>
              <w:jc w:val="center"/>
              <w:rPr>
                <w:rFonts w:hint="eastAsia" w:ascii="宋体" w:hAnsi="宋体" w:eastAsia="宋体" w:cs="Times New Roman"/>
                <w:bCs/>
                <w:lang w:val="en-US" w:eastAsia="zh-CN"/>
              </w:rPr>
            </w:pPr>
            <w:r>
              <w:rPr>
                <w:rFonts w:hint="eastAsia" w:ascii="宋体" w:hAnsi="宋体" w:eastAsia="宋体" w:cs="Times New Roman"/>
                <w:bCs/>
                <w:lang w:val="en-US" w:eastAsia="zh-CN"/>
              </w:rPr>
              <w:t>11.95</w:t>
            </w:r>
          </w:p>
        </w:tc>
        <w:tc>
          <w:tcPr>
            <w:tcW w:w="850" w:type="dxa"/>
          </w:tcPr>
          <w:p>
            <w:pPr>
              <w:spacing w:line="560" w:lineRule="exact"/>
              <w:jc w:val="center"/>
              <w:rPr>
                <w:rFonts w:hint="eastAsia" w:ascii="宋体" w:hAnsi="宋体" w:eastAsia="宋体" w:cs="Times New Roman"/>
                <w:bCs/>
                <w:lang w:val="en-US" w:eastAsia="zh-CN"/>
              </w:rPr>
            </w:pPr>
            <w:r>
              <w:rPr>
                <w:rFonts w:hint="eastAsia" w:ascii="宋体" w:hAnsi="宋体" w:eastAsia="宋体" w:cs="Times New Roman"/>
                <w:bCs/>
                <w:lang w:val="en-US" w:eastAsia="zh-CN"/>
              </w:rPr>
              <w:t>11.95</w:t>
            </w:r>
          </w:p>
        </w:tc>
        <w:tc>
          <w:tcPr>
            <w:tcW w:w="851" w:type="dxa"/>
          </w:tcPr>
          <w:p>
            <w:pPr>
              <w:spacing w:line="560" w:lineRule="exact"/>
              <w:jc w:val="center"/>
              <w:rPr>
                <w:rFonts w:hint="eastAsia" w:ascii="宋体" w:hAnsi="宋体" w:eastAsia="宋体" w:cs="Times New Roman"/>
                <w:bCs/>
                <w:lang w:val="en-US" w:eastAsia="zh-CN"/>
              </w:rPr>
            </w:pPr>
            <w:r>
              <w:rPr>
                <w:rFonts w:hint="eastAsia" w:ascii="宋体" w:hAnsi="宋体" w:eastAsia="宋体" w:cs="Times New Roman"/>
                <w:bCs/>
                <w:lang w:val="en-US" w:eastAsia="zh-CN"/>
              </w:rPr>
              <w:t>11.95</w:t>
            </w:r>
          </w:p>
        </w:tc>
        <w:tc>
          <w:tcPr>
            <w:tcW w:w="709" w:type="dxa"/>
          </w:tcPr>
          <w:p>
            <w:pPr>
              <w:spacing w:line="560" w:lineRule="exact"/>
              <w:jc w:val="center"/>
              <w:rPr>
                <w:rFonts w:ascii="宋体" w:hAnsi="宋体" w:eastAsia="宋体" w:cs="Times New Roman"/>
                <w:bCs/>
              </w:rPr>
            </w:pPr>
          </w:p>
        </w:tc>
        <w:tc>
          <w:tcPr>
            <w:tcW w:w="850" w:type="dxa"/>
          </w:tcPr>
          <w:p>
            <w:pPr>
              <w:spacing w:line="560" w:lineRule="exact"/>
              <w:jc w:val="center"/>
              <w:rPr>
                <w:rFonts w:ascii="宋体" w:hAnsi="宋体" w:eastAsia="宋体" w:cs="Times New Roman"/>
                <w:bCs/>
              </w:rPr>
            </w:pPr>
          </w:p>
        </w:tc>
        <w:tc>
          <w:tcPr>
            <w:tcW w:w="851" w:type="dxa"/>
          </w:tcPr>
          <w:p>
            <w:pPr>
              <w:spacing w:line="560" w:lineRule="exact"/>
              <w:jc w:val="center"/>
              <w:rPr>
                <w:rFonts w:ascii="宋体" w:hAnsi="宋体" w:eastAsia="宋体" w:cs="Times New Roman"/>
                <w:bCs/>
              </w:rPr>
            </w:pPr>
          </w:p>
        </w:tc>
        <w:tc>
          <w:tcPr>
            <w:tcW w:w="933" w:type="dxa"/>
          </w:tcPr>
          <w:p>
            <w:pPr>
              <w:spacing w:line="560" w:lineRule="exact"/>
              <w:jc w:val="center"/>
              <w:rPr>
                <w:rFonts w:ascii="宋体" w:hAnsi="宋体" w:eastAsia="宋体" w:cs="Times New Roman"/>
                <w:bCs/>
              </w:rPr>
            </w:pPr>
          </w:p>
        </w:tc>
      </w:tr>
    </w:tbl>
    <w:p>
      <w:pPr>
        <w:widowControl/>
        <w:spacing w:line="360" w:lineRule="auto"/>
        <w:ind w:firstLine="640" w:firstLineChars="200"/>
        <w:jc w:val="left"/>
        <w:rPr>
          <w:rFonts w:ascii="黑体" w:hAnsi="黑体" w:eastAsia="黑体" w:cs="黑体"/>
          <w:kern w:val="0"/>
          <w:sz w:val="32"/>
          <w:szCs w:val="32"/>
        </w:rPr>
      </w:pPr>
      <w:r>
        <w:rPr>
          <w:rFonts w:hint="eastAsia" w:ascii="黑体" w:hAnsi="黑体" w:eastAsia="黑体" w:cs="黑体"/>
          <w:kern w:val="0"/>
          <w:sz w:val="32"/>
          <w:szCs w:val="32"/>
          <w:lang w:eastAsia="zh-CN"/>
        </w:rPr>
        <w:t>七</w:t>
      </w:r>
      <w:r>
        <w:rPr>
          <w:rFonts w:hint="eastAsia" w:ascii="黑体" w:hAnsi="黑体" w:eastAsia="黑体" w:cs="黑体"/>
          <w:kern w:val="0"/>
          <w:sz w:val="32"/>
          <w:szCs w:val="32"/>
        </w:rPr>
        <w:t>、国有资产情况的说明</w:t>
      </w:r>
    </w:p>
    <w:tbl>
      <w:tblPr>
        <w:tblStyle w:val="6"/>
        <w:tblW w:w="13750" w:type="dxa"/>
        <w:tblInd w:w="108" w:type="dxa"/>
        <w:tblLayout w:type="fixed"/>
        <w:tblCellMar>
          <w:top w:w="0" w:type="dxa"/>
          <w:left w:w="108" w:type="dxa"/>
          <w:bottom w:w="0" w:type="dxa"/>
          <w:right w:w="108" w:type="dxa"/>
        </w:tblCellMar>
      </w:tblPr>
      <w:tblGrid>
        <w:gridCol w:w="5812"/>
        <w:gridCol w:w="3969"/>
        <w:gridCol w:w="3969"/>
      </w:tblGrid>
      <w:tr>
        <w:tblPrEx>
          <w:tblCellMar>
            <w:top w:w="0" w:type="dxa"/>
            <w:left w:w="108" w:type="dxa"/>
            <w:bottom w:w="0" w:type="dxa"/>
            <w:right w:w="108" w:type="dxa"/>
          </w:tblCellMar>
        </w:tblPrEx>
        <w:trPr>
          <w:trHeight w:val="705" w:hRule="atLeast"/>
        </w:trPr>
        <w:tc>
          <w:tcPr>
            <w:tcW w:w="13750" w:type="dxa"/>
            <w:gridSpan w:val="3"/>
            <w:tcBorders>
              <w:top w:val="nil"/>
              <w:left w:val="nil"/>
              <w:bottom w:val="nil"/>
              <w:right w:val="nil"/>
            </w:tcBorders>
            <w:vAlign w:val="center"/>
          </w:tcPr>
          <w:p>
            <w:pPr>
              <w:widowControl/>
              <w:spacing w:line="360" w:lineRule="auto"/>
              <w:ind w:left="412" w:leftChars="196" w:firstLine="160" w:firstLineChars="50"/>
              <w:jc w:val="left"/>
              <w:rPr>
                <w:rFonts w:ascii="仿宋" w:hAnsi="仿宋" w:eastAsia="仿宋" w:cs="仿宋_GB2312"/>
                <w:kern w:val="0"/>
                <w:sz w:val="32"/>
                <w:szCs w:val="32"/>
              </w:rPr>
            </w:pPr>
            <w:r>
              <w:rPr>
                <w:rFonts w:hint="eastAsia" w:ascii="仿宋" w:hAnsi="仿宋" w:eastAsia="仿宋" w:cs="仿宋_GB2312"/>
                <w:kern w:val="0"/>
                <w:sz w:val="32"/>
                <w:szCs w:val="32"/>
                <w:lang w:val="en-US" w:eastAsia="zh-CN"/>
              </w:rPr>
              <w:t xml:space="preserve"> </w:t>
            </w:r>
            <w:r>
              <w:rPr>
                <w:rFonts w:ascii="仿宋" w:hAnsi="仿宋" w:eastAsia="仿宋" w:cs="仿宋_GB2312"/>
                <w:kern w:val="0"/>
                <w:sz w:val="32"/>
                <w:szCs w:val="32"/>
              </w:rPr>
              <w:t>截止上年末固定资产帐面结余</w:t>
            </w:r>
            <w:r>
              <w:rPr>
                <w:rFonts w:hint="eastAsia" w:ascii="仿宋" w:hAnsi="仿宋" w:eastAsia="仿宋" w:cs="仿宋_GB2312"/>
                <w:kern w:val="0"/>
                <w:sz w:val="32"/>
                <w:szCs w:val="32"/>
              </w:rPr>
              <w:t>219.0849</w:t>
            </w:r>
            <w:r>
              <w:rPr>
                <w:rFonts w:ascii="仿宋" w:hAnsi="仿宋" w:eastAsia="仿宋" w:cs="仿宋_GB2312"/>
                <w:kern w:val="0"/>
                <w:sz w:val="32"/>
                <w:szCs w:val="32"/>
              </w:rPr>
              <w:t>万元。</w:t>
            </w:r>
            <w:r>
              <w:rPr>
                <w:rFonts w:hint="eastAsia" w:ascii="仿宋" w:hAnsi="仿宋" w:eastAsia="仿宋" w:cs="仿宋_GB2312"/>
                <w:kern w:val="0"/>
                <w:sz w:val="32"/>
                <w:szCs w:val="32"/>
              </w:rPr>
              <w:t>其中：房屋价值157万元，车辆价值25万元，其它资产办公用电脑、办公家具、专用设备等价值37.0849万元。</w:t>
            </w:r>
            <w:r>
              <w:rPr>
                <w:rFonts w:hint="eastAsia" w:ascii="仿宋" w:hAnsi="仿宋" w:eastAsia="仿宋" w:cs="仿宋_GB2312"/>
                <w:kern w:val="0"/>
                <w:sz w:val="32"/>
                <w:szCs w:val="32"/>
                <w:lang w:eastAsia="zh-CN"/>
              </w:rPr>
              <w:t>2021</w:t>
            </w:r>
            <w:r>
              <w:rPr>
                <w:rFonts w:hint="eastAsia" w:ascii="仿宋" w:hAnsi="仿宋" w:eastAsia="仿宋" w:cs="仿宋_GB2312"/>
                <w:kern w:val="0"/>
                <w:sz w:val="32"/>
                <w:szCs w:val="32"/>
              </w:rPr>
              <w:t>年我单位拟购置11.6万元。</w:t>
            </w:r>
          </w:p>
          <w:p>
            <w:pPr>
              <w:widowControl/>
              <w:ind w:firstLine="2393" w:firstLineChars="745"/>
              <w:rPr>
                <w:rFonts w:ascii="仿宋" w:hAnsi="仿宋" w:eastAsia="仿宋" w:cs="Times New Roman"/>
                <w:b/>
                <w:bCs/>
                <w:kern w:val="0"/>
                <w:sz w:val="32"/>
                <w:szCs w:val="32"/>
              </w:rPr>
            </w:pPr>
            <w:r>
              <w:rPr>
                <w:rFonts w:hint="eastAsia" w:ascii="仿宋" w:hAnsi="仿宋" w:eastAsia="仿宋" w:cs="宋体"/>
                <w:b/>
                <w:bCs/>
                <w:kern w:val="0"/>
                <w:sz w:val="32"/>
                <w:szCs w:val="32"/>
              </w:rPr>
              <w:t>部门固定资产占用情况表</w:t>
            </w:r>
          </w:p>
        </w:tc>
      </w:tr>
      <w:tr>
        <w:tblPrEx>
          <w:tblCellMar>
            <w:top w:w="0" w:type="dxa"/>
            <w:left w:w="108" w:type="dxa"/>
            <w:bottom w:w="0" w:type="dxa"/>
            <w:right w:w="108" w:type="dxa"/>
          </w:tblCellMar>
        </w:tblPrEx>
        <w:trPr>
          <w:trHeight w:val="510" w:hRule="atLeast"/>
        </w:trPr>
        <w:tc>
          <w:tcPr>
            <w:tcW w:w="9781" w:type="dxa"/>
            <w:gridSpan w:val="2"/>
            <w:tcBorders>
              <w:top w:val="nil"/>
              <w:left w:val="nil"/>
              <w:bottom w:val="nil"/>
              <w:right w:val="nil"/>
            </w:tcBorders>
            <w:vAlign w:val="center"/>
          </w:tcPr>
          <w:p>
            <w:pPr>
              <w:widowControl/>
              <w:jc w:val="left"/>
              <w:rPr>
                <w:rFonts w:ascii="仿宋" w:hAnsi="仿宋" w:eastAsia="仿宋" w:cs="Times New Roman"/>
                <w:kern w:val="0"/>
                <w:sz w:val="22"/>
              </w:rPr>
            </w:pPr>
            <w:r>
              <w:rPr>
                <w:rFonts w:hint="eastAsia" w:ascii="仿宋" w:hAnsi="仿宋" w:eastAsia="仿宋" w:cs="宋体"/>
                <w:kern w:val="0"/>
                <w:sz w:val="22"/>
              </w:rPr>
              <w:t>编制部门：柏寺营乡人民政府</w:t>
            </w:r>
          </w:p>
        </w:tc>
        <w:tc>
          <w:tcPr>
            <w:tcW w:w="3969" w:type="dxa"/>
            <w:tcBorders>
              <w:top w:val="nil"/>
              <w:left w:val="nil"/>
              <w:bottom w:val="nil"/>
              <w:right w:val="nil"/>
            </w:tcBorders>
            <w:vAlign w:val="center"/>
          </w:tcPr>
          <w:p>
            <w:pPr>
              <w:widowControl/>
              <w:ind w:firstLine="550" w:firstLineChars="250"/>
              <w:jc w:val="left"/>
              <w:rPr>
                <w:rFonts w:ascii="仿宋" w:hAnsi="仿宋" w:eastAsia="仿宋" w:cs="宋体"/>
                <w:kern w:val="0"/>
                <w:sz w:val="22"/>
              </w:rPr>
            </w:pPr>
            <w:r>
              <w:rPr>
                <w:rFonts w:hint="eastAsia" w:ascii="仿宋" w:hAnsi="仿宋" w:eastAsia="仿宋" w:cs="宋体"/>
                <w:kern w:val="0"/>
                <w:sz w:val="22"/>
              </w:rPr>
              <w:t>截止时间：</w:t>
            </w:r>
            <w:r>
              <w:rPr>
                <w:rFonts w:hint="eastAsia" w:ascii="仿宋" w:hAnsi="仿宋" w:eastAsia="仿宋" w:cs="宋体"/>
                <w:kern w:val="0"/>
                <w:sz w:val="22"/>
                <w:lang w:eastAsia="zh-CN"/>
              </w:rPr>
              <w:t>2020</w:t>
            </w:r>
            <w:r>
              <w:rPr>
                <w:rFonts w:hint="eastAsia" w:ascii="仿宋" w:hAnsi="仿宋" w:eastAsia="仿宋" w:cs="宋体"/>
                <w:kern w:val="0"/>
                <w:sz w:val="22"/>
              </w:rPr>
              <w:t>年</w:t>
            </w:r>
            <w:r>
              <w:rPr>
                <w:rFonts w:ascii="仿宋" w:hAnsi="仿宋" w:eastAsia="仿宋" w:cs="宋体"/>
                <w:kern w:val="0"/>
                <w:sz w:val="22"/>
              </w:rPr>
              <w:t>12</w:t>
            </w:r>
            <w:r>
              <w:rPr>
                <w:rFonts w:hint="eastAsia" w:ascii="仿宋" w:hAnsi="仿宋" w:eastAsia="仿宋" w:cs="宋体"/>
                <w:kern w:val="0"/>
                <w:sz w:val="22"/>
              </w:rPr>
              <w:t>月</w:t>
            </w:r>
            <w:r>
              <w:rPr>
                <w:rFonts w:ascii="仿宋" w:hAnsi="仿宋" w:eastAsia="仿宋" w:cs="宋体"/>
                <w:kern w:val="0"/>
                <w:sz w:val="22"/>
              </w:rPr>
              <w:t>31</w:t>
            </w:r>
            <w:r>
              <w:rPr>
                <w:rFonts w:hint="eastAsia" w:ascii="仿宋" w:hAnsi="仿宋" w:eastAsia="仿宋" w:cs="宋体"/>
                <w:kern w:val="0"/>
                <w:sz w:val="22"/>
              </w:rPr>
              <w:t>日</w:t>
            </w:r>
          </w:p>
        </w:tc>
      </w:tr>
      <w:tr>
        <w:tblPrEx>
          <w:tblCellMar>
            <w:top w:w="0" w:type="dxa"/>
            <w:left w:w="108" w:type="dxa"/>
            <w:bottom w:w="0" w:type="dxa"/>
            <w:right w:w="108" w:type="dxa"/>
          </w:tblCellMar>
        </w:tblPrEx>
        <w:trPr>
          <w:trHeight w:val="645" w:hRule="atLeast"/>
        </w:trPr>
        <w:tc>
          <w:tcPr>
            <w:tcW w:w="5812"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Times New Roman"/>
                <w:b/>
                <w:bCs/>
                <w:kern w:val="0"/>
                <w:sz w:val="22"/>
              </w:rPr>
            </w:pPr>
            <w:r>
              <w:rPr>
                <w:rFonts w:hint="eastAsia" w:ascii="仿宋" w:hAnsi="仿宋" w:eastAsia="仿宋" w:cs="宋体"/>
                <w:b/>
                <w:bCs/>
                <w:kern w:val="0"/>
                <w:sz w:val="22"/>
              </w:rPr>
              <w:t>项目</w:t>
            </w:r>
          </w:p>
        </w:tc>
        <w:tc>
          <w:tcPr>
            <w:tcW w:w="3969"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Times New Roman"/>
                <w:b/>
                <w:bCs/>
                <w:kern w:val="0"/>
                <w:sz w:val="22"/>
              </w:rPr>
            </w:pPr>
            <w:r>
              <w:rPr>
                <w:rFonts w:hint="eastAsia" w:ascii="仿宋" w:hAnsi="仿宋" w:eastAsia="仿宋" w:cs="宋体"/>
                <w:b/>
                <w:bCs/>
                <w:kern w:val="0"/>
                <w:sz w:val="22"/>
              </w:rPr>
              <w:t>数量</w:t>
            </w:r>
          </w:p>
        </w:tc>
        <w:tc>
          <w:tcPr>
            <w:tcW w:w="3969"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Times New Roman"/>
                <w:b/>
                <w:bCs/>
                <w:kern w:val="0"/>
                <w:sz w:val="22"/>
              </w:rPr>
            </w:pPr>
            <w:r>
              <w:rPr>
                <w:rFonts w:hint="eastAsia" w:ascii="仿宋" w:hAnsi="仿宋" w:eastAsia="仿宋" w:cs="宋体"/>
                <w:b/>
                <w:bCs/>
                <w:kern w:val="0"/>
                <w:sz w:val="22"/>
              </w:rPr>
              <w:t>价值（金额单位：万元）</w:t>
            </w:r>
          </w:p>
        </w:tc>
      </w:tr>
      <w:tr>
        <w:tblPrEx>
          <w:tblCellMar>
            <w:top w:w="0" w:type="dxa"/>
            <w:left w:w="108" w:type="dxa"/>
            <w:bottom w:w="0" w:type="dxa"/>
            <w:right w:w="108" w:type="dxa"/>
          </w:tblCellMar>
        </w:tblPrEx>
        <w:trPr>
          <w:trHeight w:val="645" w:hRule="atLeast"/>
        </w:trPr>
        <w:tc>
          <w:tcPr>
            <w:tcW w:w="5812" w:type="dxa"/>
            <w:tcBorders>
              <w:top w:val="nil"/>
              <w:left w:val="single" w:color="auto" w:sz="4" w:space="0"/>
              <w:bottom w:val="single" w:color="auto" w:sz="4" w:space="0"/>
              <w:right w:val="single" w:color="auto" w:sz="4" w:space="0"/>
            </w:tcBorders>
            <w:vAlign w:val="center"/>
          </w:tcPr>
          <w:p>
            <w:pPr>
              <w:widowControl/>
              <w:jc w:val="center"/>
              <w:rPr>
                <w:rFonts w:ascii="仿宋" w:hAnsi="仿宋" w:eastAsia="仿宋" w:cs="Times New Roman"/>
                <w:kern w:val="0"/>
                <w:sz w:val="22"/>
              </w:rPr>
            </w:pPr>
            <w:r>
              <w:rPr>
                <w:rFonts w:hint="eastAsia" w:ascii="仿宋" w:hAnsi="仿宋" w:eastAsia="仿宋" w:cs="宋体"/>
                <w:kern w:val="0"/>
                <w:sz w:val="22"/>
              </w:rPr>
              <w:t>资产总额</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2"/>
              </w:rPr>
            </w:pPr>
            <w:r>
              <w:rPr>
                <w:rFonts w:ascii="仿宋" w:hAnsi="仿宋" w:eastAsia="仿宋" w:cs="宋体"/>
                <w:kern w:val="0"/>
                <w:sz w:val="22"/>
              </w:rPr>
              <w:t>——</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宋体"/>
                <w:kern w:val="0"/>
                <w:sz w:val="22"/>
              </w:rPr>
            </w:pPr>
            <w:r>
              <w:rPr>
                <w:rFonts w:hint="eastAsia" w:ascii="仿宋" w:hAnsi="仿宋" w:eastAsia="仿宋" w:cs="宋体"/>
                <w:kern w:val="0"/>
                <w:sz w:val="22"/>
              </w:rPr>
              <w:t>219.0849</w:t>
            </w:r>
          </w:p>
        </w:tc>
      </w:tr>
      <w:tr>
        <w:tblPrEx>
          <w:tblCellMar>
            <w:top w:w="0" w:type="dxa"/>
            <w:left w:w="108" w:type="dxa"/>
            <w:bottom w:w="0" w:type="dxa"/>
            <w:right w:w="108" w:type="dxa"/>
          </w:tblCellMar>
        </w:tblPrEx>
        <w:trPr>
          <w:trHeight w:val="645" w:hRule="atLeast"/>
        </w:trPr>
        <w:tc>
          <w:tcPr>
            <w:tcW w:w="5812" w:type="dxa"/>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imes New Roman"/>
                <w:kern w:val="0"/>
                <w:sz w:val="22"/>
              </w:rPr>
            </w:pPr>
            <w:r>
              <w:rPr>
                <w:rFonts w:ascii="仿宋" w:hAnsi="仿宋" w:eastAsia="仿宋" w:cs="宋体"/>
                <w:kern w:val="0"/>
                <w:sz w:val="22"/>
              </w:rPr>
              <w:t>1</w:t>
            </w:r>
            <w:r>
              <w:rPr>
                <w:rFonts w:hint="eastAsia" w:ascii="仿宋" w:hAnsi="仿宋" w:eastAsia="仿宋" w:cs="宋体"/>
                <w:kern w:val="0"/>
                <w:sz w:val="22"/>
              </w:rPr>
              <w:t>、房屋（平方米）</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Times New Roman"/>
                <w:kern w:val="0"/>
                <w:sz w:val="22"/>
              </w:rPr>
            </w:pPr>
            <w:r>
              <w:rPr>
                <w:rFonts w:hint="eastAsia" w:ascii="仿宋" w:hAnsi="仿宋" w:eastAsia="仿宋" w:cs="Times New Roman"/>
                <w:kern w:val="0"/>
                <w:sz w:val="22"/>
              </w:rPr>
              <w:t>1187</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Times New Roman"/>
                <w:kern w:val="0"/>
                <w:sz w:val="22"/>
              </w:rPr>
            </w:pPr>
            <w:r>
              <w:rPr>
                <w:rFonts w:hint="eastAsia" w:ascii="仿宋" w:hAnsi="仿宋" w:eastAsia="仿宋" w:cs="Times New Roman"/>
                <w:kern w:val="0"/>
                <w:sz w:val="22"/>
              </w:rPr>
              <w:t>157</w:t>
            </w:r>
          </w:p>
        </w:tc>
      </w:tr>
      <w:tr>
        <w:tblPrEx>
          <w:tblCellMar>
            <w:top w:w="0" w:type="dxa"/>
            <w:left w:w="108" w:type="dxa"/>
            <w:bottom w:w="0" w:type="dxa"/>
            <w:right w:w="108" w:type="dxa"/>
          </w:tblCellMar>
        </w:tblPrEx>
        <w:trPr>
          <w:trHeight w:val="645" w:hRule="atLeast"/>
        </w:trPr>
        <w:tc>
          <w:tcPr>
            <w:tcW w:w="5812" w:type="dxa"/>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imes New Roman"/>
                <w:kern w:val="0"/>
                <w:sz w:val="22"/>
              </w:rPr>
            </w:pPr>
            <w:r>
              <w:rPr>
                <w:rFonts w:hint="eastAsia" w:ascii="仿宋" w:hAnsi="仿宋" w:eastAsia="仿宋" w:cs="宋体"/>
                <w:kern w:val="0"/>
                <w:sz w:val="22"/>
              </w:rPr>
              <w:t>其中：办公用房（平方米）</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Times New Roman"/>
                <w:kern w:val="0"/>
                <w:sz w:val="22"/>
              </w:rPr>
            </w:pPr>
            <w:r>
              <w:rPr>
                <w:rFonts w:hint="eastAsia" w:ascii="仿宋" w:hAnsi="仿宋" w:eastAsia="仿宋" w:cs="Times New Roman"/>
                <w:kern w:val="0"/>
                <w:sz w:val="22"/>
              </w:rPr>
              <w:t>1150</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Times New Roman"/>
                <w:kern w:val="0"/>
                <w:sz w:val="22"/>
              </w:rPr>
            </w:pPr>
          </w:p>
        </w:tc>
      </w:tr>
      <w:tr>
        <w:tblPrEx>
          <w:tblCellMar>
            <w:top w:w="0" w:type="dxa"/>
            <w:left w:w="108" w:type="dxa"/>
            <w:bottom w:w="0" w:type="dxa"/>
            <w:right w:w="108" w:type="dxa"/>
          </w:tblCellMar>
        </w:tblPrEx>
        <w:trPr>
          <w:trHeight w:val="645" w:hRule="atLeast"/>
        </w:trPr>
        <w:tc>
          <w:tcPr>
            <w:tcW w:w="5812" w:type="dxa"/>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imes New Roman"/>
                <w:kern w:val="0"/>
                <w:sz w:val="22"/>
              </w:rPr>
            </w:pPr>
            <w:r>
              <w:rPr>
                <w:rFonts w:ascii="仿宋" w:hAnsi="仿宋" w:eastAsia="仿宋" w:cs="宋体"/>
                <w:kern w:val="0"/>
                <w:sz w:val="22"/>
              </w:rPr>
              <w:t>2</w:t>
            </w:r>
            <w:r>
              <w:rPr>
                <w:rFonts w:hint="eastAsia" w:ascii="仿宋" w:hAnsi="仿宋" w:eastAsia="仿宋" w:cs="宋体"/>
                <w:kern w:val="0"/>
                <w:sz w:val="22"/>
              </w:rPr>
              <w:t>、车辆（台、辆）</w:t>
            </w:r>
          </w:p>
        </w:tc>
        <w:tc>
          <w:tcPr>
            <w:tcW w:w="3969" w:type="dxa"/>
            <w:tcBorders>
              <w:top w:val="nil"/>
              <w:left w:val="nil"/>
              <w:bottom w:val="single" w:color="auto" w:sz="4" w:space="0"/>
              <w:right w:val="single" w:color="auto" w:sz="4" w:space="0"/>
            </w:tcBorders>
            <w:vAlign w:val="center"/>
          </w:tcPr>
          <w:p>
            <w:pPr>
              <w:widowControl/>
              <w:jc w:val="center"/>
              <w:rPr>
                <w:rFonts w:hint="default" w:ascii="仿宋" w:hAnsi="仿宋" w:eastAsia="仿宋" w:cs="Times New Roman"/>
                <w:kern w:val="0"/>
                <w:sz w:val="22"/>
                <w:lang w:val="en-US" w:eastAsia="zh-CN"/>
              </w:rPr>
            </w:pPr>
            <w:r>
              <w:rPr>
                <w:rFonts w:hint="eastAsia" w:ascii="仿宋" w:hAnsi="仿宋" w:eastAsia="仿宋" w:cs="Times New Roman"/>
                <w:kern w:val="0"/>
                <w:sz w:val="22"/>
                <w:lang w:val="en-US" w:eastAsia="zh-CN"/>
              </w:rPr>
              <w:t>2</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Times New Roman"/>
                <w:kern w:val="0"/>
                <w:sz w:val="22"/>
              </w:rPr>
            </w:pPr>
            <w:r>
              <w:rPr>
                <w:rFonts w:hint="eastAsia" w:ascii="仿宋" w:hAnsi="仿宋" w:eastAsia="仿宋" w:cs="Times New Roman"/>
                <w:kern w:val="0"/>
                <w:sz w:val="22"/>
              </w:rPr>
              <w:t>25</w:t>
            </w:r>
          </w:p>
        </w:tc>
      </w:tr>
      <w:tr>
        <w:tblPrEx>
          <w:tblCellMar>
            <w:top w:w="0" w:type="dxa"/>
            <w:left w:w="108" w:type="dxa"/>
            <w:bottom w:w="0" w:type="dxa"/>
            <w:right w:w="108" w:type="dxa"/>
          </w:tblCellMar>
        </w:tblPrEx>
        <w:trPr>
          <w:trHeight w:val="645" w:hRule="atLeast"/>
        </w:trPr>
        <w:tc>
          <w:tcPr>
            <w:tcW w:w="5812" w:type="dxa"/>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imes New Roman"/>
                <w:kern w:val="0"/>
                <w:sz w:val="22"/>
              </w:rPr>
            </w:pPr>
            <w:r>
              <w:rPr>
                <w:rFonts w:ascii="仿宋" w:hAnsi="仿宋" w:eastAsia="仿宋" w:cs="宋体"/>
                <w:kern w:val="0"/>
                <w:sz w:val="22"/>
              </w:rPr>
              <w:t>3</w:t>
            </w:r>
            <w:r>
              <w:rPr>
                <w:rFonts w:hint="eastAsia" w:ascii="仿宋" w:hAnsi="仿宋" w:eastAsia="仿宋" w:cs="宋体"/>
                <w:kern w:val="0"/>
                <w:sz w:val="22"/>
              </w:rPr>
              <w:t>、单价在</w:t>
            </w:r>
            <w:r>
              <w:rPr>
                <w:rFonts w:ascii="仿宋" w:hAnsi="仿宋" w:eastAsia="仿宋" w:cs="宋体"/>
                <w:kern w:val="0"/>
                <w:sz w:val="22"/>
              </w:rPr>
              <w:t>50</w:t>
            </w:r>
            <w:r>
              <w:rPr>
                <w:rFonts w:hint="eastAsia" w:ascii="仿宋" w:hAnsi="仿宋" w:eastAsia="仿宋" w:cs="宋体"/>
                <w:kern w:val="0"/>
                <w:sz w:val="22"/>
              </w:rPr>
              <w:t>万元以上的设备</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Times New Roman"/>
                <w:kern w:val="0"/>
                <w:sz w:val="22"/>
              </w:rPr>
            </w:pP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Times New Roman"/>
                <w:kern w:val="0"/>
                <w:sz w:val="22"/>
              </w:rPr>
            </w:pPr>
          </w:p>
        </w:tc>
      </w:tr>
      <w:tr>
        <w:tblPrEx>
          <w:tblCellMar>
            <w:top w:w="0" w:type="dxa"/>
            <w:left w:w="108" w:type="dxa"/>
            <w:bottom w:w="0" w:type="dxa"/>
            <w:right w:w="108" w:type="dxa"/>
          </w:tblCellMar>
        </w:tblPrEx>
        <w:trPr>
          <w:trHeight w:val="645" w:hRule="atLeast"/>
        </w:trPr>
        <w:tc>
          <w:tcPr>
            <w:tcW w:w="5812" w:type="dxa"/>
            <w:tcBorders>
              <w:top w:val="nil"/>
              <w:left w:val="single" w:color="auto" w:sz="4" w:space="0"/>
              <w:bottom w:val="single" w:color="auto" w:sz="4" w:space="0"/>
              <w:right w:val="single" w:color="auto" w:sz="4" w:space="0"/>
            </w:tcBorders>
            <w:vAlign w:val="center"/>
          </w:tcPr>
          <w:p>
            <w:pPr>
              <w:widowControl/>
              <w:jc w:val="left"/>
              <w:rPr>
                <w:rFonts w:ascii="仿宋" w:hAnsi="仿宋" w:eastAsia="仿宋" w:cs="Times New Roman"/>
                <w:kern w:val="0"/>
                <w:sz w:val="22"/>
              </w:rPr>
            </w:pPr>
            <w:r>
              <w:rPr>
                <w:rFonts w:ascii="仿宋" w:hAnsi="仿宋" w:eastAsia="仿宋" w:cs="宋体"/>
                <w:kern w:val="0"/>
                <w:sz w:val="22"/>
              </w:rPr>
              <w:t>4</w:t>
            </w:r>
            <w:r>
              <w:rPr>
                <w:rFonts w:hint="eastAsia" w:ascii="仿宋" w:hAnsi="仿宋" w:eastAsia="仿宋" w:cs="宋体"/>
                <w:kern w:val="0"/>
                <w:sz w:val="22"/>
              </w:rPr>
              <w:t>、其他固定资产</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Times New Roman"/>
                <w:kern w:val="0"/>
                <w:sz w:val="22"/>
              </w:rPr>
            </w:pPr>
            <w:r>
              <w:rPr>
                <w:rFonts w:hint="eastAsia" w:ascii="仿宋" w:hAnsi="仿宋" w:eastAsia="仿宋" w:cs="Times New Roman"/>
                <w:kern w:val="0"/>
                <w:sz w:val="22"/>
              </w:rPr>
              <w:t>30</w:t>
            </w:r>
          </w:p>
        </w:tc>
        <w:tc>
          <w:tcPr>
            <w:tcW w:w="3969" w:type="dxa"/>
            <w:tcBorders>
              <w:top w:val="nil"/>
              <w:left w:val="nil"/>
              <w:bottom w:val="single" w:color="auto" w:sz="4" w:space="0"/>
              <w:right w:val="single" w:color="auto" w:sz="4" w:space="0"/>
            </w:tcBorders>
            <w:vAlign w:val="center"/>
          </w:tcPr>
          <w:p>
            <w:pPr>
              <w:widowControl/>
              <w:jc w:val="center"/>
              <w:rPr>
                <w:rFonts w:ascii="仿宋" w:hAnsi="仿宋" w:eastAsia="仿宋" w:cs="Times New Roman"/>
                <w:kern w:val="0"/>
                <w:sz w:val="22"/>
              </w:rPr>
            </w:pPr>
            <w:r>
              <w:rPr>
                <w:rFonts w:hint="eastAsia" w:ascii="仿宋" w:hAnsi="仿宋" w:eastAsia="仿宋" w:cs="宋体"/>
                <w:kern w:val="0"/>
                <w:sz w:val="22"/>
              </w:rPr>
              <w:t>37.0849</w:t>
            </w:r>
          </w:p>
        </w:tc>
      </w:tr>
    </w:tbl>
    <w:p>
      <w:pPr>
        <w:widowControl/>
        <w:spacing w:line="360" w:lineRule="auto"/>
        <w:ind w:firstLine="627" w:firstLineChars="196"/>
        <w:jc w:val="left"/>
        <w:rPr>
          <w:rFonts w:ascii="黑体" w:hAnsi="黑体" w:eastAsia="黑体" w:cs="黑体"/>
          <w:kern w:val="0"/>
          <w:sz w:val="32"/>
          <w:szCs w:val="32"/>
        </w:rPr>
      </w:pPr>
      <w:r>
        <w:rPr>
          <w:rFonts w:hint="eastAsia" w:ascii="黑体" w:hAnsi="黑体" w:eastAsia="黑体" w:cs="黑体"/>
          <w:kern w:val="0"/>
          <w:sz w:val="32"/>
          <w:szCs w:val="32"/>
          <w:lang w:eastAsia="zh-CN"/>
        </w:rPr>
        <w:t>八</w:t>
      </w:r>
      <w:r>
        <w:rPr>
          <w:rFonts w:hint="eastAsia" w:ascii="黑体" w:hAnsi="黑体" w:eastAsia="黑体" w:cs="黑体"/>
          <w:kern w:val="0"/>
          <w:sz w:val="32"/>
          <w:szCs w:val="32"/>
        </w:rPr>
        <w:t>、名词解释</w:t>
      </w:r>
      <w:r>
        <w:rPr>
          <w:rFonts w:hint="eastAsia" w:ascii="宋体" w:hAnsi="宋体" w:eastAsia="宋体" w:cs="宋体"/>
          <w:kern w:val="0"/>
          <w:sz w:val="32"/>
          <w:szCs w:val="32"/>
        </w:rPr>
        <w:t> </w:t>
      </w:r>
    </w:p>
    <w:p>
      <w:pPr>
        <w:pStyle w:val="10"/>
        <w:widowControl/>
        <w:numPr>
          <w:ilvl w:val="0"/>
          <w:numId w:val="5"/>
        </w:numPr>
        <w:spacing w:line="360" w:lineRule="auto"/>
        <w:ind w:firstLineChars="0"/>
        <w:jc w:val="left"/>
        <w:rPr>
          <w:rFonts w:ascii="仿宋" w:hAnsi="仿宋" w:eastAsia="仿宋" w:cs="仿宋_GB2312"/>
          <w:kern w:val="0"/>
          <w:sz w:val="32"/>
          <w:szCs w:val="32"/>
        </w:rPr>
      </w:pPr>
      <w:r>
        <w:rPr>
          <w:rFonts w:hint="eastAsia" w:ascii="仿宋" w:hAnsi="仿宋" w:eastAsia="仿宋" w:cs="楷体_GB2312"/>
          <w:b/>
          <w:kern w:val="0"/>
          <w:sz w:val="32"/>
          <w:szCs w:val="32"/>
        </w:rPr>
        <w:t>财政拨款收入</w:t>
      </w:r>
      <w:r>
        <w:rPr>
          <w:rFonts w:hint="eastAsia" w:ascii="仿宋" w:hAnsi="仿宋" w:eastAsia="仿宋" w:cs="仿宋_GB2312"/>
          <w:bCs/>
          <w:kern w:val="0"/>
          <w:sz w:val="32"/>
          <w:szCs w:val="32"/>
        </w:rPr>
        <w:t>：指</w:t>
      </w:r>
      <w:r>
        <w:rPr>
          <w:rFonts w:hint="eastAsia" w:ascii="仿宋" w:hAnsi="仿宋" w:eastAsia="仿宋" w:cs="仿宋_GB2312"/>
          <w:kern w:val="0"/>
          <w:sz w:val="32"/>
          <w:szCs w:val="32"/>
        </w:rPr>
        <w:t>财政当年拨付的资金。</w:t>
      </w:r>
    </w:p>
    <w:p>
      <w:pPr>
        <w:widowControl/>
        <w:spacing w:line="360" w:lineRule="auto"/>
        <w:ind w:firstLine="630" w:firstLineChars="196"/>
        <w:jc w:val="left"/>
        <w:rPr>
          <w:rFonts w:ascii="仿宋" w:hAnsi="仿宋" w:eastAsia="仿宋" w:cs="仿宋_GB2312"/>
          <w:kern w:val="0"/>
          <w:sz w:val="32"/>
          <w:szCs w:val="32"/>
        </w:rPr>
      </w:pPr>
      <w:r>
        <w:rPr>
          <w:rFonts w:hint="eastAsia" w:ascii="仿宋" w:hAnsi="仿宋" w:eastAsia="仿宋" w:cs="楷体_GB2312"/>
          <w:b/>
          <w:bCs/>
          <w:kern w:val="0"/>
          <w:sz w:val="32"/>
          <w:szCs w:val="32"/>
        </w:rPr>
        <w:t>2、“三公”经费</w:t>
      </w:r>
      <w:r>
        <w:rPr>
          <w:rFonts w:hint="eastAsia" w:ascii="仿宋" w:hAnsi="仿宋" w:eastAsia="仿宋" w:cs="仿宋_GB2312"/>
          <w:kern w:val="0"/>
          <w:sz w:val="32"/>
          <w:szCs w:val="32"/>
        </w:rPr>
        <w:t>：包括因公出国（境）费、公务接待费和公务用车购置及运行费。因公出国（境）费，指单位工作人员公务出国（境）的住宿费、差旅费、伙食补助费、杂费、培训费等支出。公务接待费，指单位按规定开支的各类公务接待（含外宾接待）支出。公务用车购置及运行费，指单位公务用车购置费及租用费、燃料费、维修费、等支出，公务用车指用于履行公务的机动车辆，包括领导干部专车、一般公务用车和执法执勤等业务用车。</w:t>
      </w:r>
    </w:p>
    <w:p>
      <w:pPr>
        <w:widowControl/>
        <w:spacing w:line="360" w:lineRule="auto"/>
        <w:ind w:firstLine="630" w:firstLineChars="196"/>
        <w:jc w:val="left"/>
        <w:rPr>
          <w:rFonts w:ascii="仿宋" w:hAnsi="仿宋" w:eastAsia="仿宋" w:cs="楷体_GB2312"/>
          <w:b/>
          <w:kern w:val="0"/>
          <w:sz w:val="32"/>
          <w:szCs w:val="32"/>
        </w:rPr>
      </w:pPr>
      <w:r>
        <w:rPr>
          <w:rFonts w:hint="eastAsia" w:ascii="仿宋" w:hAnsi="仿宋" w:eastAsia="仿宋" w:cs="楷体_GB2312"/>
          <w:b/>
          <w:bCs/>
          <w:kern w:val="0"/>
          <w:sz w:val="32"/>
          <w:szCs w:val="32"/>
        </w:rPr>
        <w:t>3、年初结转和结余</w:t>
      </w:r>
      <w:r>
        <w:rPr>
          <w:rFonts w:hint="eastAsia" w:ascii="仿宋" w:hAnsi="仿宋" w:eastAsia="仿宋" w:cs="仿宋_GB2312"/>
          <w:kern w:val="0"/>
          <w:sz w:val="32"/>
          <w:szCs w:val="32"/>
        </w:rPr>
        <w:t>：指以前年度尚未完成，结转到本年仍按照原规定用途继续使用的资金，或项目已完成等产生的结余资金。</w:t>
      </w:r>
      <w:r>
        <w:rPr>
          <w:rFonts w:hint="eastAsia" w:ascii="仿宋" w:hAnsi="仿宋" w:eastAsia="仿宋" w:cs="楷体_GB2312"/>
          <w:b/>
          <w:kern w:val="0"/>
          <w:sz w:val="32"/>
          <w:szCs w:val="32"/>
        </w:rPr>
        <w:t> </w:t>
      </w:r>
    </w:p>
    <w:p>
      <w:pPr>
        <w:widowControl/>
        <w:spacing w:line="360" w:lineRule="auto"/>
        <w:ind w:firstLine="630" w:firstLineChars="196"/>
        <w:jc w:val="left"/>
        <w:rPr>
          <w:rFonts w:ascii="仿宋" w:hAnsi="仿宋" w:eastAsia="仿宋" w:cs="楷体_GB2312"/>
          <w:b/>
          <w:kern w:val="0"/>
          <w:sz w:val="32"/>
          <w:szCs w:val="32"/>
        </w:rPr>
      </w:pPr>
      <w:r>
        <w:rPr>
          <w:rFonts w:hint="eastAsia" w:ascii="仿宋" w:hAnsi="仿宋" w:eastAsia="仿宋" w:cs="楷体_GB2312"/>
          <w:b/>
          <w:kern w:val="0"/>
          <w:sz w:val="32"/>
          <w:szCs w:val="32"/>
        </w:rPr>
        <w:t>4、基本支出</w:t>
      </w:r>
      <w:r>
        <w:rPr>
          <w:rFonts w:hint="eastAsia" w:ascii="仿宋" w:hAnsi="仿宋" w:eastAsia="仿宋" w:cs="仿宋_GB2312"/>
          <w:kern w:val="0"/>
          <w:sz w:val="32"/>
          <w:szCs w:val="32"/>
        </w:rPr>
        <w:t>：指单位为了保障其正常运转、完成日常工作任务而发生的人员支出和公用支出。</w:t>
      </w:r>
      <w:r>
        <w:rPr>
          <w:rFonts w:hint="eastAsia" w:ascii="仿宋" w:hAnsi="仿宋" w:eastAsia="仿宋" w:cs="楷体_GB2312"/>
          <w:b/>
          <w:kern w:val="0"/>
          <w:sz w:val="32"/>
          <w:szCs w:val="32"/>
        </w:rPr>
        <w:t> </w:t>
      </w:r>
    </w:p>
    <w:p>
      <w:pPr>
        <w:widowControl/>
        <w:spacing w:line="360" w:lineRule="auto"/>
        <w:ind w:firstLine="630" w:firstLineChars="196"/>
        <w:jc w:val="left"/>
        <w:rPr>
          <w:rFonts w:ascii="仿宋" w:hAnsi="仿宋" w:eastAsia="仿宋" w:cs="仿宋_GB2312"/>
          <w:kern w:val="0"/>
          <w:sz w:val="32"/>
          <w:szCs w:val="32"/>
        </w:rPr>
      </w:pPr>
      <w:r>
        <w:rPr>
          <w:rFonts w:hint="eastAsia" w:ascii="仿宋" w:hAnsi="仿宋" w:eastAsia="仿宋" w:cs="楷体_GB2312"/>
          <w:b/>
          <w:kern w:val="0"/>
          <w:sz w:val="32"/>
          <w:szCs w:val="32"/>
        </w:rPr>
        <w:t>5、项目支出</w:t>
      </w:r>
      <w:r>
        <w:rPr>
          <w:rFonts w:hint="eastAsia" w:ascii="仿宋" w:hAnsi="仿宋" w:eastAsia="仿宋" w:cs="仿宋_GB2312"/>
          <w:b/>
          <w:kern w:val="0"/>
          <w:sz w:val="32"/>
          <w:szCs w:val="32"/>
        </w:rPr>
        <w:t>：</w:t>
      </w:r>
      <w:r>
        <w:rPr>
          <w:rFonts w:hint="eastAsia" w:ascii="仿宋" w:hAnsi="仿宋" w:eastAsia="仿宋" w:cs="仿宋_GB2312"/>
          <w:kern w:val="0"/>
          <w:sz w:val="32"/>
          <w:szCs w:val="32"/>
        </w:rPr>
        <w:t>指单位为了特定的工作任务和事业发展目标，在基本支出之外所发生的支出。</w:t>
      </w:r>
    </w:p>
    <w:p>
      <w:pPr>
        <w:widowControl/>
        <w:spacing w:line="360" w:lineRule="auto"/>
        <w:ind w:firstLine="627" w:firstLineChars="196"/>
        <w:jc w:val="left"/>
        <w:rPr>
          <w:rFonts w:ascii="黑体" w:hAnsi="黑体" w:eastAsia="黑体" w:cs="黑体"/>
          <w:bCs/>
          <w:kern w:val="0"/>
          <w:sz w:val="32"/>
          <w:szCs w:val="32"/>
        </w:rPr>
      </w:pPr>
      <w:r>
        <w:rPr>
          <w:rFonts w:hint="eastAsia" w:ascii="黑体" w:hAnsi="黑体" w:eastAsia="黑体" w:cs="黑体"/>
          <w:bCs/>
          <w:kern w:val="0"/>
          <w:sz w:val="32"/>
          <w:szCs w:val="32"/>
          <w:lang w:eastAsia="zh-CN"/>
        </w:rPr>
        <w:t>九</w:t>
      </w:r>
      <w:r>
        <w:rPr>
          <w:rFonts w:hint="eastAsia" w:ascii="黑体" w:hAnsi="黑体" w:eastAsia="黑体" w:cs="黑体"/>
          <w:bCs/>
          <w:kern w:val="0"/>
          <w:sz w:val="32"/>
          <w:szCs w:val="32"/>
        </w:rPr>
        <w:t>、其他需要说明的事项</w:t>
      </w:r>
    </w:p>
    <w:p>
      <w:pPr>
        <w:widowControl/>
        <w:spacing w:line="360" w:lineRule="auto"/>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无其他需要说明的事项。</w:t>
      </w:r>
    </w:p>
    <w:p>
      <w:pPr>
        <w:widowControl/>
        <w:spacing w:line="360" w:lineRule="auto"/>
        <w:jc w:val="left"/>
        <w:rPr>
          <w:rFonts w:ascii="仿宋" w:hAnsi="仿宋" w:eastAsia="仿宋" w:cs="仿宋_GB2312"/>
          <w:kern w:val="0"/>
          <w:sz w:val="32"/>
          <w:szCs w:val="32"/>
        </w:rPr>
      </w:pPr>
    </w:p>
    <w:sectPr>
      <w:pgSz w:w="16839" w:h="11907" w:orient="landscape"/>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altName w:val="宋体"/>
    <w:panose1 w:val="00000000000000000000"/>
    <w:charset w:val="86"/>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5063E"/>
    <w:multiLevelType w:val="singleLevel"/>
    <w:tmpl w:val="8555063E"/>
    <w:lvl w:ilvl="0" w:tentative="0">
      <w:start w:val="8"/>
      <w:numFmt w:val="chineseCounting"/>
      <w:suff w:val="nothing"/>
      <w:lvlText w:val="（%1）"/>
      <w:lvlJc w:val="left"/>
      <w:rPr>
        <w:rFonts w:hint="eastAsia"/>
      </w:rPr>
    </w:lvl>
  </w:abstractNum>
  <w:abstractNum w:abstractNumId="1">
    <w:nsid w:val="ED2A86B5"/>
    <w:multiLevelType w:val="singleLevel"/>
    <w:tmpl w:val="ED2A86B5"/>
    <w:lvl w:ilvl="0" w:tentative="0">
      <w:start w:val="3"/>
      <w:numFmt w:val="chineseCounting"/>
      <w:suff w:val="nothing"/>
      <w:lvlText w:val="（%1）"/>
      <w:lvlJc w:val="left"/>
      <w:rPr>
        <w:rFonts w:hint="eastAsia"/>
      </w:rPr>
    </w:lvl>
  </w:abstractNum>
  <w:abstractNum w:abstractNumId="2">
    <w:nsid w:val="22A85079"/>
    <w:multiLevelType w:val="multilevel"/>
    <w:tmpl w:val="22A85079"/>
    <w:lvl w:ilvl="0" w:tentative="0">
      <w:start w:val="1"/>
      <w:numFmt w:val="decimal"/>
      <w:lvlText w:val="%1、"/>
      <w:lvlJc w:val="left"/>
      <w:pPr>
        <w:ind w:left="1350" w:hanging="720"/>
      </w:pPr>
      <w:rPr>
        <w:rFonts w:hint="default" w:cs="楷体_GB2312"/>
        <w:b/>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3">
    <w:nsid w:val="60A4EA95"/>
    <w:multiLevelType w:val="singleLevel"/>
    <w:tmpl w:val="60A4EA95"/>
    <w:lvl w:ilvl="0" w:tentative="0">
      <w:start w:val="5"/>
      <w:numFmt w:val="chineseCounting"/>
      <w:suff w:val="nothing"/>
      <w:lvlText w:val="%1、"/>
      <w:lvlJc w:val="left"/>
    </w:lvl>
  </w:abstractNum>
  <w:abstractNum w:abstractNumId="4">
    <w:nsid w:val="60A4F09D"/>
    <w:multiLevelType w:val="singleLevel"/>
    <w:tmpl w:val="60A4F09D"/>
    <w:lvl w:ilvl="0" w:tentative="0">
      <w:start w:val="1"/>
      <w:numFmt w:val="decimal"/>
      <w:suff w:val="nothing"/>
      <w:lvlText w:val="%1、"/>
      <w:lvlJc w:val="left"/>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kZmJiYTdhNmRkYTc1MTZjMDRkOGE0ZDhhMDIzYzkifQ=="/>
  </w:docVars>
  <w:rsids>
    <w:rsidRoot w:val="00E810D6"/>
    <w:rsid w:val="00020CFB"/>
    <w:rsid w:val="000450E5"/>
    <w:rsid w:val="00056A69"/>
    <w:rsid w:val="00104631"/>
    <w:rsid w:val="00105634"/>
    <w:rsid w:val="00161F61"/>
    <w:rsid w:val="00167B75"/>
    <w:rsid w:val="001C6F7A"/>
    <w:rsid w:val="0023531E"/>
    <w:rsid w:val="002E3A95"/>
    <w:rsid w:val="00300FFB"/>
    <w:rsid w:val="0030459D"/>
    <w:rsid w:val="00313BA3"/>
    <w:rsid w:val="00323CDD"/>
    <w:rsid w:val="00373D1A"/>
    <w:rsid w:val="003B340B"/>
    <w:rsid w:val="00420A3C"/>
    <w:rsid w:val="004435C5"/>
    <w:rsid w:val="00460099"/>
    <w:rsid w:val="004676A3"/>
    <w:rsid w:val="004C15C7"/>
    <w:rsid w:val="004F7B8D"/>
    <w:rsid w:val="00574E42"/>
    <w:rsid w:val="00580199"/>
    <w:rsid w:val="00595811"/>
    <w:rsid w:val="005D136A"/>
    <w:rsid w:val="00621E8A"/>
    <w:rsid w:val="006249E6"/>
    <w:rsid w:val="0062621A"/>
    <w:rsid w:val="00662109"/>
    <w:rsid w:val="00685811"/>
    <w:rsid w:val="006D1C5B"/>
    <w:rsid w:val="00704589"/>
    <w:rsid w:val="00736EC2"/>
    <w:rsid w:val="00762EFA"/>
    <w:rsid w:val="007A507B"/>
    <w:rsid w:val="007B7A77"/>
    <w:rsid w:val="007D6BF0"/>
    <w:rsid w:val="007F5FB7"/>
    <w:rsid w:val="00804701"/>
    <w:rsid w:val="008058DC"/>
    <w:rsid w:val="008536A5"/>
    <w:rsid w:val="00866AEE"/>
    <w:rsid w:val="008B06B7"/>
    <w:rsid w:val="008C7744"/>
    <w:rsid w:val="00935B32"/>
    <w:rsid w:val="009D7EFA"/>
    <w:rsid w:val="00A07D70"/>
    <w:rsid w:val="00B66AF9"/>
    <w:rsid w:val="00B955A8"/>
    <w:rsid w:val="00BC66A7"/>
    <w:rsid w:val="00BF3CA0"/>
    <w:rsid w:val="00D76180"/>
    <w:rsid w:val="00DB2FE8"/>
    <w:rsid w:val="00DD4493"/>
    <w:rsid w:val="00E810D6"/>
    <w:rsid w:val="00E94FEF"/>
    <w:rsid w:val="00ED4C13"/>
    <w:rsid w:val="00EE299C"/>
    <w:rsid w:val="00F9733F"/>
    <w:rsid w:val="013B67CD"/>
    <w:rsid w:val="01CA412B"/>
    <w:rsid w:val="037D30E5"/>
    <w:rsid w:val="037D399A"/>
    <w:rsid w:val="03B213E5"/>
    <w:rsid w:val="06096D52"/>
    <w:rsid w:val="06550E5D"/>
    <w:rsid w:val="067B1479"/>
    <w:rsid w:val="0726741C"/>
    <w:rsid w:val="0787229B"/>
    <w:rsid w:val="07D41235"/>
    <w:rsid w:val="08D34D69"/>
    <w:rsid w:val="09E50DB9"/>
    <w:rsid w:val="0A4627EE"/>
    <w:rsid w:val="0BB759F9"/>
    <w:rsid w:val="0C385B19"/>
    <w:rsid w:val="0CBF7A43"/>
    <w:rsid w:val="0DD4180B"/>
    <w:rsid w:val="10A22025"/>
    <w:rsid w:val="1209272B"/>
    <w:rsid w:val="130B706D"/>
    <w:rsid w:val="1386449A"/>
    <w:rsid w:val="139106CF"/>
    <w:rsid w:val="13C22C69"/>
    <w:rsid w:val="13DE0FA8"/>
    <w:rsid w:val="14774A27"/>
    <w:rsid w:val="15703ACC"/>
    <w:rsid w:val="16154D0F"/>
    <w:rsid w:val="163506CD"/>
    <w:rsid w:val="17252863"/>
    <w:rsid w:val="175940C0"/>
    <w:rsid w:val="17C16AC9"/>
    <w:rsid w:val="180D78B9"/>
    <w:rsid w:val="19FD39F7"/>
    <w:rsid w:val="1ABB351A"/>
    <w:rsid w:val="1AEF7278"/>
    <w:rsid w:val="1B2A5EA4"/>
    <w:rsid w:val="1BA850EA"/>
    <w:rsid w:val="1CC97251"/>
    <w:rsid w:val="1CEB0A1C"/>
    <w:rsid w:val="1CFE0F2A"/>
    <w:rsid w:val="1DAC3362"/>
    <w:rsid w:val="1E7B6C22"/>
    <w:rsid w:val="1E8167C1"/>
    <w:rsid w:val="1E924699"/>
    <w:rsid w:val="1EAA0AE1"/>
    <w:rsid w:val="2035062C"/>
    <w:rsid w:val="208F0304"/>
    <w:rsid w:val="21930917"/>
    <w:rsid w:val="21B66276"/>
    <w:rsid w:val="228819EE"/>
    <w:rsid w:val="228A687F"/>
    <w:rsid w:val="2325433B"/>
    <w:rsid w:val="232B0AFD"/>
    <w:rsid w:val="243A0D7D"/>
    <w:rsid w:val="256A4279"/>
    <w:rsid w:val="26E15B06"/>
    <w:rsid w:val="2716314B"/>
    <w:rsid w:val="27B15E3E"/>
    <w:rsid w:val="288A4B30"/>
    <w:rsid w:val="28E516DB"/>
    <w:rsid w:val="299267B6"/>
    <w:rsid w:val="29E22911"/>
    <w:rsid w:val="2A1B60D9"/>
    <w:rsid w:val="2AD57C75"/>
    <w:rsid w:val="2BAA47A7"/>
    <w:rsid w:val="2BD01CE0"/>
    <w:rsid w:val="2DCE40BA"/>
    <w:rsid w:val="2E066AE5"/>
    <w:rsid w:val="2E2777CE"/>
    <w:rsid w:val="2EE04A84"/>
    <w:rsid w:val="2FF96683"/>
    <w:rsid w:val="31D059F4"/>
    <w:rsid w:val="320754E2"/>
    <w:rsid w:val="329059D1"/>
    <w:rsid w:val="32FF5320"/>
    <w:rsid w:val="332A0BBD"/>
    <w:rsid w:val="334B046A"/>
    <w:rsid w:val="3387759D"/>
    <w:rsid w:val="34E408C6"/>
    <w:rsid w:val="351C5D1D"/>
    <w:rsid w:val="3545320E"/>
    <w:rsid w:val="36C321EF"/>
    <w:rsid w:val="36C46BF9"/>
    <w:rsid w:val="36DF5EE5"/>
    <w:rsid w:val="37904C51"/>
    <w:rsid w:val="384E73D5"/>
    <w:rsid w:val="38963AA1"/>
    <w:rsid w:val="38DF3D53"/>
    <w:rsid w:val="39461E7C"/>
    <w:rsid w:val="39A75722"/>
    <w:rsid w:val="39D66D46"/>
    <w:rsid w:val="3B4C1634"/>
    <w:rsid w:val="3B6E7B6E"/>
    <w:rsid w:val="3C137EBB"/>
    <w:rsid w:val="3C712CD5"/>
    <w:rsid w:val="3C767EA3"/>
    <w:rsid w:val="3CEC5D53"/>
    <w:rsid w:val="3FBD70B6"/>
    <w:rsid w:val="3FF300A4"/>
    <w:rsid w:val="40D03495"/>
    <w:rsid w:val="413E42CA"/>
    <w:rsid w:val="4283565A"/>
    <w:rsid w:val="441C57E9"/>
    <w:rsid w:val="44240E6E"/>
    <w:rsid w:val="444330DD"/>
    <w:rsid w:val="44986D47"/>
    <w:rsid w:val="456A5D0D"/>
    <w:rsid w:val="457C0C14"/>
    <w:rsid w:val="45B90BF3"/>
    <w:rsid w:val="45B93E4A"/>
    <w:rsid w:val="45BD77AF"/>
    <w:rsid w:val="460143F1"/>
    <w:rsid w:val="461D17A6"/>
    <w:rsid w:val="475B18CD"/>
    <w:rsid w:val="4A4F1F05"/>
    <w:rsid w:val="4B7040C7"/>
    <w:rsid w:val="4C3F1F87"/>
    <w:rsid w:val="4CA957E7"/>
    <w:rsid w:val="4D592246"/>
    <w:rsid w:val="4D9730D4"/>
    <w:rsid w:val="4E186F57"/>
    <w:rsid w:val="4E4335D2"/>
    <w:rsid w:val="4F546F1C"/>
    <w:rsid w:val="4FBB0E1B"/>
    <w:rsid w:val="50D56ED3"/>
    <w:rsid w:val="51A6321D"/>
    <w:rsid w:val="53FB1AEF"/>
    <w:rsid w:val="548C5C9B"/>
    <w:rsid w:val="599848A8"/>
    <w:rsid w:val="599E285B"/>
    <w:rsid w:val="59AF56D7"/>
    <w:rsid w:val="5B096298"/>
    <w:rsid w:val="5B2B3FCD"/>
    <w:rsid w:val="5B2D544E"/>
    <w:rsid w:val="5B6C67B8"/>
    <w:rsid w:val="5BAE356C"/>
    <w:rsid w:val="5CB07A05"/>
    <w:rsid w:val="5CCC2598"/>
    <w:rsid w:val="5D0B5F12"/>
    <w:rsid w:val="5E002D53"/>
    <w:rsid w:val="5ECE707F"/>
    <w:rsid w:val="5ED17601"/>
    <w:rsid w:val="5EEE131C"/>
    <w:rsid w:val="612F2391"/>
    <w:rsid w:val="61897173"/>
    <w:rsid w:val="6273153F"/>
    <w:rsid w:val="628533D8"/>
    <w:rsid w:val="637F0163"/>
    <w:rsid w:val="63F21B1B"/>
    <w:rsid w:val="65493192"/>
    <w:rsid w:val="666C26EF"/>
    <w:rsid w:val="66C34BE4"/>
    <w:rsid w:val="67176F83"/>
    <w:rsid w:val="67515807"/>
    <w:rsid w:val="683C0A45"/>
    <w:rsid w:val="6B511389"/>
    <w:rsid w:val="6BAC0582"/>
    <w:rsid w:val="6BC108EF"/>
    <w:rsid w:val="6BFF06DC"/>
    <w:rsid w:val="6C622066"/>
    <w:rsid w:val="6D5763C1"/>
    <w:rsid w:val="6D81148F"/>
    <w:rsid w:val="6E697381"/>
    <w:rsid w:val="6E8006EE"/>
    <w:rsid w:val="6ECC4D84"/>
    <w:rsid w:val="6F2E2C48"/>
    <w:rsid w:val="6FCD2E4E"/>
    <w:rsid w:val="70BA2DA1"/>
    <w:rsid w:val="71414DC5"/>
    <w:rsid w:val="71606368"/>
    <w:rsid w:val="71B87B2B"/>
    <w:rsid w:val="729B4F6A"/>
    <w:rsid w:val="72B3029A"/>
    <w:rsid w:val="733E01F4"/>
    <w:rsid w:val="7424079F"/>
    <w:rsid w:val="743040E0"/>
    <w:rsid w:val="74D4598A"/>
    <w:rsid w:val="76FD3FC3"/>
    <w:rsid w:val="773E0DC1"/>
    <w:rsid w:val="778A6B8D"/>
    <w:rsid w:val="77941A11"/>
    <w:rsid w:val="78832D74"/>
    <w:rsid w:val="79CB0BC8"/>
    <w:rsid w:val="7AA5545A"/>
    <w:rsid w:val="7AB9563B"/>
    <w:rsid w:val="7BAA5900"/>
    <w:rsid w:val="7C666C0E"/>
    <w:rsid w:val="7D9A3104"/>
    <w:rsid w:val="7DB9491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next w:val="1"/>
    <w:unhideWhenUsed/>
    <w:qFormat/>
    <w:uiPriority w:val="39"/>
  </w:style>
  <w:style w:type="paragraph" w:styleId="5">
    <w:name w:val="toc 2"/>
    <w:basedOn w:val="1"/>
    <w:next w:val="1"/>
    <w:unhideWhenUsed/>
    <w:qFormat/>
    <w:uiPriority w:val="39"/>
    <w:pPr>
      <w:ind w:left="420" w:leftChars="200"/>
    </w:pPr>
  </w:style>
  <w:style w:type="character" w:customStyle="1" w:styleId="8">
    <w:name w:val="页眉 Char"/>
    <w:basedOn w:val="7"/>
    <w:link w:val="3"/>
    <w:semiHidden/>
    <w:qFormat/>
    <w:uiPriority w:val="99"/>
    <w:rPr>
      <w:sz w:val="18"/>
      <w:szCs w:val="18"/>
    </w:rPr>
  </w:style>
  <w:style w:type="character" w:customStyle="1" w:styleId="9">
    <w:name w:val="页脚 Char"/>
    <w:basedOn w:val="7"/>
    <w:link w:val="2"/>
    <w:semiHidden/>
    <w:qFormat/>
    <w:uiPriority w:val="99"/>
    <w:rPr>
      <w:sz w:val="18"/>
      <w:szCs w:val="18"/>
    </w:rPr>
  </w:style>
  <w:style w:type="paragraph" w:customStyle="1" w:styleId="10">
    <w:name w:val="List Paragraph"/>
    <w:basedOn w:val="1"/>
    <w:unhideWhenUsed/>
    <w:qFormat/>
    <w:uiPriority w:val="99"/>
    <w:pPr>
      <w:ind w:firstLine="420" w:firstLineChars="200"/>
    </w:pPr>
  </w:style>
  <w:style w:type="character" w:customStyle="1" w:styleId="11">
    <w:name w:val="font01"/>
    <w:basedOn w:val="7"/>
    <w:qFormat/>
    <w:uiPriority w:val="0"/>
    <w:rPr>
      <w:rFonts w:hint="eastAsia" w:ascii="宋体" w:hAnsi="宋体" w:eastAsia="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21</Pages>
  <Words>10346</Words>
  <Characters>10703</Characters>
  <Lines>47</Lines>
  <Paragraphs>13</Paragraphs>
  <TotalTime>6</TotalTime>
  <ScaleCrop>false</ScaleCrop>
  <LinksUpToDate>false</LinksUpToDate>
  <CharactersWithSpaces>10732</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2016-04-01T02:15:00Z</dcterms:created>
  <dc:creator>lenovo</dc:creator>
  <cp:lastModifiedBy>Administrator</cp:lastModifiedBy>
  <cp:lastPrinted>2016-04-01T02:44:00Z</cp:lastPrinted>
  <dcterms:modified xsi:type="dcterms:W3CDTF">2024-05-11T03:05:13Z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CE64E6960832452B89C7AA0694566091</vt:lpwstr>
  </property>
</Properties>
</file>