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sz w:val="32"/>
          <w:szCs w:val="32"/>
        </w:rPr>
      </w:pPr>
    </w:p>
    <w:p>
      <w:pPr>
        <w:jc w:val="center"/>
        <w:rPr>
          <w:rFonts w:hint="eastAsia"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成安县信访局</w:t>
      </w:r>
    </w:p>
    <w:p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2021年单位预算公开情况说明</w:t>
      </w:r>
    </w:p>
    <w:p>
      <w:pPr>
        <w:spacing w:line="58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hint="eastAsia" w:ascii="仿宋" w:hAnsi="仿宋" w:eastAsia="仿宋" w:cs="仿宋_GB2312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_GB2312"/>
          <w:sz w:val="32"/>
          <w:szCs w:val="32"/>
        </w:rPr>
        <w:t>按照《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中华人民共和国</w:t>
      </w:r>
      <w:bookmarkStart w:id="2" w:name="_GoBack"/>
      <w:bookmarkEnd w:id="2"/>
      <w:r>
        <w:rPr>
          <w:rFonts w:hint="eastAsia" w:ascii="仿宋" w:hAnsi="仿宋" w:eastAsia="仿宋" w:cs="仿宋_GB2312"/>
          <w:sz w:val="32"/>
          <w:szCs w:val="32"/>
        </w:rPr>
        <w:t>预算法》有关规定和财政部关于印发《地方预决算公开操作规程》的通知，</w:t>
      </w:r>
      <w:r>
        <w:rPr>
          <w:rFonts w:hint="eastAsia" w:ascii="仿宋" w:hAnsi="仿宋" w:eastAsia="仿宋" w:cs="仿宋_GB2312"/>
          <w:kern w:val="0"/>
          <w:sz w:val="32"/>
          <w:szCs w:val="32"/>
          <w:lang w:bidi="ar"/>
        </w:rPr>
        <w:t>现将成安县信访局2021年部门预算公开如下：</w:t>
      </w:r>
    </w:p>
    <w:p>
      <w:pPr>
        <w:widowControl/>
        <w:spacing w:line="360" w:lineRule="auto"/>
        <w:ind w:firstLine="640" w:firstLineChars="200"/>
        <w:jc w:val="left"/>
        <w:rPr>
          <w:rFonts w:hint="eastAsia" w:ascii="黑体" w:hAnsi="黑体" w:eastAsia="黑体" w:cs="黑体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bidi="ar"/>
        </w:rPr>
        <w:t>一、部门职责及机构设置情况</w:t>
      </w:r>
    </w:p>
    <w:p>
      <w:pPr>
        <w:ind w:firstLine="627" w:firstLineChars="196"/>
        <w:rPr>
          <w:rFonts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</w:rPr>
        <w:t>1、部门职责：</w:t>
      </w:r>
    </w:p>
    <w:p>
      <w:pPr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1、研究提出全县信访工作思路，拟定信访工作意见，制度和法规。</w:t>
      </w:r>
    </w:p>
    <w:p>
      <w:pPr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2、办理、接待群众来信、来访，查办信访案件。</w:t>
      </w:r>
    </w:p>
    <w:p>
      <w:pPr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3、负责县委、县政府人民群众建议征集办公室工作。</w:t>
      </w:r>
    </w:p>
    <w:p>
      <w:pPr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4、调查研究和分析全县信访形势及信访工作状况，及时向县委、县政府提出对策建议。</w:t>
      </w:r>
    </w:p>
    <w:p>
      <w:pPr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5、参与组织、协调指挥全市社会治安综合治理和维护社会稳定工作，协助保障重大政治活动顺利进行，参与处理影响社会稳定的突发性、群体性事件。</w:t>
      </w:r>
    </w:p>
    <w:p>
      <w:pPr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6、处理省、市、国家局交办的信访事项及全县网络舆情管理，促进社会和谐稳定。</w:t>
      </w:r>
    </w:p>
    <w:p>
      <w:pPr>
        <w:ind w:firstLine="600" w:firstLineChars="200"/>
        <w:rPr>
          <w:rFonts w:hint="eastAsia" w:ascii="仿宋" w:hAnsi="仿宋" w:eastAsia="仿宋" w:cs="仿宋_GB2312"/>
          <w:bCs/>
          <w:sz w:val="32"/>
          <w:szCs w:val="32"/>
        </w:rPr>
      </w:pPr>
      <w:r>
        <w:rPr>
          <w:rFonts w:hint="eastAsia" w:ascii="仿宋" w:hAnsi="仿宋" w:eastAsia="仿宋" w:cs="仿宋"/>
          <w:sz w:val="30"/>
          <w:szCs w:val="30"/>
        </w:rPr>
        <w:t>下设</w:t>
      </w:r>
      <w:r>
        <w:rPr>
          <w:rFonts w:hint="eastAsia" w:ascii="仿宋" w:hAnsi="仿宋" w:eastAsia="仿宋" w:cs="仿宋_GB2312"/>
          <w:bCs/>
          <w:sz w:val="32"/>
          <w:szCs w:val="32"/>
        </w:rPr>
        <w:t>2个科室，分别为办公室、信访科。</w:t>
      </w:r>
    </w:p>
    <w:p>
      <w:pPr>
        <w:spacing w:line="540" w:lineRule="exact"/>
        <w:ind w:firstLine="64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_GB2312"/>
          <w:bCs/>
          <w:sz w:val="32"/>
          <w:szCs w:val="32"/>
        </w:rPr>
        <w:t>办公室</w:t>
      </w:r>
      <w:r>
        <w:rPr>
          <w:rFonts w:hint="eastAsia" w:ascii="仿宋" w:hAnsi="仿宋" w:eastAsia="仿宋" w:cs="仿宋"/>
          <w:sz w:val="30"/>
          <w:szCs w:val="30"/>
        </w:rPr>
        <w:t>主要负责协助领导处理日常工作，并负责劳动人事、绩效考核、综合协调、文秘、档案综合管理职能机构。</w:t>
      </w:r>
    </w:p>
    <w:p>
      <w:pPr>
        <w:spacing w:line="54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信访科主要负责县级来信来访的接待办理督办工作。</w:t>
      </w:r>
    </w:p>
    <w:p>
      <w:pPr>
        <w:ind w:firstLine="300" w:firstLineChars="1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人员编制和领导职数</w:t>
      </w:r>
      <w:r>
        <w:rPr>
          <w:rFonts w:hint="eastAsia" w:ascii="仿宋" w:hAnsi="仿宋" w:eastAsia="仿宋" w:cs="仿宋"/>
          <w:sz w:val="30"/>
          <w:szCs w:val="30"/>
        </w:rPr>
        <w:t xml:space="preserve">  </w:t>
      </w:r>
    </w:p>
    <w:p>
      <w:pPr>
        <w:ind w:firstLine="300" w:firstLineChars="1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成安县信访局，人员编制7名，其中领导职数3个。</w:t>
      </w:r>
    </w:p>
    <w:p>
      <w:pPr>
        <w:rPr>
          <w:rFonts w:ascii="楷体" w:hAnsi="楷体" w:eastAsia="楷体"/>
          <w:b/>
          <w:sz w:val="32"/>
          <w:szCs w:val="32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 </w:t>
      </w:r>
      <w:r>
        <w:rPr>
          <w:rFonts w:hint="eastAsia" w:ascii="楷体" w:hAnsi="楷体" w:eastAsia="楷体"/>
          <w:b/>
          <w:sz w:val="32"/>
          <w:szCs w:val="32"/>
        </w:rPr>
        <w:t>2</w:t>
      </w:r>
      <w:r>
        <w:rPr>
          <w:rFonts w:hint="eastAsia" w:ascii="楷体" w:hAnsi="楷体" w:eastAsia="楷体" w:cs="宋体"/>
          <w:b/>
          <w:sz w:val="32"/>
          <w:szCs w:val="32"/>
        </w:rPr>
        <w:t>、</w:t>
      </w:r>
      <w:r>
        <w:rPr>
          <w:rFonts w:hint="eastAsia" w:ascii="楷体" w:hAnsi="楷体" w:eastAsia="楷体"/>
          <w:b/>
          <w:sz w:val="32"/>
          <w:szCs w:val="32"/>
        </w:rPr>
        <w:t>机构设置：</w:t>
      </w:r>
    </w:p>
    <w:p>
      <w:pPr>
        <w:jc w:val="center"/>
        <w:outlineLvl w:val="0"/>
        <w:rPr>
          <w:rFonts w:ascii="方正小标宋_GBK" w:eastAsia="方正小标宋_GBK"/>
          <w:sz w:val="32"/>
        </w:rPr>
      </w:pPr>
      <w:bookmarkStart w:id="0" w:name="_Toc477338721"/>
      <w:r>
        <w:rPr>
          <w:rFonts w:hint="eastAsia" w:ascii="方正小标宋_GBK" w:eastAsia="方正小标宋_GBK"/>
          <w:sz w:val="32"/>
        </w:rPr>
        <w:t>部门基本情况表</w:t>
      </w:r>
      <w:bookmarkEnd w:id="0"/>
    </w:p>
    <w:tbl>
      <w:tblPr>
        <w:tblStyle w:val="7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7"/>
        <w:gridCol w:w="1134"/>
        <w:gridCol w:w="1276"/>
        <w:gridCol w:w="235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3827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单位名称</w:t>
            </w:r>
          </w:p>
        </w:tc>
        <w:tc>
          <w:tcPr>
            <w:tcW w:w="1134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单位性质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单位规格</w:t>
            </w:r>
          </w:p>
        </w:tc>
        <w:tc>
          <w:tcPr>
            <w:tcW w:w="2353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经费保障形式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3827" w:type="dxa"/>
            <w:vMerge w:val="continue"/>
            <w:noWrap w:val="0"/>
            <w:vAlign w:val="center"/>
          </w:tcPr>
          <w:p>
            <w:pPr>
              <w:spacing w:line="300" w:lineRule="exact"/>
              <w:jc w:val="left"/>
              <w:outlineLvl w:val="0"/>
            </w:pPr>
          </w:p>
        </w:tc>
        <w:tc>
          <w:tcPr>
            <w:tcW w:w="1134" w:type="dxa"/>
            <w:vMerge w:val="continue"/>
            <w:noWrap w:val="0"/>
            <w:vAlign w:val="center"/>
          </w:tcPr>
          <w:p>
            <w:pPr>
              <w:spacing w:line="300" w:lineRule="exact"/>
              <w:jc w:val="left"/>
              <w:outlineLvl w:val="0"/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spacing w:line="300" w:lineRule="exact"/>
              <w:jc w:val="left"/>
              <w:outlineLvl w:val="0"/>
            </w:pPr>
          </w:p>
        </w:tc>
        <w:tc>
          <w:tcPr>
            <w:tcW w:w="2353" w:type="dxa"/>
            <w:vMerge w:val="continue"/>
            <w:noWrap w:val="0"/>
            <w:vAlign w:val="center"/>
          </w:tcPr>
          <w:p>
            <w:pPr>
              <w:spacing w:line="300" w:lineRule="exact"/>
              <w:jc w:val="left"/>
              <w:outlineLvl w:val="0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3827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成安县信访局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行政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正科级</w:t>
            </w:r>
          </w:p>
        </w:tc>
        <w:tc>
          <w:tcPr>
            <w:tcW w:w="23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财政拨款</w:t>
            </w:r>
          </w:p>
        </w:tc>
      </w:tr>
    </w:tbl>
    <w:p>
      <w:pPr>
        <w:spacing w:line="54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二、部门预算安排的总体情况</w:t>
      </w:r>
    </w:p>
    <w:p>
      <w:pPr>
        <w:spacing w:line="540" w:lineRule="exac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按照预算管理有关规定，目前我部门预算的编制实行综合预算制度，即全部收入和支出都反映在预算中。</w:t>
      </w:r>
    </w:p>
    <w:p>
      <w:pPr>
        <w:widowControl/>
        <w:spacing w:line="540" w:lineRule="exact"/>
        <w:ind w:firstLine="627" w:firstLineChars="196"/>
        <w:jc w:val="left"/>
        <w:rPr>
          <w:rFonts w:hint="eastAsia" w:ascii="楷体" w:hAnsi="楷体" w:eastAsia="楷体" w:cs="仿宋_GB2312"/>
          <w:b/>
          <w:kern w:val="0"/>
          <w:sz w:val="32"/>
          <w:szCs w:val="32"/>
          <w:lang w:bidi="ar"/>
        </w:rPr>
      </w:pPr>
      <w:r>
        <w:rPr>
          <w:rFonts w:hint="eastAsia" w:ascii="楷体" w:hAnsi="楷体" w:eastAsia="楷体" w:cs="仿宋_GB2312"/>
          <w:b/>
          <w:kern w:val="0"/>
          <w:sz w:val="32"/>
          <w:szCs w:val="32"/>
          <w:lang w:bidi="ar"/>
        </w:rPr>
        <w:t>1、收入说明</w:t>
      </w:r>
    </w:p>
    <w:p>
      <w:pPr>
        <w:spacing w:line="540" w:lineRule="exac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2021年预算收入706.93万元，其中：一般公共预算收入706.93元。</w:t>
      </w:r>
      <w:r>
        <w:rPr>
          <w:rFonts w:hint="eastAsia" w:ascii="仿宋" w:hAnsi="仿宋" w:eastAsia="仿宋"/>
          <w:sz w:val="32"/>
          <w:szCs w:val="32"/>
        </w:rPr>
        <w:t>政府性基金收入0万元，国有资本经营收入0万元，事业收入0万元，其他收入0万元。</w:t>
      </w:r>
    </w:p>
    <w:p>
      <w:pPr>
        <w:spacing w:line="540" w:lineRule="exact"/>
        <w:ind w:firstLine="640"/>
        <w:rPr>
          <w:rFonts w:hint="eastAsia"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</w:rPr>
        <w:t>2、支出说明</w:t>
      </w:r>
    </w:p>
    <w:p>
      <w:pPr>
        <w:spacing w:line="540" w:lineRule="exact"/>
        <w:ind w:firstLine="640"/>
        <w:rPr>
          <w:rFonts w:hint="eastAsia" w:ascii="宋体" w:hAnsi="宋体" w:cs="方正仿宋_GBK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2021年支出预算706.93万元，其中基本支出174.83万元，包括人员经费72.59万元和日常公用经费102.24万元。</w:t>
      </w:r>
      <w:r>
        <w:rPr>
          <w:rFonts w:hint="eastAsia" w:ascii="仿宋" w:hAnsi="仿宋" w:eastAsia="仿宋"/>
          <w:sz w:val="32"/>
          <w:szCs w:val="32"/>
        </w:rPr>
        <w:t>项目支出532.10万元。</w:t>
      </w:r>
    </w:p>
    <w:p>
      <w:pPr>
        <w:spacing w:line="540" w:lineRule="exact"/>
        <w:ind w:firstLine="640"/>
        <w:rPr>
          <w:rFonts w:hint="eastAsia"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</w:rPr>
        <w:t>3、比上年增减变化情况</w:t>
      </w:r>
    </w:p>
    <w:p>
      <w:pPr>
        <w:widowControl/>
        <w:spacing w:line="360" w:lineRule="auto"/>
        <w:ind w:firstLine="640"/>
        <w:jc w:val="left"/>
        <w:rPr>
          <w:rFonts w:ascii="仿宋" w:hAnsi="仿宋" w:eastAsia="仿宋" w:cs="仿宋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</w:rPr>
        <w:t>2021年预算收支安排706.93万元，较2020年预算增加448.01万元，其中基本支出减少69.01万元，</w:t>
      </w:r>
      <w:r>
        <w:rPr>
          <w:rFonts w:hint="eastAsia" w:ascii="仿宋" w:hAnsi="仿宋" w:eastAsia="仿宋" w:cs="仿宋_GB2312"/>
          <w:kern w:val="0"/>
          <w:sz w:val="32"/>
          <w:szCs w:val="32"/>
        </w:rPr>
        <w:t>主要是一般公共服务支出减少；</w:t>
      </w:r>
      <w:r>
        <w:rPr>
          <w:rFonts w:hint="eastAsia" w:ascii="仿宋" w:hAnsi="仿宋" w:eastAsia="仿宋" w:cs="仿宋"/>
          <w:sz w:val="32"/>
          <w:szCs w:val="32"/>
        </w:rPr>
        <w:t xml:space="preserve">项目支出增加517.10万元，主要是群众工作服务中心项目资金增加 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。</w:t>
      </w:r>
    </w:p>
    <w:p>
      <w:pPr>
        <w:autoSpaceDE w:val="0"/>
        <w:autoSpaceDN w:val="0"/>
        <w:adjustRightInd w:val="0"/>
        <w:spacing w:line="540" w:lineRule="exact"/>
        <w:ind w:firstLine="640" w:firstLineChars="200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三、机关运行经费安排情况</w:t>
      </w:r>
    </w:p>
    <w:p>
      <w:pPr>
        <w:widowControl/>
        <w:spacing w:line="360" w:lineRule="auto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机关运行经费共计安排18.06万元，</w:t>
      </w:r>
      <w:r>
        <w:rPr>
          <w:rFonts w:hint="eastAsia" w:ascii="仿宋" w:hAnsi="仿宋" w:eastAsia="仿宋" w:cs="仿宋"/>
          <w:kern w:val="0"/>
          <w:sz w:val="32"/>
          <w:szCs w:val="32"/>
        </w:rPr>
        <w:t>主要用于办公费、邮电费、差旅费、公务用车维护费、印刷费等日常运行支出。</w:t>
      </w:r>
    </w:p>
    <w:p>
      <w:pPr>
        <w:autoSpaceDE w:val="0"/>
        <w:autoSpaceDN w:val="0"/>
        <w:adjustRightInd w:val="0"/>
        <w:spacing w:line="540" w:lineRule="exact"/>
        <w:ind w:firstLine="640" w:firstLineChars="20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四、财政拨款</w:t>
      </w:r>
      <w:r>
        <w:rPr>
          <w:rFonts w:ascii="黑体" w:hAnsi="黑体" w:eastAsia="黑体"/>
          <w:sz w:val="32"/>
          <w:szCs w:val="32"/>
        </w:rPr>
        <w:t>“</w:t>
      </w:r>
      <w:r>
        <w:rPr>
          <w:rFonts w:hint="eastAsia" w:ascii="黑体" w:hAnsi="黑体" w:eastAsia="黑体"/>
          <w:sz w:val="32"/>
          <w:szCs w:val="32"/>
        </w:rPr>
        <w:t>三公</w:t>
      </w:r>
      <w:r>
        <w:rPr>
          <w:rFonts w:ascii="黑体" w:hAnsi="黑体" w:eastAsia="黑体"/>
          <w:sz w:val="32"/>
          <w:szCs w:val="32"/>
        </w:rPr>
        <w:t>”</w:t>
      </w:r>
      <w:r>
        <w:rPr>
          <w:rFonts w:hint="eastAsia" w:ascii="黑体" w:hAnsi="黑体" w:eastAsia="黑体"/>
          <w:sz w:val="32"/>
          <w:szCs w:val="32"/>
        </w:rPr>
        <w:t xml:space="preserve">经费预算情况及增减变化原因          </w:t>
      </w:r>
    </w:p>
    <w:p>
      <w:pPr>
        <w:widowControl/>
        <w:spacing w:line="360" w:lineRule="auto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_GB2312"/>
          <w:kern w:val="0"/>
          <w:sz w:val="32"/>
          <w:szCs w:val="32"/>
        </w:rPr>
        <w:t>2021年度“三公”预算安排5万元，其中，因公出国（境）费0元，安排公务用车维护费0万元，（其中公务用车购置费0元，公务用车运行维护费5万元），公务接待费0万元，</w:t>
      </w:r>
      <w:r>
        <w:rPr>
          <w:rFonts w:hint="eastAsia" w:ascii="仿宋" w:hAnsi="仿宋" w:eastAsia="仿宋" w:cs="仿宋"/>
          <w:kern w:val="0"/>
          <w:sz w:val="32"/>
          <w:szCs w:val="32"/>
        </w:rPr>
        <w:t>与2020年相比增加了5万元，原因主要是公务用车运行维护。</w:t>
      </w:r>
    </w:p>
    <w:p>
      <w:pPr>
        <w:autoSpaceDE w:val="0"/>
        <w:autoSpaceDN w:val="0"/>
        <w:adjustRightInd w:val="0"/>
        <w:spacing w:line="540" w:lineRule="exact"/>
        <w:ind w:firstLine="640" w:firstLineChars="200"/>
        <w:jc w:val="left"/>
        <w:rPr>
          <w:rFonts w:ascii="黑体" w:hAnsi="黑体" w:eastAsia="黑体"/>
          <w:sz w:val="30"/>
          <w:szCs w:val="30"/>
        </w:rPr>
      </w:pPr>
      <w:r>
        <w:rPr>
          <w:rFonts w:hint="eastAsia" w:ascii="仿宋_GB2312" w:hAnsi="仿宋_GB2312" w:eastAsia="仿宋_GB2312"/>
          <w:color w:val="000000"/>
          <w:sz w:val="32"/>
          <w:szCs w:val="32"/>
          <w:shd w:val="clear" w:color="auto" w:fill="FFFFFF"/>
        </w:rPr>
        <w:t xml:space="preserve">   </w:t>
      </w:r>
      <w:r>
        <w:rPr>
          <w:rFonts w:hint="eastAsia" w:ascii="黑体" w:hAnsi="黑体" w:eastAsia="黑体"/>
          <w:sz w:val="30"/>
          <w:szCs w:val="30"/>
        </w:rPr>
        <w:t>五、绩效预算信息</w:t>
      </w:r>
    </w:p>
    <w:p>
      <w:pPr>
        <w:spacing w:line="540" w:lineRule="exact"/>
        <w:ind w:firstLine="640" w:firstLineChars="200"/>
        <w:jc w:val="left"/>
        <w:outlineLvl w:val="0"/>
        <w:rPr>
          <w:rFonts w:hint="eastAsia"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</w:rPr>
        <w:t>（一）总体绩效目标</w:t>
      </w:r>
    </w:p>
    <w:p>
      <w:pPr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Times New Roman" w:hAnsi="Times New Roman" w:eastAsia="仿宋_GB2312"/>
          <w:bCs/>
          <w:sz w:val="32"/>
          <w:szCs w:val="32"/>
        </w:rPr>
        <w:t>坚持以习近平总书记关于加强和改进人民信访工作重要思想为指导，全面落实中央和省委关于信访工作决策部署，立足首都政治“护城河”定位，聚焦“北京不去、河北不聚”要求，坚持以人民为中心。</w:t>
      </w:r>
      <w:r>
        <w:rPr>
          <w:rFonts w:hint="eastAsia" w:ascii="仿宋" w:hAnsi="仿宋" w:eastAsia="仿宋"/>
          <w:sz w:val="32"/>
          <w:szCs w:val="32"/>
        </w:rPr>
        <w:t>今年来，县信访局在县委县政府的正确领导下，在各部门的紧密配合下，县信访局进一步畅通信访渠道，创新工作机制，抓狠工作落买严格责任追究；关口前移，基层突破，标本兼治，齐抓共管，切买做到“小事不出村、大事不出乡，重大疑难问题不出县”，圆满完成了全年预定的工作目标维护了全县大局稳定，为我县经济和社会各项事业发展提供了宽松的环境。</w:t>
      </w:r>
    </w:p>
    <w:p>
      <w:pPr>
        <w:spacing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（二）分项绩效目标</w:t>
      </w:r>
    </w:p>
    <w:p>
      <w:pPr>
        <w:spacing w:line="600" w:lineRule="exact"/>
        <w:ind w:left="420" w:leftChars="200" w:firstLine="320" w:firstLineChars="100"/>
        <w:rPr>
          <w:rFonts w:ascii="Times New Roman" w:hAnsi="Times New Roman" w:eastAsia="楷体_GB2312"/>
          <w:sz w:val="32"/>
          <w:szCs w:val="32"/>
        </w:rPr>
      </w:pPr>
      <w:r>
        <w:rPr>
          <w:rFonts w:hint="eastAsia" w:ascii="Times New Roman" w:hAnsi="Times New Roman" w:eastAsia="楷体_GB2312"/>
          <w:sz w:val="32"/>
          <w:szCs w:val="32"/>
        </w:rPr>
        <w:t>1、全年信访数量保持同比下降</w:t>
      </w:r>
    </w:p>
    <w:p>
      <w:pPr>
        <w:spacing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仿宋_GB2312"/>
          <w:b/>
          <w:sz w:val="32"/>
          <w:szCs w:val="32"/>
        </w:rPr>
        <w:t>绩效目标：</w:t>
      </w:r>
      <w:r>
        <w:rPr>
          <w:rFonts w:hint="eastAsia" w:ascii="Times New Roman" w:hAnsi="Times New Roman" w:eastAsia="仿宋_GB2312"/>
          <w:bCs/>
          <w:sz w:val="32"/>
          <w:szCs w:val="32"/>
        </w:rPr>
        <w:t>贯彻落实县委、县政府关于信访工作的决策部署，</w:t>
      </w:r>
      <w:r>
        <w:rPr>
          <w:rFonts w:ascii="Times New Roman" w:hAnsi="Times New Roman" w:eastAsia="仿宋_GB2312"/>
          <w:bCs/>
          <w:sz w:val="32"/>
          <w:szCs w:val="32"/>
        </w:rPr>
        <w:t>及时受理群众来信、来访和网上投诉，</w:t>
      </w:r>
      <w:r>
        <w:rPr>
          <w:rFonts w:hint="eastAsia" w:ascii="Times New Roman" w:hAnsi="Times New Roman" w:eastAsia="仿宋_GB2312"/>
          <w:bCs/>
          <w:sz w:val="32"/>
          <w:szCs w:val="32"/>
        </w:rPr>
        <w:t>以</w:t>
      </w:r>
      <w:r>
        <w:rPr>
          <w:rFonts w:ascii="Times New Roman" w:hAnsi="Times New Roman" w:eastAsia="仿宋_GB2312"/>
          <w:bCs/>
          <w:sz w:val="32"/>
          <w:szCs w:val="32"/>
        </w:rPr>
        <w:t>“事要解决”</w:t>
      </w:r>
      <w:r>
        <w:rPr>
          <w:rFonts w:hint="eastAsia" w:ascii="Times New Roman" w:hAnsi="Times New Roman" w:eastAsia="仿宋_GB2312"/>
          <w:bCs/>
          <w:sz w:val="32"/>
          <w:szCs w:val="32"/>
        </w:rPr>
        <w:t>为立足点</w:t>
      </w:r>
      <w:r>
        <w:rPr>
          <w:rFonts w:ascii="Times New Roman" w:hAnsi="Times New Roman" w:eastAsia="仿宋_GB2312"/>
          <w:bCs/>
          <w:sz w:val="32"/>
          <w:szCs w:val="32"/>
        </w:rPr>
        <w:t>，</w:t>
      </w:r>
      <w:r>
        <w:rPr>
          <w:rFonts w:hint="eastAsia" w:ascii="Times New Roman" w:hAnsi="Times New Roman" w:eastAsia="仿宋_GB2312"/>
          <w:bCs/>
          <w:sz w:val="32"/>
          <w:szCs w:val="32"/>
        </w:rPr>
        <w:t>认真解决</w:t>
      </w:r>
      <w:r>
        <w:rPr>
          <w:rFonts w:ascii="Times New Roman" w:hAnsi="Times New Roman" w:eastAsia="仿宋_GB2312"/>
          <w:bCs/>
          <w:sz w:val="32"/>
          <w:szCs w:val="32"/>
        </w:rPr>
        <w:t>信访群众合</w:t>
      </w:r>
      <w:r>
        <w:rPr>
          <w:rFonts w:hint="eastAsia" w:ascii="Times New Roman" w:hAnsi="Times New Roman" w:eastAsia="仿宋_GB2312"/>
          <w:bCs/>
          <w:sz w:val="32"/>
          <w:szCs w:val="32"/>
        </w:rPr>
        <w:t>理</w:t>
      </w:r>
      <w:r>
        <w:rPr>
          <w:rFonts w:ascii="Times New Roman" w:hAnsi="Times New Roman" w:eastAsia="仿宋_GB2312"/>
          <w:bCs/>
          <w:sz w:val="32"/>
          <w:szCs w:val="32"/>
        </w:rPr>
        <w:t>诉求，</w:t>
      </w:r>
      <w:r>
        <w:rPr>
          <w:rFonts w:hint="eastAsia" w:ascii="Times New Roman" w:hAnsi="Times New Roman" w:eastAsia="仿宋_GB2312"/>
          <w:bCs/>
          <w:sz w:val="32"/>
          <w:szCs w:val="32"/>
        </w:rPr>
        <w:t>推动全县信访形势持续向好，</w:t>
      </w:r>
      <w:r>
        <w:rPr>
          <w:rFonts w:ascii="Times New Roman" w:hAnsi="Times New Roman" w:eastAsia="仿宋_GB2312"/>
          <w:bCs/>
          <w:sz w:val="32"/>
          <w:szCs w:val="32"/>
        </w:rPr>
        <w:t>信访事项及时受理率、按期答复率达到90%以上，满意率逐年上升，非接待场所</w:t>
      </w:r>
      <w:r>
        <w:rPr>
          <w:rFonts w:hint="eastAsia" w:ascii="Times New Roman" w:hAnsi="Times New Roman" w:eastAsia="仿宋_GB2312"/>
          <w:bCs/>
          <w:sz w:val="32"/>
          <w:szCs w:val="32"/>
        </w:rPr>
        <w:t>有关</w:t>
      </w:r>
      <w:r>
        <w:rPr>
          <w:rFonts w:ascii="Times New Roman" w:hAnsi="Times New Roman" w:eastAsia="仿宋_GB2312"/>
          <w:bCs/>
          <w:sz w:val="32"/>
          <w:szCs w:val="32"/>
        </w:rPr>
        <w:t>人员总量逐年下降，全</w:t>
      </w:r>
      <w:r>
        <w:rPr>
          <w:rFonts w:hint="eastAsia" w:ascii="Times New Roman" w:hAnsi="Times New Roman" w:eastAsia="仿宋_GB2312"/>
          <w:bCs/>
          <w:sz w:val="32"/>
          <w:szCs w:val="32"/>
        </w:rPr>
        <w:t>县</w:t>
      </w:r>
      <w:r>
        <w:rPr>
          <w:rFonts w:ascii="Times New Roman" w:hAnsi="Times New Roman" w:eastAsia="仿宋_GB2312"/>
          <w:bCs/>
          <w:sz w:val="32"/>
          <w:szCs w:val="32"/>
        </w:rPr>
        <w:t>信访形势持续向好，信访工作质量效能不断提升。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bCs/>
          <w:sz w:val="32"/>
          <w:szCs w:val="32"/>
        </w:rPr>
      </w:pPr>
      <w:r>
        <w:rPr>
          <w:rFonts w:ascii="Times New Roman" w:hAnsi="Times New Roman" w:eastAsia="仿宋_GB2312"/>
          <w:b/>
          <w:sz w:val="32"/>
          <w:szCs w:val="32"/>
        </w:rPr>
        <w:t>绩效指标：</w:t>
      </w:r>
      <w:r>
        <w:rPr>
          <w:rFonts w:ascii="Times New Roman" w:hAnsi="Times New Roman" w:eastAsia="仿宋_GB2312"/>
          <w:bCs/>
          <w:sz w:val="32"/>
          <w:szCs w:val="32"/>
        </w:rPr>
        <w:t>全</w:t>
      </w:r>
      <w:r>
        <w:rPr>
          <w:rFonts w:hint="eastAsia" w:ascii="Times New Roman" w:hAnsi="Times New Roman" w:eastAsia="仿宋_GB2312"/>
          <w:bCs/>
          <w:sz w:val="32"/>
          <w:szCs w:val="32"/>
        </w:rPr>
        <w:t>县</w:t>
      </w:r>
      <w:r>
        <w:rPr>
          <w:rFonts w:ascii="Times New Roman" w:hAnsi="Times New Roman" w:eastAsia="仿宋_GB2312"/>
          <w:bCs/>
          <w:sz w:val="32"/>
          <w:szCs w:val="32"/>
        </w:rPr>
        <w:t>信访总量、进京集体访、到非接待场所有关人员、赴</w:t>
      </w:r>
      <w:r>
        <w:rPr>
          <w:rFonts w:hint="eastAsia" w:ascii="Times New Roman" w:hAnsi="Times New Roman" w:eastAsia="仿宋_GB2312"/>
          <w:bCs/>
          <w:sz w:val="32"/>
          <w:szCs w:val="32"/>
        </w:rPr>
        <w:t>县</w:t>
      </w:r>
      <w:r>
        <w:rPr>
          <w:rFonts w:ascii="Times New Roman" w:hAnsi="Times New Roman" w:eastAsia="仿宋_GB2312"/>
          <w:bCs/>
          <w:sz w:val="32"/>
          <w:szCs w:val="32"/>
        </w:rPr>
        <w:t>集体访与去年同期相比保持下降。</w:t>
      </w:r>
    </w:p>
    <w:p>
      <w:pPr>
        <w:spacing w:line="600" w:lineRule="exact"/>
        <w:ind w:firstLine="640" w:firstLineChars="200"/>
        <w:rPr>
          <w:rFonts w:ascii="Times New Roman" w:hAnsi="Times New Roman" w:eastAsia="楷体_GB2312"/>
          <w:sz w:val="32"/>
          <w:szCs w:val="32"/>
        </w:rPr>
      </w:pPr>
      <w:r>
        <w:rPr>
          <w:rFonts w:hint="eastAsia" w:ascii="Times New Roman" w:hAnsi="Times New Roman" w:eastAsia="楷体_GB2312"/>
          <w:sz w:val="32"/>
          <w:szCs w:val="32"/>
        </w:rPr>
        <w:t>2、推动化解信访积案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bCs/>
          <w:sz w:val="32"/>
          <w:szCs w:val="32"/>
        </w:rPr>
      </w:pPr>
      <w:r>
        <w:rPr>
          <w:rFonts w:ascii="Times New Roman" w:hAnsi="Times New Roman" w:eastAsia="仿宋_GB2312"/>
          <w:b/>
          <w:sz w:val="32"/>
          <w:szCs w:val="32"/>
        </w:rPr>
        <w:t>绩效目标：</w:t>
      </w:r>
      <w:r>
        <w:rPr>
          <w:rFonts w:ascii="Times New Roman" w:hAnsi="Times New Roman" w:eastAsia="仿宋_GB2312"/>
          <w:bCs/>
          <w:sz w:val="32"/>
          <w:szCs w:val="32"/>
        </w:rPr>
        <w:t>深入开展信访矛盾纠纷排查，把问题隐患发现在初始、解决在当地，从源头上遏制信访增量。抓实领导干部包联信访事项和县级领导干部信访接待日制度，深入推动信访积案攻坚化解，确保实现两个“百分之百”工作目标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bCs/>
          <w:sz w:val="32"/>
          <w:szCs w:val="32"/>
        </w:rPr>
      </w:pPr>
      <w:r>
        <w:rPr>
          <w:rFonts w:ascii="Times New Roman" w:hAnsi="Times New Roman" w:eastAsia="仿宋_GB2312"/>
          <w:b/>
          <w:sz w:val="32"/>
          <w:szCs w:val="32"/>
        </w:rPr>
        <w:t>绩效指标：</w:t>
      </w:r>
      <w:r>
        <w:rPr>
          <w:rFonts w:ascii="Times New Roman" w:hAnsi="Times New Roman" w:eastAsia="仿宋_GB2312"/>
          <w:bCs/>
          <w:sz w:val="32"/>
          <w:szCs w:val="32"/>
        </w:rPr>
        <w:t>交办积案化解率均达到100%。</w:t>
      </w:r>
    </w:p>
    <w:p>
      <w:pPr>
        <w:spacing w:line="540" w:lineRule="exact"/>
        <w:ind w:firstLine="640" w:firstLineChars="200"/>
        <w:jc w:val="left"/>
        <w:outlineLvl w:val="0"/>
        <w:rPr>
          <w:rFonts w:hint="eastAsia" w:ascii="Times New Roman" w:hAnsi="Times New Roman" w:eastAsia="楷体_GB2312"/>
          <w:sz w:val="32"/>
          <w:szCs w:val="32"/>
        </w:rPr>
      </w:pPr>
      <w:r>
        <w:rPr>
          <w:rFonts w:hint="eastAsia" w:ascii="Times New Roman" w:hAnsi="Times New Roman" w:eastAsia="楷体_GB2312"/>
          <w:sz w:val="32"/>
          <w:szCs w:val="32"/>
        </w:rPr>
        <w:t>3、部门职责及工作活动绩效目标指标：</w:t>
      </w:r>
      <w:bookmarkStart w:id="1" w:name="_Toc477338715"/>
    </w:p>
    <w:p>
      <w:pPr>
        <w:spacing w:line="540" w:lineRule="exact"/>
        <w:ind w:firstLine="640" w:firstLineChars="200"/>
        <w:jc w:val="left"/>
        <w:outlineLvl w:val="0"/>
        <w:rPr>
          <w:rFonts w:hint="eastAsia" w:ascii="楷体_GB2312" w:hAnsi="Times New Roman" w:eastAsia="楷体_GB2312"/>
          <w:b/>
          <w:sz w:val="32"/>
          <w:szCs w:val="24"/>
        </w:rPr>
      </w:pPr>
    </w:p>
    <w:p>
      <w:pPr>
        <w:jc w:val="center"/>
        <w:outlineLvl w:val="0"/>
        <w:rPr>
          <w:rFonts w:hint="eastAsia" w:ascii="方正小标宋_GBK" w:eastAsia="方正小标宋_GBK"/>
          <w:sz w:val="32"/>
        </w:rPr>
      </w:pPr>
      <w:r>
        <w:rPr>
          <w:rFonts w:hint="eastAsia" w:ascii="方正小标宋_GBK" w:eastAsia="方正小标宋_GBK"/>
          <w:sz w:val="32"/>
        </w:rPr>
        <w:t>部门职责-工作活动绩效目标</w:t>
      </w:r>
      <w:bookmarkEnd w:id="1"/>
    </w:p>
    <w:tbl>
      <w:tblPr>
        <w:tblStyle w:val="7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1417"/>
        <w:gridCol w:w="1559"/>
        <w:gridCol w:w="4253"/>
        <w:gridCol w:w="1693"/>
        <w:gridCol w:w="716"/>
        <w:gridCol w:w="716"/>
        <w:gridCol w:w="716"/>
        <w:gridCol w:w="71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10675" w:type="dxa"/>
            <w:gridSpan w:val="5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方正小标宋_GBK" w:eastAsia="方正小标宋_GBK"/>
                <w:sz w:val="24"/>
              </w:rPr>
            </w:pPr>
            <w:r>
              <w:rPr>
                <w:rFonts w:hint="eastAsia" w:ascii="方正小标宋_GBK" w:eastAsia="方正小标宋_GBK"/>
                <w:sz w:val="24"/>
              </w:rPr>
              <w:t>553002</w:t>
            </w:r>
          </w:p>
        </w:tc>
        <w:tc>
          <w:tcPr>
            <w:tcW w:w="2865" w:type="dxa"/>
            <w:gridSpan w:val="4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单位：万元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1753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职责活动</w:t>
            </w:r>
          </w:p>
        </w:tc>
        <w:tc>
          <w:tcPr>
            <w:tcW w:w="1417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年度预算数</w:t>
            </w:r>
          </w:p>
        </w:tc>
        <w:tc>
          <w:tcPr>
            <w:tcW w:w="1559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内容描述</w:t>
            </w:r>
          </w:p>
        </w:tc>
        <w:tc>
          <w:tcPr>
            <w:tcW w:w="4253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绩效目标</w:t>
            </w:r>
          </w:p>
        </w:tc>
        <w:tc>
          <w:tcPr>
            <w:tcW w:w="1693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绩效指标</w:t>
            </w:r>
          </w:p>
        </w:tc>
        <w:tc>
          <w:tcPr>
            <w:tcW w:w="2865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评价标准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1753" w:type="dxa"/>
            <w:vMerge w:val="continue"/>
            <w:noWrap w:val="0"/>
            <w:vAlign w:val="center"/>
          </w:tcPr>
          <w:p>
            <w:pPr>
              <w:spacing w:line="300" w:lineRule="exact"/>
              <w:jc w:val="left"/>
              <w:outlineLvl w:val="0"/>
            </w:pPr>
          </w:p>
        </w:tc>
        <w:tc>
          <w:tcPr>
            <w:tcW w:w="1417" w:type="dxa"/>
            <w:vMerge w:val="continue"/>
            <w:noWrap w:val="0"/>
            <w:vAlign w:val="center"/>
          </w:tcPr>
          <w:p>
            <w:pPr>
              <w:spacing w:line="300" w:lineRule="exact"/>
              <w:jc w:val="left"/>
              <w:outlineLvl w:val="0"/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>
            <w:pPr>
              <w:spacing w:line="300" w:lineRule="exact"/>
              <w:jc w:val="left"/>
              <w:outlineLvl w:val="0"/>
            </w:pPr>
          </w:p>
        </w:tc>
        <w:tc>
          <w:tcPr>
            <w:tcW w:w="4253" w:type="dxa"/>
            <w:vMerge w:val="continue"/>
            <w:noWrap w:val="0"/>
            <w:vAlign w:val="center"/>
          </w:tcPr>
          <w:p>
            <w:pPr>
              <w:spacing w:line="300" w:lineRule="exact"/>
              <w:jc w:val="left"/>
              <w:outlineLvl w:val="0"/>
            </w:pPr>
          </w:p>
        </w:tc>
        <w:tc>
          <w:tcPr>
            <w:tcW w:w="1693" w:type="dxa"/>
            <w:vMerge w:val="continue"/>
            <w:noWrap w:val="0"/>
            <w:vAlign w:val="center"/>
          </w:tcPr>
          <w:p>
            <w:pPr>
              <w:spacing w:line="300" w:lineRule="exact"/>
              <w:jc w:val="left"/>
              <w:outlineLvl w:val="0"/>
            </w:pPr>
          </w:p>
        </w:tc>
        <w:tc>
          <w:tcPr>
            <w:tcW w:w="7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优</w:t>
            </w:r>
          </w:p>
        </w:tc>
        <w:tc>
          <w:tcPr>
            <w:tcW w:w="7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良</w:t>
            </w:r>
          </w:p>
        </w:tc>
        <w:tc>
          <w:tcPr>
            <w:tcW w:w="7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中</w:t>
            </w:r>
          </w:p>
        </w:tc>
        <w:tc>
          <w:tcPr>
            <w:tcW w:w="7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17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宋体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处理群众来访情况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301.10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宋体"/>
                <w:sz w:val="24"/>
                <w:szCs w:val="24"/>
              </w:rPr>
            </w:pPr>
          </w:p>
        </w:tc>
        <w:tc>
          <w:tcPr>
            <w:tcW w:w="42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全部按期办结</w:t>
            </w:r>
          </w:p>
        </w:tc>
        <w:tc>
          <w:tcPr>
            <w:tcW w:w="16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按期结案率为100％</w:t>
            </w:r>
          </w:p>
        </w:tc>
        <w:tc>
          <w:tcPr>
            <w:tcW w:w="71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≥95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％</w:t>
            </w:r>
          </w:p>
        </w:tc>
        <w:tc>
          <w:tcPr>
            <w:tcW w:w="71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≥90%</w:t>
            </w:r>
          </w:p>
        </w:tc>
        <w:tc>
          <w:tcPr>
            <w:tcW w:w="71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≥85%</w:t>
            </w:r>
          </w:p>
        </w:tc>
        <w:tc>
          <w:tcPr>
            <w:tcW w:w="71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＜85%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7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安保维稳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231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宋体"/>
                <w:sz w:val="24"/>
                <w:szCs w:val="24"/>
              </w:rPr>
            </w:pPr>
          </w:p>
        </w:tc>
        <w:tc>
          <w:tcPr>
            <w:tcW w:w="42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确保重大敏感日不发生群体性恶劣事件</w:t>
            </w:r>
          </w:p>
        </w:tc>
        <w:tc>
          <w:tcPr>
            <w:tcW w:w="1693" w:type="dxa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群体性事件为0</w:t>
            </w:r>
          </w:p>
        </w:tc>
        <w:tc>
          <w:tcPr>
            <w:tcW w:w="7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100%</w:t>
            </w:r>
          </w:p>
        </w:tc>
        <w:tc>
          <w:tcPr>
            <w:tcW w:w="7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≥85%</w:t>
            </w:r>
          </w:p>
        </w:tc>
        <w:tc>
          <w:tcPr>
            <w:tcW w:w="7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≥70%</w:t>
            </w:r>
          </w:p>
        </w:tc>
        <w:tc>
          <w:tcPr>
            <w:tcW w:w="7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＜70%</w:t>
            </w:r>
          </w:p>
        </w:tc>
      </w:tr>
    </w:tbl>
    <w:p>
      <w:pPr>
        <w:spacing w:line="580" w:lineRule="exact"/>
        <w:rPr>
          <w:rFonts w:hint="eastAsia" w:ascii="黑体" w:hAnsi="黑体" w:eastAsia="黑体" w:cs="黑体"/>
          <w:kern w:val="0"/>
          <w:sz w:val="32"/>
          <w:szCs w:val="32"/>
          <w:lang w:bidi="ar"/>
        </w:rPr>
      </w:pPr>
    </w:p>
    <w:p>
      <w:pPr>
        <w:spacing w:line="580" w:lineRule="exact"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bidi="ar"/>
        </w:rPr>
        <w:t>六、政府采购预算情况</w:t>
      </w:r>
    </w:p>
    <w:p>
      <w:pPr>
        <w:spacing w:line="560" w:lineRule="exact"/>
        <w:ind w:firstLine="640" w:firstLineChars="200"/>
        <w:outlineLvl w:val="0"/>
        <w:rPr>
          <w:rFonts w:hint="eastAsia" w:ascii="仿宋" w:hAnsi="仿宋" w:eastAsia="仿宋"/>
          <w:sz w:val="32"/>
          <w:szCs w:val="32"/>
        </w:rPr>
      </w:pPr>
      <w:r>
        <w:rPr>
          <w:rFonts w:ascii="仿宋_GB2312" w:hAnsi="微软雅黑" w:eastAsia="仿宋_GB2312" w:cs="仿宋_GB2312"/>
          <w:kern w:val="0"/>
          <w:sz w:val="32"/>
          <w:szCs w:val="32"/>
        </w:rPr>
        <w:t>政府采购指国家机关、事业单位和社会团体组织，使用财政性资金，购买集中采购目录以内的或者采购限额标准以上的货物、工程或服务的行为。政府采购应遵循公开透明、公平竞争、公正和诚实信用的原则。凡使用纳入预算管理的资金采购符合《河北省政府采购集中采购目录和限额标准》（冀财采[2015]11号）要求的货物、工程或服务的项目，采购人均应编入政府采购预算。按照政府采购相关法律法规要求，结合我局实际，</w:t>
      </w:r>
      <w:r>
        <w:rPr>
          <w:rFonts w:hint="eastAsia" w:ascii="仿宋" w:hAnsi="仿宋" w:eastAsia="仿宋"/>
          <w:sz w:val="32"/>
          <w:szCs w:val="32"/>
        </w:rPr>
        <w:t>2021年，我单位安排政府采购预算3万元。具体内容见下表。</w:t>
      </w:r>
    </w:p>
    <w:p>
      <w:pPr>
        <w:spacing w:line="560" w:lineRule="exact"/>
        <w:ind w:firstLine="640" w:firstLineChars="200"/>
        <w:outlineLvl w:val="0"/>
        <w:rPr>
          <w:rFonts w:hint="eastAsia" w:ascii="仿宋" w:hAnsi="仿宋" w:eastAsia="仿宋"/>
          <w:sz w:val="32"/>
          <w:szCs w:val="32"/>
        </w:rPr>
      </w:pPr>
    </w:p>
    <w:p>
      <w:pPr>
        <w:spacing w:line="560" w:lineRule="exact"/>
        <w:ind w:firstLine="640" w:firstLineChars="200"/>
        <w:jc w:val="center"/>
        <w:outlineLvl w:val="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单位政府采购预算</w:t>
      </w:r>
    </w:p>
    <w:tbl>
      <w:tblPr>
        <w:tblStyle w:val="7"/>
        <w:tblW w:w="1358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276"/>
        <w:gridCol w:w="1276"/>
        <w:gridCol w:w="850"/>
        <w:gridCol w:w="851"/>
        <w:gridCol w:w="733"/>
        <w:gridCol w:w="900"/>
        <w:gridCol w:w="702"/>
        <w:gridCol w:w="783"/>
        <w:gridCol w:w="993"/>
        <w:gridCol w:w="992"/>
        <w:gridCol w:w="850"/>
        <w:gridCol w:w="993"/>
        <w:gridCol w:w="113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</w:trPr>
        <w:tc>
          <w:tcPr>
            <w:tcW w:w="7128" w:type="dxa"/>
            <w:gridSpan w:val="7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noWrap w:val="0"/>
            <w:vAlign w:val="center"/>
          </w:tcPr>
          <w:p>
            <w:pPr>
              <w:spacing w:line="560" w:lineRule="exact"/>
              <w:jc w:val="lef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部门（单位）：成安县信访局</w:t>
            </w:r>
          </w:p>
        </w:tc>
        <w:tc>
          <w:tcPr>
            <w:tcW w:w="6452" w:type="dxa"/>
            <w:gridSpan w:val="7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noWrap w:val="0"/>
            <w:vAlign w:val="center"/>
          </w:tcPr>
          <w:p>
            <w:pPr>
              <w:spacing w:line="560" w:lineRule="exact"/>
              <w:jc w:val="righ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单位：万元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  <w:tblHeader/>
        </w:trPr>
        <w:tc>
          <w:tcPr>
            <w:tcW w:w="1242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政府采购项目来源</w:t>
            </w:r>
          </w:p>
        </w:tc>
        <w:tc>
          <w:tcPr>
            <w:tcW w:w="2552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采购物品名称</w:t>
            </w:r>
          </w:p>
        </w:tc>
        <w:tc>
          <w:tcPr>
            <w:tcW w:w="850" w:type="dxa"/>
            <w:vMerge w:val="restart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政府采购目录序号</w:t>
            </w:r>
          </w:p>
        </w:tc>
        <w:tc>
          <w:tcPr>
            <w:tcW w:w="851" w:type="dxa"/>
            <w:vMerge w:val="restart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数量单位</w:t>
            </w:r>
          </w:p>
        </w:tc>
        <w:tc>
          <w:tcPr>
            <w:tcW w:w="733" w:type="dxa"/>
            <w:vMerge w:val="restart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数量</w:t>
            </w:r>
          </w:p>
        </w:tc>
        <w:tc>
          <w:tcPr>
            <w:tcW w:w="900" w:type="dxa"/>
            <w:vMerge w:val="restart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单价</w:t>
            </w:r>
          </w:p>
        </w:tc>
        <w:tc>
          <w:tcPr>
            <w:tcW w:w="6452" w:type="dxa"/>
            <w:gridSpan w:val="7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政府采购金额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</w:trPr>
        <w:tc>
          <w:tcPr>
            <w:tcW w:w="1242" w:type="dxa"/>
            <w:vMerge w:val="restart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项目名称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预算资金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hint="eastAsia" w:ascii="仿宋_GB2312" w:eastAsia="仿宋_GB2312"/>
              </w:rPr>
            </w:pPr>
          </w:p>
        </w:tc>
        <w:tc>
          <w:tcPr>
            <w:tcW w:w="850" w:type="dxa"/>
            <w:vMerge w:val="continue"/>
            <w:noWrap w:val="0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hint="eastAsia" w:ascii="仿宋_GB2312" w:eastAsia="仿宋_GB2312"/>
              </w:rPr>
            </w:pPr>
          </w:p>
        </w:tc>
        <w:tc>
          <w:tcPr>
            <w:tcW w:w="851" w:type="dxa"/>
            <w:vMerge w:val="continue"/>
            <w:noWrap w:val="0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hint="eastAsia" w:ascii="仿宋_GB2312" w:eastAsia="仿宋_GB2312"/>
              </w:rPr>
            </w:pPr>
          </w:p>
        </w:tc>
        <w:tc>
          <w:tcPr>
            <w:tcW w:w="733" w:type="dxa"/>
            <w:vMerge w:val="continue"/>
            <w:noWrap w:val="0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hint="eastAsia" w:ascii="仿宋_GB2312" w:eastAsia="仿宋_GB2312"/>
              </w:rPr>
            </w:pPr>
          </w:p>
        </w:tc>
        <w:tc>
          <w:tcPr>
            <w:tcW w:w="900" w:type="dxa"/>
            <w:vMerge w:val="continue"/>
            <w:noWrap w:val="0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hint="eastAsia" w:ascii="仿宋_GB2312" w:eastAsia="仿宋_GB2312"/>
              </w:rPr>
            </w:pPr>
          </w:p>
        </w:tc>
        <w:tc>
          <w:tcPr>
            <w:tcW w:w="702" w:type="dxa"/>
            <w:vMerge w:val="restart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总计</w:t>
            </w:r>
          </w:p>
        </w:tc>
        <w:tc>
          <w:tcPr>
            <w:tcW w:w="4611" w:type="dxa"/>
            <w:gridSpan w:val="5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当年部门预算安排资金</w:t>
            </w:r>
          </w:p>
        </w:tc>
        <w:tc>
          <w:tcPr>
            <w:tcW w:w="1139" w:type="dxa"/>
            <w:vMerge w:val="restar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其他渠道资金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tblHeader/>
        </w:trPr>
        <w:tc>
          <w:tcPr>
            <w:tcW w:w="1242" w:type="dxa"/>
            <w:vMerge w:val="continue"/>
            <w:noWrap w:val="0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hint="eastAsia" w:ascii="仿宋_GB2312" w:eastAsia="仿宋_GB2312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hint="eastAsia" w:ascii="仿宋_GB2312" w:eastAsia="仿宋_GB2312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hint="eastAsia" w:ascii="仿宋_GB2312" w:eastAsia="仿宋_GB2312"/>
              </w:rPr>
            </w:pPr>
          </w:p>
        </w:tc>
        <w:tc>
          <w:tcPr>
            <w:tcW w:w="850" w:type="dxa"/>
            <w:vMerge w:val="continue"/>
            <w:noWrap w:val="0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hint="eastAsia" w:ascii="仿宋_GB2312" w:eastAsia="仿宋_GB2312"/>
              </w:rPr>
            </w:pPr>
          </w:p>
        </w:tc>
        <w:tc>
          <w:tcPr>
            <w:tcW w:w="851" w:type="dxa"/>
            <w:vMerge w:val="continue"/>
            <w:noWrap w:val="0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hint="eastAsia" w:ascii="仿宋_GB2312" w:eastAsia="仿宋_GB2312"/>
              </w:rPr>
            </w:pPr>
          </w:p>
        </w:tc>
        <w:tc>
          <w:tcPr>
            <w:tcW w:w="733" w:type="dxa"/>
            <w:vMerge w:val="continue"/>
            <w:noWrap w:val="0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hint="eastAsia" w:ascii="仿宋_GB2312" w:eastAsia="仿宋_GB2312"/>
              </w:rPr>
            </w:pPr>
          </w:p>
        </w:tc>
        <w:tc>
          <w:tcPr>
            <w:tcW w:w="900" w:type="dxa"/>
            <w:vMerge w:val="continue"/>
            <w:noWrap w:val="0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hint="eastAsia" w:ascii="仿宋_GB2312" w:eastAsia="仿宋_GB2312"/>
              </w:rPr>
            </w:pPr>
          </w:p>
        </w:tc>
        <w:tc>
          <w:tcPr>
            <w:tcW w:w="702" w:type="dxa"/>
            <w:vMerge w:val="continue"/>
            <w:noWrap w:val="0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hint="eastAsia" w:ascii="仿宋_GB2312" w:eastAsia="仿宋_GB2312"/>
              </w:rPr>
            </w:pPr>
          </w:p>
        </w:tc>
        <w:tc>
          <w:tcPr>
            <w:tcW w:w="78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合计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一般公共预算拨款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基金预算拨款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财政专户核拨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其他来源收入</w:t>
            </w:r>
          </w:p>
        </w:tc>
        <w:tc>
          <w:tcPr>
            <w:tcW w:w="1139" w:type="dxa"/>
            <w:vMerge w:val="continue"/>
            <w:noWrap w:val="0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4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合　计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3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18"/>
                <w:szCs w:val="18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18"/>
                <w:szCs w:val="18"/>
              </w:rPr>
            </w:pPr>
          </w:p>
        </w:tc>
        <w:tc>
          <w:tcPr>
            <w:tcW w:w="70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3</w:t>
            </w:r>
          </w:p>
        </w:tc>
        <w:tc>
          <w:tcPr>
            <w:tcW w:w="78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3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3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39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4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Cs w:val="21"/>
              </w:rPr>
              <w:t>日常公用经费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102.24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计算机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A02010102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台</w:t>
            </w:r>
          </w:p>
        </w:tc>
        <w:tc>
          <w:tcPr>
            <w:tcW w:w="73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4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0.49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1.96</w:t>
            </w:r>
          </w:p>
        </w:tc>
        <w:tc>
          <w:tcPr>
            <w:tcW w:w="78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1.96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1.96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18"/>
                <w:szCs w:val="18"/>
              </w:rPr>
            </w:pPr>
          </w:p>
        </w:tc>
        <w:tc>
          <w:tcPr>
            <w:tcW w:w="1139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4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日常公用经费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102.24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复印机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A0201060199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台</w:t>
            </w:r>
          </w:p>
        </w:tc>
        <w:tc>
          <w:tcPr>
            <w:tcW w:w="73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2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0.22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0.44</w:t>
            </w:r>
          </w:p>
        </w:tc>
        <w:tc>
          <w:tcPr>
            <w:tcW w:w="78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0.44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0.44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18"/>
                <w:szCs w:val="18"/>
              </w:rPr>
            </w:pPr>
          </w:p>
        </w:tc>
        <w:tc>
          <w:tcPr>
            <w:tcW w:w="1139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4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日常公用经费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102.24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空调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台</w:t>
            </w:r>
          </w:p>
        </w:tc>
        <w:tc>
          <w:tcPr>
            <w:tcW w:w="73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2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0.3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0.6</w:t>
            </w:r>
          </w:p>
        </w:tc>
        <w:tc>
          <w:tcPr>
            <w:tcW w:w="78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0.6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0.6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18"/>
                <w:szCs w:val="18"/>
              </w:rPr>
            </w:pPr>
          </w:p>
        </w:tc>
        <w:tc>
          <w:tcPr>
            <w:tcW w:w="1139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</w:rPr>
            </w:pPr>
          </w:p>
        </w:tc>
      </w:tr>
    </w:tbl>
    <w:p>
      <w:pPr>
        <w:spacing w:line="560" w:lineRule="exact"/>
        <w:outlineLvl w:val="0"/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bidi="ar"/>
        </w:rPr>
        <w:t>七、国有资产情况的说明</w:t>
      </w:r>
    </w:p>
    <w:tbl>
      <w:tblPr>
        <w:tblStyle w:val="7"/>
        <w:tblW w:w="1337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08"/>
        <w:gridCol w:w="1262"/>
        <w:gridCol w:w="60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3370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32"/>
                <w:szCs w:val="32"/>
              </w:rPr>
              <w:t>我单位上年末固定资产金额为723万元，</w:t>
            </w: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本年度购置固定资产3万元。</w:t>
            </w:r>
            <w:r>
              <w:rPr>
                <w:rFonts w:hint="eastAsia" w:ascii="仿宋" w:hAnsi="仿宋" w:eastAsia="仿宋" w:cs="宋体"/>
                <w:bCs/>
                <w:kern w:val="0"/>
                <w:sz w:val="32"/>
                <w:szCs w:val="32"/>
              </w:rPr>
              <w:t>详见下表：</w:t>
            </w:r>
          </w:p>
          <w:p>
            <w:pPr>
              <w:widowControl/>
              <w:ind w:firstLine="4640" w:firstLineChars="1450"/>
              <w:rPr>
                <w:rFonts w:hint="eastAsia" w:ascii="宋体" w:hAnsi="宋体" w:cs="宋体"/>
                <w:bCs/>
                <w:kern w:val="0"/>
                <w:sz w:val="32"/>
                <w:szCs w:val="32"/>
              </w:rPr>
            </w:pPr>
          </w:p>
          <w:p>
            <w:pPr>
              <w:widowControl/>
              <w:ind w:firstLine="4640" w:firstLineChars="1450"/>
              <w:rPr>
                <w:rFonts w:hint="eastAsia" w:ascii="宋体" w:hAnsi="宋体" w:cs="宋体"/>
                <w:bCs/>
                <w:kern w:val="0"/>
                <w:sz w:val="32"/>
                <w:szCs w:val="32"/>
              </w:rPr>
            </w:pPr>
          </w:p>
          <w:p>
            <w:pPr>
              <w:widowControl/>
              <w:ind w:firstLine="4640" w:firstLineChars="1450"/>
              <w:rPr>
                <w:rFonts w:hint="eastAsia" w:ascii="宋体" w:hAnsi="宋体" w:cs="宋体"/>
                <w:bCs/>
                <w:kern w:val="0"/>
                <w:sz w:val="32"/>
                <w:szCs w:val="32"/>
              </w:rPr>
            </w:pPr>
          </w:p>
          <w:p>
            <w:pPr>
              <w:widowControl/>
              <w:ind w:firstLine="4640" w:firstLineChars="1450"/>
              <w:rPr>
                <w:rFonts w:ascii="宋体" w:hAnsi="宋体"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Cs/>
                <w:kern w:val="0"/>
                <w:sz w:val="32"/>
                <w:szCs w:val="32"/>
              </w:rPr>
              <w:t>单位固定资产占用情况表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370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编制部门：</w:t>
            </w:r>
            <w:r>
              <w:rPr>
                <w:rFonts w:hint="eastAsia" w:ascii="仿宋_GB2312" w:eastAsia="仿宋_GB2312"/>
                <w:sz w:val="24"/>
              </w:rPr>
              <w:t xml:space="preserve"> 成安县信访局       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ind w:firstLine="2310" w:firstLineChars="1050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截止时间：2020年</w:t>
            </w:r>
            <w:r>
              <w:rPr>
                <w:rFonts w:ascii="宋体" w:hAnsi="宋体" w:cs="宋体"/>
                <w:kern w:val="0"/>
                <w:sz w:val="22"/>
              </w:rPr>
              <w:t>12</w:t>
            </w:r>
            <w:r>
              <w:rPr>
                <w:rFonts w:hint="eastAsia" w:ascii="宋体" w:hAnsi="宋体" w:cs="宋体"/>
                <w:kern w:val="0"/>
                <w:sz w:val="22"/>
              </w:rPr>
              <w:t>月</w:t>
            </w:r>
            <w:r>
              <w:rPr>
                <w:rFonts w:ascii="宋体" w:hAnsi="宋体" w:cs="宋体"/>
                <w:kern w:val="0"/>
                <w:sz w:val="22"/>
              </w:rPr>
              <w:t>31</w:t>
            </w:r>
            <w:r>
              <w:rPr>
                <w:rFonts w:hint="eastAsia" w:ascii="宋体" w:hAnsi="宋体" w:cs="宋体"/>
                <w:kern w:val="0"/>
                <w:sz w:val="22"/>
              </w:rPr>
              <w:t>日</w:t>
            </w:r>
            <w:r>
              <w:rPr>
                <w:rFonts w:ascii="宋体" w:hAnsi="宋体" w:cs="宋体"/>
                <w:kern w:val="0"/>
                <w:sz w:val="22"/>
              </w:rPr>
              <w:t xml:space="preserve">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6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项</w:t>
            </w:r>
            <w:r>
              <w:rPr>
                <w:rFonts w:ascii="宋体" w:hAnsi="宋体" w:cs="宋体"/>
                <w:b/>
                <w:bCs/>
                <w:kern w:val="0"/>
                <w:sz w:val="22"/>
              </w:rPr>
              <w:t xml:space="preserve">   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目</w:t>
            </w:r>
          </w:p>
        </w:tc>
        <w:tc>
          <w:tcPr>
            <w:tcW w:w="1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数量</w:t>
            </w:r>
          </w:p>
        </w:tc>
        <w:tc>
          <w:tcPr>
            <w:tcW w:w="6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价值（金额单位：万元）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61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资产总额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——</w:t>
            </w:r>
          </w:p>
        </w:tc>
        <w:tc>
          <w:tcPr>
            <w:tcW w:w="6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723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61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1</w:t>
            </w:r>
            <w:r>
              <w:rPr>
                <w:rFonts w:hint="eastAsia" w:ascii="宋体" w:hAnsi="宋体" w:cs="宋体"/>
                <w:kern w:val="0"/>
                <w:sz w:val="22"/>
              </w:rPr>
              <w:t>、房屋（平方米）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3777</w:t>
            </w:r>
          </w:p>
        </w:tc>
        <w:tc>
          <w:tcPr>
            <w:tcW w:w="6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575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61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22"/>
              </w:rPr>
              <w:t>其中：办公用房（平方米）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3777</w:t>
            </w:r>
          </w:p>
        </w:tc>
        <w:tc>
          <w:tcPr>
            <w:tcW w:w="6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575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61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2</w:t>
            </w:r>
            <w:r>
              <w:rPr>
                <w:rFonts w:hint="eastAsia" w:ascii="宋体" w:hAnsi="宋体" w:cs="宋体"/>
                <w:kern w:val="0"/>
                <w:sz w:val="22"/>
              </w:rPr>
              <w:t>、车辆（台、辆）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1</w:t>
            </w:r>
          </w:p>
        </w:tc>
        <w:tc>
          <w:tcPr>
            <w:tcW w:w="6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61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3</w:t>
            </w:r>
            <w:r>
              <w:rPr>
                <w:rFonts w:hint="eastAsia" w:ascii="宋体" w:hAnsi="宋体" w:cs="宋体"/>
                <w:kern w:val="0"/>
                <w:sz w:val="22"/>
              </w:rPr>
              <w:t>、单价在</w:t>
            </w:r>
            <w:r>
              <w:rPr>
                <w:rFonts w:ascii="宋体" w:hAnsi="宋体" w:cs="宋体"/>
                <w:kern w:val="0"/>
                <w:sz w:val="22"/>
              </w:rPr>
              <w:t>50</w:t>
            </w:r>
            <w:r>
              <w:rPr>
                <w:rFonts w:hint="eastAsia" w:ascii="宋体" w:hAnsi="宋体" w:cs="宋体"/>
                <w:kern w:val="0"/>
                <w:sz w:val="22"/>
              </w:rPr>
              <w:t>万元以上的设备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61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4</w:t>
            </w:r>
            <w:r>
              <w:rPr>
                <w:rFonts w:hint="eastAsia" w:ascii="宋体" w:hAnsi="宋体" w:cs="宋体"/>
                <w:kern w:val="0"/>
                <w:sz w:val="22"/>
              </w:rPr>
              <w:t>、其他固定资产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60</w:t>
            </w:r>
          </w:p>
        </w:tc>
        <w:tc>
          <w:tcPr>
            <w:tcW w:w="6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138</w:t>
            </w:r>
          </w:p>
        </w:tc>
      </w:tr>
    </w:tbl>
    <w:p>
      <w:pPr>
        <w:autoSpaceDE w:val="0"/>
        <w:autoSpaceDN w:val="0"/>
        <w:adjustRightInd w:val="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八、名词解释</w:t>
      </w:r>
    </w:p>
    <w:p>
      <w:pPr>
        <w:spacing w:line="560" w:lineRule="exact"/>
        <w:ind w:firstLine="641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1、一般预算收入：县级财政当年拨付的资金。</w:t>
      </w:r>
    </w:p>
    <w:p>
      <w:pPr>
        <w:spacing w:line="560" w:lineRule="exact"/>
        <w:ind w:firstLine="641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2、基本支出：为保障机构正常运转，完成日常工作任务，而发生的人员支出和公用支出。</w:t>
      </w:r>
    </w:p>
    <w:p>
      <w:pPr>
        <w:spacing w:line="560" w:lineRule="exact"/>
        <w:ind w:firstLine="641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3、项目支出：是指在基本支出之外，为完成特定行政任务和事业发展目标，而发生的支出。</w:t>
      </w:r>
    </w:p>
    <w:p>
      <w:pPr>
        <w:spacing w:line="560" w:lineRule="exact"/>
        <w:ind w:firstLine="641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、机关运行费：是指为保证行政单位（包括参照公务员管理的事业单位）运行，用于购买货物和服务的各项资金。主要包括：办公费、印刷费，水费、电费、邮电费、福利费、日常维修费、办公取暖费、办公物业服务费、公务车运行维护费等。</w:t>
      </w:r>
    </w:p>
    <w:p>
      <w:pPr>
        <w:tabs>
          <w:tab w:val="left" w:pos="11490"/>
        </w:tabs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九、其它需要说明的事项</w:t>
      </w:r>
    </w:p>
    <w:p>
      <w:pPr>
        <w:tabs>
          <w:tab w:val="left" w:pos="11490"/>
        </w:tabs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无其它需要说明的事项。</w:t>
      </w:r>
    </w:p>
    <w:p>
      <w:pPr>
        <w:spacing w:line="580" w:lineRule="exact"/>
        <w:ind w:left="640" w:firstLine="640"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9" w:h="11907" w:orient="landscape"/>
      <w:pgMar w:top="1587" w:right="2098" w:bottom="1587" w:left="1587" w:header="851" w:footer="992" w:gutter="0"/>
      <w:cols w:space="720" w:num="1"/>
      <w:docGrid w:type="linesAndChar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_GBK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8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8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6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yYjVkM2Q3OGI3NjgyMmRhNzc4Mzg1ZjJiNjZhOGYifQ=="/>
  </w:docVars>
  <w:rsids>
    <w:rsidRoot w:val="00E810D6"/>
    <w:rsid w:val="00006CFF"/>
    <w:rsid w:val="00024947"/>
    <w:rsid w:val="0002602C"/>
    <w:rsid w:val="00030770"/>
    <w:rsid w:val="00053466"/>
    <w:rsid w:val="000551E7"/>
    <w:rsid w:val="00057717"/>
    <w:rsid w:val="000645CF"/>
    <w:rsid w:val="000B3513"/>
    <w:rsid w:val="000B3709"/>
    <w:rsid w:val="000C06F4"/>
    <w:rsid w:val="000C6B29"/>
    <w:rsid w:val="000E0131"/>
    <w:rsid w:val="000E6CF1"/>
    <w:rsid w:val="000E77CA"/>
    <w:rsid w:val="000F0336"/>
    <w:rsid w:val="00106E07"/>
    <w:rsid w:val="00111350"/>
    <w:rsid w:val="00113FA4"/>
    <w:rsid w:val="00123F0A"/>
    <w:rsid w:val="00156B13"/>
    <w:rsid w:val="001A0FE7"/>
    <w:rsid w:val="001A63B6"/>
    <w:rsid w:val="001C192E"/>
    <w:rsid w:val="001D7B54"/>
    <w:rsid w:val="001E2AED"/>
    <w:rsid w:val="001E7A1C"/>
    <w:rsid w:val="00205732"/>
    <w:rsid w:val="0021270F"/>
    <w:rsid w:val="00222E53"/>
    <w:rsid w:val="00227E3C"/>
    <w:rsid w:val="00253DBF"/>
    <w:rsid w:val="0026667E"/>
    <w:rsid w:val="002713ED"/>
    <w:rsid w:val="002738FB"/>
    <w:rsid w:val="00277DED"/>
    <w:rsid w:val="00284060"/>
    <w:rsid w:val="00294923"/>
    <w:rsid w:val="00295BA3"/>
    <w:rsid w:val="002A7595"/>
    <w:rsid w:val="002C2EF0"/>
    <w:rsid w:val="002E3A95"/>
    <w:rsid w:val="003062BA"/>
    <w:rsid w:val="00320355"/>
    <w:rsid w:val="00327EC1"/>
    <w:rsid w:val="003418FC"/>
    <w:rsid w:val="003467C6"/>
    <w:rsid w:val="003643C9"/>
    <w:rsid w:val="00380355"/>
    <w:rsid w:val="003A0220"/>
    <w:rsid w:val="003B0C32"/>
    <w:rsid w:val="003C7BFB"/>
    <w:rsid w:val="003D2EAA"/>
    <w:rsid w:val="003E591C"/>
    <w:rsid w:val="00423E15"/>
    <w:rsid w:val="00454B1C"/>
    <w:rsid w:val="004C07D5"/>
    <w:rsid w:val="005065EB"/>
    <w:rsid w:val="005130A0"/>
    <w:rsid w:val="00517BBD"/>
    <w:rsid w:val="00525E1A"/>
    <w:rsid w:val="005653B4"/>
    <w:rsid w:val="00590274"/>
    <w:rsid w:val="0059487F"/>
    <w:rsid w:val="005A3757"/>
    <w:rsid w:val="005D136A"/>
    <w:rsid w:val="005D46BF"/>
    <w:rsid w:val="005D653E"/>
    <w:rsid w:val="005E5EF3"/>
    <w:rsid w:val="00604AE5"/>
    <w:rsid w:val="0062621A"/>
    <w:rsid w:val="00635EBA"/>
    <w:rsid w:val="0064170D"/>
    <w:rsid w:val="00647131"/>
    <w:rsid w:val="00685811"/>
    <w:rsid w:val="006A11AA"/>
    <w:rsid w:val="006A3B92"/>
    <w:rsid w:val="006B0D1F"/>
    <w:rsid w:val="006C12D2"/>
    <w:rsid w:val="006C311D"/>
    <w:rsid w:val="006C474F"/>
    <w:rsid w:val="006D1C5B"/>
    <w:rsid w:val="006E30A9"/>
    <w:rsid w:val="0071382F"/>
    <w:rsid w:val="00713B11"/>
    <w:rsid w:val="00717F8B"/>
    <w:rsid w:val="0072092F"/>
    <w:rsid w:val="00732BA7"/>
    <w:rsid w:val="00746EA7"/>
    <w:rsid w:val="00747575"/>
    <w:rsid w:val="00763E38"/>
    <w:rsid w:val="007646DE"/>
    <w:rsid w:val="00784551"/>
    <w:rsid w:val="00787BCA"/>
    <w:rsid w:val="00795FFF"/>
    <w:rsid w:val="007A3676"/>
    <w:rsid w:val="007A507B"/>
    <w:rsid w:val="007D296D"/>
    <w:rsid w:val="007D6BF0"/>
    <w:rsid w:val="007E0EA4"/>
    <w:rsid w:val="00800EDB"/>
    <w:rsid w:val="00802D18"/>
    <w:rsid w:val="008058DC"/>
    <w:rsid w:val="008240FB"/>
    <w:rsid w:val="00851010"/>
    <w:rsid w:val="00861BAF"/>
    <w:rsid w:val="00867610"/>
    <w:rsid w:val="00870A38"/>
    <w:rsid w:val="008C7744"/>
    <w:rsid w:val="008D2738"/>
    <w:rsid w:val="008E2123"/>
    <w:rsid w:val="008E4B0E"/>
    <w:rsid w:val="00907A1E"/>
    <w:rsid w:val="00912571"/>
    <w:rsid w:val="00920D5F"/>
    <w:rsid w:val="00924AF0"/>
    <w:rsid w:val="00925B77"/>
    <w:rsid w:val="00927B12"/>
    <w:rsid w:val="00944B22"/>
    <w:rsid w:val="00950F27"/>
    <w:rsid w:val="00982FB6"/>
    <w:rsid w:val="00987BC0"/>
    <w:rsid w:val="009A44E9"/>
    <w:rsid w:val="009D4B92"/>
    <w:rsid w:val="009E22D1"/>
    <w:rsid w:val="00A07D70"/>
    <w:rsid w:val="00A15C07"/>
    <w:rsid w:val="00A32670"/>
    <w:rsid w:val="00A916D2"/>
    <w:rsid w:val="00AA6EC2"/>
    <w:rsid w:val="00AB04C7"/>
    <w:rsid w:val="00AD778E"/>
    <w:rsid w:val="00AE00EC"/>
    <w:rsid w:val="00B2585E"/>
    <w:rsid w:val="00B574DE"/>
    <w:rsid w:val="00B71A19"/>
    <w:rsid w:val="00B73C49"/>
    <w:rsid w:val="00B74CAD"/>
    <w:rsid w:val="00B82590"/>
    <w:rsid w:val="00B91DFE"/>
    <w:rsid w:val="00BC24ED"/>
    <w:rsid w:val="00BE3F69"/>
    <w:rsid w:val="00BF3005"/>
    <w:rsid w:val="00BF7F71"/>
    <w:rsid w:val="00C31775"/>
    <w:rsid w:val="00C371B0"/>
    <w:rsid w:val="00C37B16"/>
    <w:rsid w:val="00C46B2D"/>
    <w:rsid w:val="00C55738"/>
    <w:rsid w:val="00C57BCC"/>
    <w:rsid w:val="00C838BB"/>
    <w:rsid w:val="00C93028"/>
    <w:rsid w:val="00CB4445"/>
    <w:rsid w:val="00CD0ADE"/>
    <w:rsid w:val="00CD1D9E"/>
    <w:rsid w:val="00CE2617"/>
    <w:rsid w:val="00D04947"/>
    <w:rsid w:val="00D10D6D"/>
    <w:rsid w:val="00D46C63"/>
    <w:rsid w:val="00D60E7A"/>
    <w:rsid w:val="00D700C7"/>
    <w:rsid w:val="00D93BB2"/>
    <w:rsid w:val="00E810D6"/>
    <w:rsid w:val="00EA7EAE"/>
    <w:rsid w:val="00EE36B4"/>
    <w:rsid w:val="00EE5F4C"/>
    <w:rsid w:val="00EF6B68"/>
    <w:rsid w:val="00F05F4F"/>
    <w:rsid w:val="00F14206"/>
    <w:rsid w:val="00F24283"/>
    <w:rsid w:val="00F32A2B"/>
    <w:rsid w:val="00F36BA1"/>
    <w:rsid w:val="00F421B4"/>
    <w:rsid w:val="00F57AA9"/>
    <w:rsid w:val="00F866C9"/>
    <w:rsid w:val="00F963F4"/>
    <w:rsid w:val="00FB1862"/>
    <w:rsid w:val="00FB6468"/>
    <w:rsid w:val="00FB6B9A"/>
    <w:rsid w:val="00FC5BF2"/>
    <w:rsid w:val="00FC66AC"/>
    <w:rsid w:val="00FE46BE"/>
    <w:rsid w:val="00FF6F6A"/>
    <w:rsid w:val="013B67CD"/>
    <w:rsid w:val="01CA412B"/>
    <w:rsid w:val="037D399A"/>
    <w:rsid w:val="03B213E5"/>
    <w:rsid w:val="03FC7010"/>
    <w:rsid w:val="06096D52"/>
    <w:rsid w:val="06550E5D"/>
    <w:rsid w:val="0726741C"/>
    <w:rsid w:val="08D34D69"/>
    <w:rsid w:val="09E50DB9"/>
    <w:rsid w:val="0BB759F9"/>
    <w:rsid w:val="0BFB55CF"/>
    <w:rsid w:val="0CBF7A43"/>
    <w:rsid w:val="0D613618"/>
    <w:rsid w:val="0D6F16C6"/>
    <w:rsid w:val="0DD4180B"/>
    <w:rsid w:val="10DD7901"/>
    <w:rsid w:val="130B706D"/>
    <w:rsid w:val="139106CF"/>
    <w:rsid w:val="13DE0FA8"/>
    <w:rsid w:val="149A313F"/>
    <w:rsid w:val="15A413C0"/>
    <w:rsid w:val="163506CD"/>
    <w:rsid w:val="17252863"/>
    <w:rsid w:val="175940C0"/>
    <w:rsid w:val="17C16AC9"/>
    <w:rsid w:val="180D78B9"/>
    <w:rsid w:val="19020FCF"/>
    <w:rsid w:val="195D2ED3"/>
    <w:rsid w:val="1A8477B4"/>
    <w:rsid w:val="1AEF7278"/>
    <w:rsid w:val="1B2A5EA4"/>
    <w:rsid w:val="1BF714AF"/>
    <w:rsid w:val="1CC97251"/>
    <w:rsid w:val="1CEB0A1C"/>
    <w:rsid w:val="1E8167C1"/>
    <w:rsid w:val="1EAA0AE1"/>
    <w:rsid w:val="1F7C0886"/>
    <w:rsid w:val="20270C74"/>
    <w:rsid w:val="21B66276"/>
    <w:rsid w:val="228819EE"/>
    <w:rsid w:val="23236ACF"/>
    <w:rsid w:val="265A6D6B"/>
    <w:rsid w:val="2716314B"/>
    <w:rsid w:val="274F0D5B"/>
    <w:rsid w:val="27F93C60"/>
    <w:rsid w:val="288A4B30"/>
    <w:rsid w:val="28E516DB"/>
    <w:rsid w:val="299267B6"/>
    <w:rsid w:val="29E046CD"/>
    <w:rsid w:val="2AD57C75"/>
    <w:rsid w:val="2B6E0F2D"/>
    <w:rsid w:val="2BAA47A7"/>
    <w:rsid w:val="2BC35313"/>
    <w:rsid w:val="2DCE40BA"/>
    <w:rsid w:val="2E066AE5"/>
    <w:rsid w:val="2E1A59F7"/>
    <w:rsid w:val="2E2777CE"/>
    <w:rsid w:val="2EE04A84"/>
    <w:rsid w:val="31D059F4"/>
    <w:rsid w:val="32C54DBA"/>
    <w:rsid w:val="32F454CB"/>
    <w:rsid w:val="332A0BBD"/>
    <w:rsid w:val="3387759D"/>
    <w:rsid w:val="351C5D1D"/>
    <w:rsid w:val="36DF5EE5"/>
    <w:rsid w:val="3720124A"/>
    <w:rsid w:val="38963AA1"/>
    <w:rsid w:val="39461E7C"/>
    <w:rsid w:val="39A75722"/>
    <w:rsid w:val="39B03539"/>
    <w:rsid w:val="3B6E7B6E"/>
    <w:rsid w:val="3C712CD5"/>
    <w:rsid w:val="3CEC5D53"/>
    <w:rsid w:val="3F442F22"/>
    <w:rsid w:val="405D4B07"/>
    <w:rsid w:val="406B1EB8"/>
    <w:rsid w:val="40B80A86"/>
    <w:rsid w:val="41DF134D"/>
    <w:rsid w:val="42287C71"/>
    <w:rsid w:val="441C57E9"/>
    <w:rsid w:val="44240E6E"/>
    <w:rsid w:val="44986D47"/>
    <w:rsid w:val="456A5D0D"/>
    <w:rsid w:val="457C0C14"/>
    <w:rsid w:val="45B90BF3"/>
    <w:rsid w:val="45E86F9D"/>
    <w:rsid w:val="460143F1"/>
    <w:rsid w:val="471C5ADC"/>
    <w:rsid w:val="475B18CD"/>
    <w:rsid w:val="47771632"/>
    <w:rsid w:val="491D045B"/>
    <w:rsid w:val="4A4F1F05"/>
    <w:rsid w:val="4B7040C7"/>
    <w:rsid w:val="4C427B86"/>
    <w:rsid w:val="4CA957E7"/>
    <w:rsid w:val="4D9730D4"/>
    <w:rsid w:val="4E4335D2"/>
    <w:rsid w:val="517B138A"/>
    <w:rsid w:val="54C851EB"/>
    <w:rsid w:val="57814B06"/>
    <w:rsid w:val="589D7522"/>
    <w:rsid w:val="59AD3752"/>
    <w:rsid w:val="59AF56D7"/>
    <w:rsid w:val="5B2B3FCD"/>
    <w:rsid w:val="5B323E18"/>
    <w:rsid w:val="5BAE356C"/>
    <w:rsid w:val="5C135B0D"/>
    <w:rsid w:val="5CB07A05"/>
    <w:rsid w:val="5D043840"/>
    <w:rsid w:val="5ED17601"/>
    <w:rsid w:val="5F8D2531"/>
    <w:rsid w:val="612F2391"/>
    <w:rsid w:val="615056C8"/>
    <w:rsid w:val="61897173"/>
    <w:rsid w:val="63CB55AA"/>
    <w:rsid w:val="63F21B1B"/>
    <w:rsid w:val="65493192"/>
    <w:rsid w:val="6568104D"/>
    <w:rsid w:val="65B1466F"/>
    <w:rsid w:val="666C26EF"/>
    <w:rsid w:val="66D341AB"/>
    <w:rsid w:val="69487957"/>
    <w:rsid w:val="6A3D0D50"/>
    <w:rsid w:val="6B511389"/>
    <w:rsid w:val="6D5763C1"/>
    <w:rsid w:val="6D81148F"/>
    <w:rsid w:val="6E376C87"/>
    <w:rsid w:val="6E4C18CB"/>
    <w:rsid w:val="6E8006EE"/>
    <w:rsid w:val="6ECC4D84"/>
    <w:rsid w:val="6FA65468"/>
    <w:rsid w:val="70BA2DA1"/>
    <w:rsid w:val="71B87B2B"/>
    <w:rsid w:val="72297F08"/>
    <w:rsid w:val="729B4F6A"/>
    <w:rsid w:val="733E01F4"/>
    <w:rsid w:val="7424079F"/>
    <w:rsid w:val="746675E5"/>
    <w:rsid w:val="74D4598A"/>
    <w:rsid w:val="76FD3FC3"/>
    <w:rsid w:val="784578AB"/>
    <w:rsid w:val="7AA5545A"/>
    <w:rsid w:val="7BAA5900"/>
    <w:rsid w:val="7D9A3104"/>
    <w:rsid w:val="7DB9491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4">
    <w:name w:val="toc 1"/>
    <w:basedOn w:val="1"/>
    <w:next w:val="1"/>
    <w:unhideWhenUsed/>
    <w:qFormat/>
    <w:uiPriority w:val="39"/>
  </w:style>
  <w:style w:type="paragraph" w:styleId="5">
    <w:name w:val="toc 2"/>
    <w:basedOn w:val="1"/>
    <w:next w:val="1"/>
    <w:unhideWhenUsed/>
    <w:qFormat/>
    <w:uiPriority w:val="39"/>
    <w:pPr>
      <w:ind w:left="420" w:leftChars="200"/>
    </w:pPr>
  </w:style>
  <w:style w:type="paragraph" w:styleId="6">
    <w:name w:val="Normal (Web)"/>
    <w:basedOn w:val="1"/>
    <w:unhideWhenUsed/>
    <w:uiPriority w:val="99"/>
    <w:pPr>
      <w:widowControl/>
      <w:jc w:val="left"/>
      <w:textAlignment w:val="bottom"/>
    </w:pPr>
    <w:rPr>
      <w:rFonts w:ascii="宋体" w:hAnsi="宋体" w:cs="宋体"/>
      <w:kern w:val="0"/>
      <w:sz w:val="24"/>
      <w:szCs w:val="24"/>
    </w:rPr>
  </w:style>
  <w:style w:type="character" w:styleId="9">
    <w:name w:val="Hyperlink"/>
    <w:unhideWhenUsed/>
    <w:uiPriority w:val="99"/>
    <w:rPr>
      <w:color w:val="000000"/>
      <w:u w:val="none"/>
      <w:shd w:val="clear" w:color="auto" w:fill="auto"/>
    </w:rPr>
  </w:style>
  <w:style w:type="character" w:customStyle="1" w:styleId="10">
    <w:name w:val="页脚 Char"/>
    <w:link w:val="2"/>
    <w:semiHidden/>
    <w:qFormat/>
    <w:uiPriority w:val="99"/>
    <w:rPr>
      <w:sz w:val="18"/>
      <w:szCs w:val="18"/>
    </w:rPr>
  </w:style>
  <w:style w:type="character" w:customStyle="1" w:styleId="11">
    <w:name w:val="页眉 Char"/>
    <w:link w:val="3"/>
    <w:semiHidden/>
    <w:qFormat/>
    <w:uiPriority w:val="99"/>
    <w:rPr>
      <w:sz w:val="18"/>
      <w:szCs w:val="18"/>
    </w:rPr>
  </w:style>
  <w:style w:type="character" w:customStyle="1" w:styleId="12">
    <w:name w:val="bdselect_share_dialog_search_span1"/>
    <w:uiPriority w:val="0"/>
    <w:rPr>
      <w:b/>
      <w:bCs/>
      <w:color w:val="626262"/>
      <w:sz w:val="17"/>
      <w:szCs w:val="17"/>
    </w:rPr>
  </w:style>
  <w:style w:type="character" w:customStyle="1" w:styleId="13">
    <w:name w:val="zh02"/>
    <w:basedOn w:val="8"/>
    <w:uiPriority w:val="0"/>
  </w:style>
  <w:style w:type="character" w:customStyle="1" w:styleId="14">
    <w:name w:val="zh03"/>
    <w:basedOn w:val="8"/>
    <w:uiPriority w:val="0"/>
  </w:style>
  <w:style w:type="character" w:customStyle="1" w:styleId="15">
    <w:name w:val="zh01"/>
    <w:basedOn w:val="8"/>
    <w:uiPriority w:val="0"/>
  </w:style>
  <w:style w:type="paragraph" w:customStyle="1" w:styleId="16">
    <w:name w:val="curmb"/>
    <w:basedOn w:val="1"/>
    <w:uiPriority w:val="0"/>
    <w:pPr>
      <w:widowControl/>
      <w:shd w:val="clear" w:color="auto" w:fill="F3F2F2"/>
      <w:spacing w:after="277" w:line="346" w:lineRule="atLeast"/>
      <w:jc w:val="left"/>
      <w:textAlignment w:val="bottom"/>
    </w:pPr>
    <w:rPr>
      <w:rFonts w:ascii="微软雅黑" w:hAnsi="微软雅黑" w:eastAsia="微软雅黑" w:cs="宋体"/>
      <w:color w:val="858585"/>
      <w:kern w:val="0"/>
      <w:sz w:val="17"/>
      <w:szCs w:val="17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2481</Words>
  <Characters>2696</Characters>
  <Lines>21</Lines>
  <Paragraphs>5</Paragraphs>
  <TotalTime>0</TotalTime>
  <ScaleCrop>false</ScaleCrop>
  <LinksUpToDate>false</LinksUpToDate>
  <CharactersWithSpaces>2731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2016-04-01T02:15:00Z</dcterms:created>
  <dc:creator>lenovo</dc:creator>
  <cp:lastModifiedBy>lenovo</cp:lastModifiedBy>
  <cp:lastPrinted>2016-04-01T02:44:00Z</cp:lastPrinted>
  <dcterms:modified xsi:type="dcterms:W3CDTF">2025-10-29T02:28:27Z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D737E09F30664598BB1C985918323B4C_13</vt:lpwstr>
  </property>
</Properties>
</file>