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成安县交通运输局</w:t>
      </w:r>
    </w:p>
    <w:p>
      <w:pPr>
        <w:jc w:val="center"/>
        <w:rPr>
          <w:rFonts w:ascii="黑体" w:hAnsi="黑体" w:eastAsia="黑体" w:cs="黑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2021年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单位</w:t>
      </w:r>
      <w:r>
        <w:rPr>
          <w:rFonts w:hint="eastAsia" w:ascii="宋体" w:hAnsi="宋体" w:eastAsia="宋体" w:cs="宋体"/>
          <w:b/>
          <w:sz w:val="44"/>
          <w:szCs w:val="44"/>
        </w:rPr>
        <w:t>预算公开情况说明</w:t>
      </w:r>
    </w:p>
    <w:p>
      <w:pPr>
        <w:jc w:val="center"/>
        <w:rPr>
          <w:rFonts w:ascii="仿宋_GB2312" w:hAnsi="黑体" w:eastAsia="仿宋_GB2312"/>
          <w:sz w:val="10"/>
          <w:szCs w:val="10"/>
        </w:rPr>
      </w:pPr>
    </w:p>
    <w:p>
      <w:pPr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按照《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中华人民共和国</w:t>
      </w:r>
      <w:r>
        <w:rPr>
          <w:rFonts w:hint="eastAsia" w:ascii="仿宋" w:hAnsi="仿宋" w:eastAsia="仿宋" w:cs="仿宋"/>
          <w:sz w:val="32"/>
          <w:szCs w:val="32"/>
        </w:rPr>
        <w:t>预算法》有关规定和财政部关于印发《地方预决算公开操作规程》的通知，</w:t>
      </w:r>
      <w:r>
        <w:rPr>
          <w:rFonts w:hint="eastAsia" w:ascii="仿宋" w:hAnsi="仿宋" w:eastAsia="仿宋" w:cs="仿宋"/>
          <w:kern w:val="0"/>
          <w:sz w:val="32"/>
          <w:szCs w:val="32"/>
        </w:rPr>
        <w:t>现将交通运输局2021年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 w:cs="仿宋"/>
          <w:kern w:val="0"/>
          <w:sz w:val="32"/>
          <w:szCs w:val="32"/>
        </w:rPr>
        <w:t>预算公开如下：</w:t>
      </w:r>
    </w:p>
    <w:p>
      <w:pPr>
        <w:ind w:firstLine="64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一、部门职责及机构设置情况</w:t>
      </w:r>
    </w:p>
    <w:p>
      <w:pPr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（一）根据县委，县政府及市交通运输局指示，制定我县交通发展规划。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负责综合运输体系的规划协调工作，负责交通运输枢纽规划，建设和管理，负责县城区公共交通的经营及其场站设施的建设管理，负责城区营运线路的新辟和调整，推进全县城乡公交一体化的实施，指导协调运输企业、个体经营者客运线路运营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（三）负责全县公路运输市场管理。贯彻落实公路运输有关政策、法规、技术标准和运营规范并监督实施。负责 运输市场、运输服务、车辆维修、停车场、搬运装卸、机动车性能检测、机动车驾驶学校和驾驶员培训的行业管理。负责和指导城乡客运及相关设施规划和管理，负责出租汽车行业管理工作。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（四）承担全县公路路政管理，维护公路路产、路权及公路设施，治理公路运输车辆超载。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（五）承担全县城乡公路建设规划。负责辖区内公路及其设施建设、养护和管理。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（六）负责全局人事、劳动管理和工资、社会福利保险等工作，负责局属股、站领导班子建设管理工作。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（七）组织指导交通运输系统干部职工的业务、专业技术培训教育，负责组织职工技能和技术等级申报、考核。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（八）搞好交通运输系统财务管理，加强对直属单位的财务、审计、监督。收集整理交通运输行业数据信息。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（九）指导交通运输系统的精神文明建设，整顿职工的思想工作作风，搞好行风建设。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（十）承担全县公路行业安全生产和应急管理工作。按规定组织协调国家、省、市、县重点物资和紧急客货运输。承担国防交通战备工作。</w:t>
      </w:r>
    </w:p>
    <w:p>
      <w:pPr>
        <w:spacing w:line="360" w:lineRule="auto"/>
        <w:ind w:firstLine="640" w:firstLineChars="200"/>
        <w:rPr>
          <w:rFonts w:ascii="仿宋_GB2312" w:hAnsi="Calibri" w:eastAsia="仿宋_GB2312" w:cs="仿宋_GB2312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（十一）承办县委、县政府，市交通运输局交办的其他项。</w:t>
      </w:r>
    </w:p>
    <w:p>
      <w:pPr>
        <w:widowControl/>
        <w:spacing w:line="360" w:lineRule="auto"/>
        <w:ind w:firstLine="630" w:firstLineChars="196"/>
        <w:jc w:val="left"/>
        <w:rPr>
          <w:rFonts w:ascii="楷体" w:hAnsi="楷体" w:eastAsia="楷体"/>
          <w:b/>
          <w:bCs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bCs/>
          <w:kern w:val="0"/>
          <w:sz w:val="32"/>
          <w:szCs w:val="32"/>
        </w:rPr>
        <w:t>人员编制和领导职数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人员编制11名，其中领导职数6个。</w:t>
      </w:r>
    </w:p>
    <w:p>
      <w:pPr>
        <w:autoSpaceDE w:val="0"/>
        <w:autoSpaceDN w:val="0"/>
        <w:adjustRightInd w:val="0"/>
        <w:ind w:firstLine="643" w:firstLineChars="2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机构设置：</w:t>
      </w:r>
    </w:p>
    <w:p>
      <w:pPr>
        <w:jc w:val="center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部门机构设置情况</w:t>
      </w:r>
    </w:p>
    <w:tbl>
      <w:tblPr>
        <w:tblStyle w:val="4"/>
        <w:tblW w:w="8629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7"/>
        <w:gridCol w:w="1134"/>
        <w:gridCol w:w="1276"/>
        <w:gridCol w:w="290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331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书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书宋_GBK" w:cs="方正书宋_GBK"/>
                <w:b/>
                <w:bCs/>
              </w:rPr>
              <w:t>单位名称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书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书宋_GBK" w:cs="方正书宋_GBK"/>
                <w:b/>
                <w:bCs/>
              </w:rPr>
              <w:t>单位性质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书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书宋_GBK" w:cs="方正书宋_GBK"/>
                <w:b/>
                <w:bCs/>
              </w:rPr>
              <w:t>单位规格</w:t>
            </w:r>
          </w:p>
        </w:tc>
        <w:tc>
          <w:tcPr>
            <w:tcW w:w="2902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书宋_GBK" w:cs="Times New Roman"/>
                <w:b/>
                <w:bCs/>
              </w:rPr>
            </w:pPr>
            <w:r>
              <w:rPr>
                <w:rFonts w:hint="eastAsia" w:ascii="Times New Roman" w:hAnsi="Times New Roman" w:eastAsia="方正书宋_GBK" w:cs="方正书宋_GBK"/>
                <w:b/>
                <w:bCs/>
              </w:rPr>
              <w:t>经费保障形式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tblHeader/>
          <w:jc w:val="center"/>
        </w:trPr>
        <w:tc>
          <w:tcPr>
            <w:tcW w:w="3317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902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317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  <w:r>
              <w:rPr>
                <w:rFonts w:hint="eastAsia" w:ascii="Times New Roman" w:hAnsi="Times New Roman" w:eastAsia="方正书宋_GBK" w:cs="Times New Roman"/>
              </w:rPr>
              <w:t>成安县交通运输局</w:t>
            </w: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  <w:r>
              <w:rPr>
                <w:rFonts w:hint="eastAsia" w:ascii="Times New Roman" w:hAnsi="Times New Roman" w:eastAsia="方正书宋_GBK" w:cs="Times New Roman"/>
              </w:rPr>
              <w:t>行政</w:t>
            </w:r>
          </w:p>
        </w:tc>
        <w:tc>
          <w:tcPr>
            <w:tcW w:w="1276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  <w:r>
              <w:rPr>
                <w:rFonts w:hint="eastAsia" w:ascii="Times New Roman" w:hAnsi="Times New Roman" w:eastAsia="方正书宋_GBK" w:cs="Times New Roman"/>
              </w:rPr>
              <w:t>局级</w:t>
            </w:r>
          </w:p>
        </w:tc>
        <w:tc>
          <w:tcPr>
            <w:tcW w:w="2902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书宋_GBK" w:cs="Times New Roman"/>
              </w:rPr>
            </w:pPr>
            <w:r>
              <w:rPr>
                <w:rFonts w:hint="eastAsia" w:ascii="Times New Roman" w:hAnsi="Times New Roman" w:eastAsia="方正书宋_GBK" w:cs="Times New Roman"/>
              </w:rPr>
              <w:t>财政拨款</w:t>
            </w:r>
          </w:p>
        </w:tc>
      </w:tr>
    </w:tbl>
    <w:p>
      <w:pPr>
        <w:widowControl/>
        <w:spacing w:line="360" w:lineRule="auto"/>
        <w:ind w:left="628"/>
        <w:jc w:val="left"/>
        <w:rPr>
          <w:rFonts w:ascii="Calibri" w:hAnsi="Calibri" w:eastAsia="仿宋_GB2312" w:cs="Calibri"/>
          <w:b/>
          <w:kern w:val="0"/>
          <w:sz w:val="32"/>
          <w:szCs w:val="32"/>
        </w:rPr>
      </w:pPr>
      <w:r>
        <w:rPr>
          <w:rFonts w:hint="eastAsia" w:ascii="Calibri" w:hAnsi="Calibri" w:eastAsia="仿宋_GB2312" w:cs="Calibri"/>
          <w:b/>
          <w:kern w:val="0"/>
          <w:sz w:val="32"/>
          <w:szCs w:val="32"/>
        </w:rPr>
        <w:t>内设主要</w:t>
      </w:r>
      <w:r>
        <w:rPr>
          <w:rFonts w:ascii="Calibri" w:hAnsi="Calibri" w:eastAsia="仿宋_GB2312" w:cs="Calibri"/>
          <w:b/>
          <w:kern w:val="0"/>
          <w:sz w:val="32"/>
          <w:szCs w:val="32"/>
        </w:rPr>
        <w:t>机构</w:t>
      </w:r>
      <w:r>
        <w:rPr>
          <w:rFonts w:hint="eastAsia" w:ascii="Calibri" w:hAnsi="Calibri" w:eastAsia="仿宋_GB2312" w:cs="Calibri"/>
          <w:b/>
          <w:kern w:val="0"/>
          <w:sz w:val="32"/>
          <w:szCs w:val="32"/>
        </w:rPr>
        <w:t>及职责</w:t>
      </w:r>
    </w:p>
    <w:p>
      <w:pPr>
        <w:widowControl/>
        <w:spacing w:line="360" w:lineRule="auto"/>
        <w:ind w:left="628"/>
        <w:jc w:val="left"/>
        <w:rPr>
          <w:rFonts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成安县成安县交通运输局，预算编码是348002，内设7个内部机构。</w:t>
      </w:r>
    </w:p>
    <w:p>
      <w:pPr>
        <w:widowControl/>
        <w:numPr>
          <w:ilvl w:val="0"/>
          <w:numId w:val="1"/>
        </w:numPr>
        <w:spacing w:line="360" w:lineRule="auto"/>
        <w:ind w:left="628"/>
        <w:jc w:val="left"/>
        <w:rPr>
          <w:rFonts w:ascii="楷体" w:hAnsi="楷体" w:eastAsia="楷体" w:cs="楷体"/>
          <w:b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</w:rPr>
        <w:t>办公室</w:t>
      </w:r>
    </w:p>
    <w:p>
      <w:pPr>
        <w:widowControl/>
        <w:spacing w:line="360" w:lineRule="auto"/>
        <w:jc w:val="left"/>
        <w:rPr>
          <w:rFonts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 xml:space="preserve">     主要负责：</w:t>
      </w:r>
      <w:r>
        <w:rPr>
          <w:rFonts w:hint="eastAsia" w:ascii="仿宋" w:hAnsi="仿宋" w:eastAsia="仿宋" w:cs="仿宋"/>
          <w:sz w:val="32"/>
          <w:szCs w:val="32"/>
        </w:rPr>
        <w:t>负责组织协调局机关工作，机要、保密、提案、来信、来访督查、目标管理，安全保卫和后勤行政等管理工作</w:t>
      </w:r>
    </w:p>
    <w:p>
      <w:pPr>
        <w:widowControl/>
        <w:spacing w:line="360" w:lineRule="auto"/>
        <w:jc w:val="left"/>
        <w:rPr>
          <w:rFonts w:ascii="楷体" w:hAnsi="楷体" w:eastAsia="楷体" w:cs="楷体"/>
          <w:b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</w:rPr>
        <w:t xml:space="preserve">    2、人事股</w:t>
      </w:r>
    </w:p>
    <w:p>
      <w:pPr>
        <w:widowControl/>
        <w:spacing w:line="360" w:lineRule="auto"/>
        <w:ind w:firstLine="64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主要负责：</w:t>
      </w:r>
      <w:r>
        <w:rPr>
          <w:rFonts w:hint="eastAsia" w:ascii="仿宋" w:hAnsi="仿宋" w:eastAsia="仿宋" w:cs="仿宋"/>
          <w:sz w:val="32"/>
          <w:szCs w:val="32"/>
        </w:rPr>
        <w:t>负责全局人事工作；负责归口管理专业技术干部职称评聘、继续教育、人才交流与引进和培养工作；负责归口管理技术工人技术等级考核，评定和申报等工作；</w:t>
      </w:r>
    </w:p>
    <w:p>
      <w:pPr>
        <w:widowControl/>
        <w:spacing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</w:rPr>
        <w:t xml:space="preserve">    3、财务股</w:t>
      </w:r>
    </w:p>
    <w:p>
      <w:pPr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主要负责：负责全局财务工作；负责交通建设资金的筹集、调度、使用和管理工作；负责局下属单位财务监督、检查及财务管理的指导工作；加强财务管理、纠正违反财经纪律的行为；负责交通系统国有资产管理。</w:t>
      </w:r>
    </w:p>
    <w:p>
      <w:pPr>
        <w:widowControl/>
        <w:spacing w:line="360" w:lineRule="auto"/>
        <w:jc w:val="left"/>
        <w:rPr>
          <w:rFonts w:ascii="楷体" w:hAnsi="楷体" w:eastAsia="楷体" w:cs="楷体"/>
          <w:b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</w:rPr>
        <w:t xml:space="preserve">    4、纪检室</w:t>
      </w: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主要负责：交通系统的纪律检查和行政监察工作，抓好党风、党纪、廉政建设，负责交通系统党员和干部职工违反党的纪律及有关规定的案件督查。</w:t>
      </w:r>
    </w:p>
    <w:p>
      <w:pPr>
        <w:widowControl/>
        <w:spacing w:line="360" w:lineRule="auto"/>
        <w:jc w:val="left"/>
        <w:rPr>
          <w:rFonts w:ascii="楷体" w:hAnsi="楷体" w:eastAsia="楷体" w:cs="楷体"/>
          <w:b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</w:rPr>
        <w:t xml:space="preserve">   5、工程股</w:t>
      </w:r>
    </w:p>
    <w:p>
      <w:pPr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主要负责：改造工程预算；负责对公路设计文件、施工单位资质审核；监督工程质量；负责落实有关变更设计，审定工程决算等。</w:t>
      </w:r>
    </w:p>
    <w:p>
      <w:pPr>
        <w:widowControl/>
        <w:spacing w:line="360" w:lineRule="auto"/>
        <w:jc w:val="left"/>
        <w:rPr>
          <w:rFonts w:ascii="楷体" w:hAnsi="楷体" w:eastAsia="楷体" w:cs="楷体"/>
          <w:b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</w:rPr>
        <w:t xml:space="preserve">   6、项目办</w:t>
      </w:r>
    </w:p>
    <w:p>
      <w:pPr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主要负责：交通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基础设施</w:t>
      </w:r>
      <w:bookmarkStart w:id="2" w:name="_GoBack"/>
      <w:bookmarkEnd w:id="2"/>
      <w:r>
        <w:rPr>
          <w:rFonts w:hint="eastAsia" w:ascii="仿宋" w:hAnsi="仿宋" w:eastAsia="仿宋" w:cs="仿宋"/>
          <w:sz w:val="32"/>
          <w:szCs w:val="32"/>
        </w:rPr>
        <w:t>建设，项目管理。</w:t>
      </w:r>
    </w:p>
    <w:p>
      <w:pPr>
        <w:widowControl/>
        <w:spacing w:line="360" w:lineRule="auto"/>
        <w:jc w:val="left"/>
        <w:rPr>
          <w:rFonts w:ascii="楷体" w:hAnsi="楷体" w:eastAsia="楷体" w:cs="楷体"/>
          <w:b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kern w:val="0"/>
          <w:sz w:val="32"/>
          <w:szCs w:val="32"/>
        </w:rPr>
        <w:t xml:space="preserve">   7、规划科</w:t>
      </w:r>
    </w:p>
    <w:p>
      <w:pPr>
        <w:spacing w:line="56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主要负责：负责项目规划管理。</w:t>
      </w:r>
    </w:p>
    <w:p>
      <w:pPr>
        <w:spacing w:line="560" w:lineRule="exact"/>
        <w:ind w:firstLine="64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单位</w:t>
      </w:r>
      <w:r>
        <w:rPr>
          <w:rFonts w:hint="eastAsia" w:ascii="黑体" w:hAnsi="黑体" w:eastAsia="黑体" w:cs="黑体"/>
          <w:sz w:val="32"/>
          <w:szCs w:val="32"/>
        </w:rPr>
        <w:t>预算安排的总体情况</w:t>
      </w:r>
    </w:p>
    <w:p>
      <w:pPr>
        <w:spacing w:line="56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按照预算管理有关规定，目前我部门预算的编制实行综合预算制度，即全部收入和支出都反映在预算中。</w:t>
      </w:r>
    </w:p>
    <w:p>
      <w:pPr>
        <w:spacing w:line="560" w:lineRule="exact"/>
        <w:ind w:firstLine="640"/>
        <w:rPr>
          <w:rFonts w:ascii="楷体" w:hAnsi="楷体" w:eastAsia="楷体" w:cs="Times New Roman"/>
          <w:b/>
          <w:bCs/>
          <w:sz w:val="32"/>
          <w:szCs w:val="32"/>
        </w:rPr>
      </w:pPr>
      <w:r>
        <w:rPr>
          <w:rFonts w:ascii="楷体" w:hAnsi="楷体" w:eastAsia="楷体" w:cs="楷体"/>
          <w:b/>
          <w:bCs/>
          <w:sz w:val="32"/>
          <w:szCs w:val="32"/>
        </w:rPr>
        <w:t>1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、收入说明</w:t>
      </w:r>
    </w:p>
    <w:p>
      <w:pPr>
        <w:spacing w:line="56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2021年预算收入3141.57万元，其中：一般公共预算收入3141.57万元，政府性基金收入０万元，国有资本经营收入０万元，事业收入０万元，其他收入０万元。</w:t>
      </w:r>
    </w:p>
    <w:p>
      <w:pPr>
        <w:spacing w:line="560" w:lineRule="exact"/>
        <w:ind w:firstLine="640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ascii="楷体" w:hAnsi="楷体" w:eastAsia="楷体" w:cs="楷体"/>
          <w:b/>
          <w:bCs/>
          <w:sz w:val="32"/>
          <w:szCs w:val="32"/>
        </w:rPr>
        <w:t>2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、支出说明</w:t>
      </w:r>
    </w:p>
    <w:p>
      <w:pPr>
        <w:spacing w:line="56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2021年支出预算3141.57万元，其中:</w:t>
      </w:r>
      <w:r>
        <w:rPr>
          <w:rFonts w:hint="eastAsia" w:ascii="仿宋_GB2312" w:hAnsi="Calibri" w:eastAsia="仿宋_GB2312" w:cs="仿宋_GB2312"/>
          <w:kern w:val="0"/>
          <w:sz w:val="32"/>
          <w:szCs w:val="32"/>
        </w:rPr>
        <w:t>基本支出667.54万元，主要包括人员经费514.82万元，公用经费152.72万元</w:t>
      </w:r>
      <w:r>
        <w:rPr>
          <w:rFonts w:hint="eastAsia" w:ascii="仿宋" w:hAnsi="仿宋" w:eastAsia="仿宋" w:cs="仿宋"/>
          <w:kern w:val="0"/>
          <w:sz w:val="32"/>
          <w:szCs w:val="32"/>
        </w:rPr>
        <w:t>；项目支出2474.03万元，主要为农村道路建设和交通运输支出。</w:t>
      </w:r>
    </w:p>
    <w:p>
      <w:pPr>
        <w:spacing w:line="560" w:lineRule="exact"/>
        <w:ind w:firstLine="640"/>
        <w:rPr>
          <w:rFonts w:ascii="楷体" w:hAnsi="楷体" w:eastAsia="楷体" w:cs="Times New Roman"/>
          <w:b/>
          <w:bCs/>
          <w:sz w:val="32"/>
          <w:szCs w:val="32"/>
        </w:rPr>
      </w:pPr>
      <w:r>
        <w:rPr>
          <w:rFonts w:ascii="楷体" w:hAnsi="楷体" w:eastAsia="楷体" w:cs="楷体"/>
          <w:b/>
          <w:bCs/>
          <w:sz w:val="32"/>
          <w:szCs w:val="32"/>
        </w:rPr>
        <w:t>3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、比上年增减变化情况</w:t>
      </w:r>
    </w:p>
    <w:p>
      <w:pPr>
        <w:spacing w:line="560" w:lineRule="exact"/>
        <w:ind w:firstLine="640"/>
        <w:rPr>
          <w:rFonts w:ascii="仿宋_GB2312" w:hAnsi="Calibri" w:eastAsia="仿宋_GB2312" w:cs="仿宋_GB2312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2021年预算收支安排3141.57万元，较2020年预算增加1216.46万元，其中：基本支出增加453.43万元，项目支出增加763.03万元，基本支出增加主要是人员工资增加及养老保险清算，项目支出增加</w:t>
      </w:r>
      <w:r>
        <w:rPr>
          <w:rFonts w:hint="eastAsia" w:ascii="仿宋_GB2312" w:hAnsi="Calibri" w:eastAsia="仿宋_GB2312" w:cs="仿宋_GB2312"/>
          <w:kern w:val="0"/>
          <w:sz w:val="32"/>
          <w:szCs w:val="32"/>
        </w:rPr>
        <w:t>主要原因是道路基础设施建设项目增加。</w:t>
      </w:r>
    </w:p>
    <w:p>
      <w:pPr>
        <w:spacing w:line="560" w:lineRule="exact"/>
        <w:ind w:firstLine="64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三、机关运行经费安排情况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仿宋" w:hAnsi="仿宋" w:eastAsia="仿宋" w:cs="黑体"/>
          <w:bCs/>
          <w:sz w:val="32"/>
          <w:szCs w:val="32"/>
        </w:rPr>
      </w:pPr>
      <w:r>
        <w:rPr>
          <w:rFonts w:hint="eastAsia" w:ascii="仿宋" w:hAnsi="仿宋" w:eastAsia="仿宋" w:cs="黑体"/>
          <w:bCs/>
          <w:sz w:val="32"/>
          <w:szCs w:val="32"/>
        </w:rPr>
        <w:t>机关运行经费共计安排152.72万元，由于体制下划的原因，该部分资金全部在项目支出中反映，主要用于办公区的日常维修、办公用房水电费、邮电费、办公用房取暖费、办公用房物业管理费等日常运行支出。</w:t>
      </w:r>
    </w:p>
    <w:p>
      <w:pPr>
        <w:autoSpaceDE w:val="0"/>
        <w:autoSpaceDN w:val="0"/>
        <w:adjustRightInd w:val="0"/>
        <w:spacing w:line="560" w:lineRule="exact"/>
        <w:ind w:left="198" w:firstLine="640" w:firstLineChars="20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四、财政拨款“三公”经费预算情况及增减变化原因</w:t>
      </w:r>
    </w:p>
    <w:p>
      <w:pPr>
        <w:autoSpaceDE w:val="0"/>
        <w:autoSpaceDN w:val="0"/>
        <w:adjustRightInd w:val="0"/>
        <w:spacing w:line="560" w:lineRule="exact"/>
        <w:ind w:left="198"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2020年，我单位“三公”经费预算安排3万元，其中因公出国（境）费万元；公务用车购置及运维费3万元（其中：公务用车购置费为0万元，公务用车运行费3万元)；公务接待费0万元。与去年相比降低了0%。</w:t>
      </w:r>
    </w:p>
    <w:p>
      <w:pPr>
        <w:spacing w:line="560" w:lineRule="exact"/>
        <w:ind w:firstLine="64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五、绩效预算信息</w:t>
      </w:r>
    </w:p>
    <w:p>
      <w:pPr>
        <w:spacing w:line="560" w:lineRule="exact"/>
        <w:ind w:firstLine="643" w:firstLineChars="200"/>
        <w:jc w:val="left"/>
        <w:rPr>
          <w:rFonts w:ascii="楷体" w:hAnsi="楷体" w:eastAsia="楷体" w:cs="楷体"/>
          <w:b/>
          <w:bCs/>
          <w:sz w:val="32"/>
          <w:szCs w:val="32"/>
        </w:rPr>
      </w:pPr>
      <w:bookmarkStart w:id="0" w:name="_Toc471398463"/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总体绩效目标：</w:t>
      </w:r>
    </w:p>
    <w:p>
      <w:pPr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Times New Roman" w:eastAsia="仿宋_GB2312"/>
          <w:bCs/>
          <w:sz w:val="32"/>
          <w:szCs w:val="32"/>
        </w:rPr>
        <w:t>我局在县委、县政府和市交通运输局的正确领导下，认真落实各级绩效考核目标要求，切实改进作风，创新工作机制，提升服务效能。</w:t>
      </w:r>
      <w:r>
        <w:rPr>
          <w:rFonts w:ascii="仿宋" w:hAnsi="仿宋" w:eastAsia="仿宋"/>
          <w:sz w:val="32"/>
          <w:szCs w:val="32"/>
        </w:rPr>
        <w:t>强化工程质量、安全、环保监管，建立健全质监责任追究制度，深化“政府监管、法人管理、社会监理、企业自检”四级质量保证体系。探索和创新质量监督方法。</w:t>
      </w:r>
      <w:r>
        <w:rPr>
          <w:rFonts w:ascii="华文仿宋" w:hAnsi="华文仿宋" w:eastAsia="华文仿宋"/>
          <w:sz w:val="32"/>
          <w:szCs w:val="32"/>
        </w:rPr>
        <w:t>交通运输行业管理</w:t>
      </w:r>
      <w:r>
        <w:rPr>
          <w:rFonts w:hint="eastAsia" w:ascii="华文仿宋" w:hAnsi="华文仿宋" w:eastAsia="华文仿宋"/>
          <w:sz w:val="32"/>
          <w:szCs w:val="32"/>
        </w:rPr>
        <w:t xml:space="preserve">绩效目标 </w:t>
      </w:r>
      <w:r>
        <w:rPr>
          <w:rFonts w:ascii="仿宋" w:hAnsi="仿宋" w:eastAsia="仿宋"/>
          <w:color w:val="000000"/>
          <w:sz w:val="32"/>
          <w:szCs w:val="32"/>
        </w:rPr>
        <w:t>加强道路水路运输行业管理，全力维护行业稳定</w:t>
      </w:r>
      <w:r>
        <w:rPr>
          <w:rFonts w:ascii="仿宋" w:hAnsi="仿宋" w:eastAsia="仿宋"/>
          <w:sz w:val="32"/>
          <w:szCs w:val="32"/>
        </w:rPr>
        <w:t>；继续推进“计时培训、先学后付”驾培服务新模式</w:t>
      </w:r>
      <w:r>
        <w:rPr>
          <w:rFonts w:ascii="仿宋" w:hAnsi="仿宋" w:eastAsia="仿宋"/>
          <w:color w:val="000000"/>
          <w:sz w:val="32"/>
          <w:szCs w:val="32"/>
        </w:rPr>
        <w:t>。</w:t>
      </w:r>
      <w:r>
        <w:rPr>
          <w:rFonts w:ascii="仿宋" w:hAnsi="仿宋" w:eastAsia="仿宋"/>
          <w:sz w:val="32"/>
          <w:szCs w:val="32"/>
        </w:rPr>
        <w:t>加大路政巡查和执法力度，针对夏、冬季的雨雪天气做好预防工作。</w:t>
      </w:r>
    </w:p>
    <w:p>
      <w:pPr>
        <w:spacing w:line="560" w:lineRule="exact"/>
        <w:ind w:firstLine="643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分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项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绩效目标：</w:t>
      </w:r>
    </w:p>
    <w:p>
      <w:pPr>
        <w:topLinePunct/>
        <w:ind w:firstLine="640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hAnsi="华文仿宋" w:eastAsia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黑体" w:eastAsia="仿宋_GB2312"/>
          <w:sz w:val="32"/>
          <w:szCs w:val="32"/>
        </w:rPr>
        <w:t>疫情常态化防控工作绩效目标</w:t>
      </w:r>
    </w:p>
    <w:p>
      <w:pPr>
        <w:topLinePunct/>
        <w:ind w:firstLine="64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严格按照市委、市政府要求，进一步加强“四站一场”联防联控。会同市公安、卫健部门对“四站一场”进行体温检测，积极开展联防联控。全力做好交通运输行业常态化疫情防控工作，持续开展城市公交、出租汽车、长途客运疫情防控工作，坚决打赢疫情防控阻击战。</w:t>
      </w:r>
    </w:p>
    <w:p>
      <w:pPr>
        <w:topLinePunct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2、</w:t>
      </w:r>
      <w:r>
        <w:rPr>
          <w:rFonts w:hint="eastAsia" w:ascii="仿宋_GB2312" w:eastAsia="仿宋_GB2312"/>
          <w:sz w:val="32"/>
          <w:szCs w:val="32"/>
        </w:rPr>
        <w:t>强化市场监管</w:t>
      </w:r>
      <w:r>
        <w:rPr>
          <w:rFonts w:hint="eastAsia" w:ascii="仿宋_GB2312" w:hAnsi="黑体" w:eastAsia="仿宋_GB2312"/>
          <w:sz w:val="32"/>
          <w:szCs w:val="32"/>
        </w:rPr>
        <w:t>绩效目标</w:t>
      </w:r>
    </w:p>
    <w:p>
      <w:pPr>
        <w:topLinePunct/>
        <w:ind w:firstLine="640"/>
        <w:rPr>
          <w:rFonts w:hint="eastAsia" w:ascii="仿宋_GB2312" w:hAnsi="黑体" w:eastAsia="仿宋_GB2312" w:cs="楷体_GB2312"/>
          <w:bCs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强化路政管理，加大公路环境督导力度，推进公路视频信息系统建设，持续督导限高限宽设施及管控点整治工作。加强超限超载治理工作，加大科技治超力度，推进非现场执法和站前渠化建设。加强公路管养力度，加强重点工程项目、关键环节的质量管理，加快推进工程进展，确保高质量完成全年建设任务，保障公路安全畅通。</w:t>
      </w:r>
    </w:p>
    <w:p>
      <w:pPr>
        <w:topLinePunct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3、</w:t>
      </w:r>
      <w:r>
        <w:rPr>
          <w:rFonts w:hint="eastAsia" w:ascii="仿宋_GB2312" w:eastAsia="仿宋_GB2312"/>
          <w:sz w:val="32"/>
          <w:szCs w:val="32"/>
        </w:rPr>
        <w:t>深入开展交通运输领域大气污染治理</w:t>
      </w:r>
      <w:r>
        <w:rPr>
          <w:rFonts w:hint="eastAsia" w:ascii="仿宋_GB2312" w:hAnsi="黑体" w:eastAsia="仿宋_GB2312"/>
          <w:sz w:val="32"/>
          <w:szCs w:val="32"/>
        </w:rPr>
        <w:t>绩效目标</w:t>
      </w:r>
    </w:p>
    <w:p>
      <w:pPr>
        <w:topLinePunct/>
        <w:ind w:firstLine="64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大宗物料运输调控工作实现精准化、常态化；深入推进新能源汽车和道路运输节能环保技术；进一步完善主城区周边普通干线公路“三机一体”化作业，加大公路扬尘治理力度，实现网格化、常态化管理。强力推进公路施工扬尘治理，全面落实主城区建筑施工“八项标准”要求。持续开展公路两侧停车场整治，深化公路路域环境综合治理工作。</w:t>
      </w:r>
    </w:p>
    <w:p>
      <w:pPr>
        <w:topLinePunct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4、</w:t>
      </w:r>
      <w:r>
        <w:rPr>
          <w:rFonts w:hint="eastAsia" w:ascii="仿宋_GB2312" w:eastAsia="仿宋_GB2312"/>
          <w:sz w:val="32"/>
          <w:szCs w:val="32"/>
        </w:rPr>
        <w:t>加快农村公路建设</w:t>
      </w:r>
      <w:r>
        <w:rPr>
          <w:rFonts w:hint="eastAsia" w:ascii="仿宋_GB2312" w:hAnsi="黑体" w:eastAsia="仿宋_GB2312"/>
          <w:sz w:val="32"/>
          <w:szCs w:val="32"/>
        </w:rPr>
        <w:t>绩效目标</w:t>
      </w:r>
    </w:p>
    <w:p>
      <w:pPr>
        <w:topLinePunct/>
        <w:ind w:firstLine="64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持续推进农村公路管理养护体制改革，督促各县区将农村公路养护经费列入财政预算并足额拨付到位，更好地开展农村公路养护工作。持续推动“四好农村路”建设，争取更多的市级美丽农村路成功创建省级精品示范路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5、</w:t>
      </w:r>
      <w:r>
        <w:rPr>
          <w:rFonts w:hint="eastAsia" w:ascii="仿宋_GB2312" w:eastAsia="仿宋_GB2312"/>
          <w:sz w:val="32"/>
          <w:szCs w:val="32"/>
        </w:rPr>
        <w:t>保持交通运输行业安全稳定</w:t>
      </w:r>
      <w:r>
        <w:rPr>
          <w:rFonts w:hint="eastAsia" w:ascii="仿宋_GB2312" w:hAnsi="黑体" w:eastAsia="仿宋_GB2312"/>
          <w:sz w:val="32"/>
          <w:szCs w:val="32"/>
        </w:rPr>
        <w:t>绩效目标</w:t>
      </w:r>
    </w:p>
    <w:p>
      <w:pPr>
        <w:ind w:firstLine="640" w:firstLineChars="20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深入开展安全生产专项整治三年行动，加强对道路运输、公路施工等重点领域的安全监管，全面提升企业安全生产管理水平。完善铁路沿线环境安全监管长效机制，高质量，高标准完成铁路沿线环境安全隐患的整治工作，确保全市交通运输系统安全稳定。</w:t>
      </w:r>
    </w:p>
    <w:p>
      <w:pPr>
        <w:ind w:firstLine="643" w:firstLineChars="200"/>
        <w:rPr>
          <w:rFonts w:hint="eastAsia" w:ascii="仿宋_GB2312" w:hAnsi="宋体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  <w:lang w:eastAsia="zh-CN"/>
        </w:rPr>
        <w:t>（三）工作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保障措施</w:t>
      </w:r>
    </w:p>
    <w:p>
      <w:pPr>
        <w:topLinePunct/>
        <w:ind w:firstLine="640"/>
        <w:rPr>
          <w:rFonts w:hint="eastAsia" w:ascii="仿宋_GB2312" w:hAnsi="黑体" w:eastAsia="仿宋_GB2312" w:cs="楷体_GB2312"/>
          <w:bCs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黑体" w:eastAsia="仿宋_GB2312"/>
          <w:sz w:val="32"/>
          <w:szCs w:val="32"/>
        </w:rPr>
        <w:t>加强对道路运输、公路施工等重点领域的安全监管，强化路政管理，加大公路环境督导力度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黑体" w:eastAsia="仿宋_GB2312"/>
          <w:sz w:val="32"/>
          <w:szCs w:val="32"/>
        </w:rPr>
        <w:t>加强超限超载治理工作，推进非现场执法和站前渠化建设。加强公路管养力度，加强重点工程项目、关键环节的质量管理，加快推进工程进展，确保高质量完成全年建设任务，保障公路安全畅通。</w:t>
      </w:r>
    </w:p>
    <w:p>
      <w:pPr>
        <w:spacing w:line="560" w:lineRule="exact"/>
        <w:ind w:firstLine="640" w:firstLineChars="200"/>
        <w:jc w:val="left"/>
        <w:rPr>
          <w:rFonts w:ascii="仿宋_GB2312" w:hAnsi="Times New Roman" w:eastAsia="仿宋_GB2312"/>
          <w:bCs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Times New Roman" w:eastAsia="仿宋_GB2312"/>
          <w:bCs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Times New Roman" w:eastAsia="仿宋_GB2312"/>
          <w:bCs/>
          <w:sz w:val="32"/>
          <w:szCs w:val="32"/>
        </w:rPr>
      </w:pPr>
    </w:p>
    <w:p>
      <w:pPr>
        <w:spacing w:line="560" w:lineRule="exact"/>
        <w:ind w:firstLine="643" w:firstLineChars="200"/>
        <w:jc w:val="left"/>
        <w:outlineLvl w:val="0"/>
        <w:rPr>
          <w:rFonts w:ascii="楷体_GB2312" w:hAnsi="黑体" w:eastAsia="楷体_GB2312" w:cs="楷体_GB2312"/>
          <w:b/>
          <w:bCs/>
          <w:sz w:val="32"/>
          <w:szCs w:val="32"/>
        </w:rPr>
      </w:pPr>
      <w:r>
        <w:rPr>
          <w:rFonts w:hint="eastAsia" w:ascii="楷体_GB2312" w:hAnsi="黑体" w:eastAsia="楷体_GB2312" w:cs="楷体_GB2312"/>
          <w:b/>
          <w:bCs/>
          <w:sz w:val="32"/>
          <w:szCs w:val="32"/>
        </w:rPr>
        <w:t>部门职责及工作活动绩效目标指标：</w:t>
      </w:r>
      <w:bookmarkEnd w:id="0"/>
    </w:p>
    <w:p>
      <w:pPr>
        <w:spacing w:line="560" w:lineRule="exact"/>
        <w:ind w:firstLine="1920" w:firstLineChars="600"/>
        <w:outlineLvl w:val="0"/>
        <w:rPr>
          <w:rFonts w:ascii="仿宋" w:hAnsi="仿宋" w:eastAsia="仿宋" w:cs="仿宋"/>
          <w:sz w:val="32"/>
          <w:szCs w:val="32"/>
        </w:rPr>
      </w:pPr>
    </w:p>
    <w:p>
      <w:pPr>
        <w:spacing w:line="560" w:lineRule="exact"/>
        <w:ind w:firstLine="2560" w:firstLineChars="800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部门职责-工作活动绩效目标</w:t>
      </w:r>
    </w:p>
    <w:p>
      <w:pPr>
        <w:ind w:firstLine="640"/>
        <w:rPr>
          <w:rFonts w:ascii="仿宋" w:hAnsi="仿宋" w:eastAsia="仿宋" w:cs="仿宋"/>
          <w:sz w:val="32"/>
          <w:szCs w:val="32"/>
        </w:rPr>
      </w:pPr>
    </w:p>
    <w:tbl>
      <w:tblPr>
        <w:tblStyle w:val="4"/>
        <w:tblW w:w="962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7"/>
        <w:gridCol w:w="881"/>
        <w:gridCol w:w="2054"/>
        <w:gridCol w:w="2055"/>
        <w:gridCol w:w="978"/>
        <w:gridCol w:w="509"/>
        <w:gridCol w:w="509"/>
        <w:gridCol w:w="508"/>
        <w:gridCol w:w="50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tblHeader/>
          <w:jc w:val="center"/>
        </w:trPr>
        <w:tc>
          <w:tcPr>
            <w:tcW w:w="7585" w:type="dxa"/>
            <w:gridSpan w:val="5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方正小标宋_GBK" w:eastAsia="方正小标宋_GBK"/>
                <w:sz w:val="24"/>
              </w:rPr>
            </w:pPr>
            <w:r>
              <w:rPr>
                <w:rFonts w:ascii="方正小标宋_GBK" w:eastAsia="方正小标宋_GBK"/>
                <w:sz w:val="24"/>
              </w:rPr>
              <w:t>348</w:t>
            </w:r>
            <w:r>
              <w:rPr>
                <w:rFonts w:hint="eastAsia" w:ascii="方正小标宋_GBK" w:eastAsia="方正小标宋_GBK"/>
                <w:sz w:val="24"/>
              </w:rPr>
              <w:t>成安县交通局</w:t>
            </w:r>
          </w:p>
        </w:tc>
        <w:tc>
          <w:tcPr>
            <w:tcW w:w="2035" w:type="dxa"/>
            <w:gridSpan w:val="4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spacing w:line="30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tblHeader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职责活动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年度预算数</w:t>
            </w: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内容描述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绩效目标</w:t>
            </w:r>
          </w:p>
        </w:tc>
        <w:tc>
          <w:tcPr>
            <w:tcW w:w="97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绩效指标</w:t>
            </w:r>
          </w:p>
        </w:tc>
        <w:tc>
          <w:tcPr>
            <w:tcW w:w="203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评价标准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tblHeader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978" w:type="dxa"/>
            <w:vMerge w:val="continue"/>
            <w:vAlign w:val="center"/>
          </w:tcPr>
          <w:p>
            <w:pPr>
              <w:spacing w:line="300" w:lineRule="exact"/>
              <w:jc w:val="left"/>
              <w:outlineLvl w:val="0"/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优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良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中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交通运输基础设施养护、维护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40</w:t>
            </w: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组织交通运输基础设施养护、维护，超限超载治理经费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使超限超载工作正常运行，保障道路畅通。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完成率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人员经费及公路养护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1412</w:t>
            </w: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人员经费支出，对普通国省干线公路主体及其附属设施、设备进行保养中修、大修、维护农村公路养护等。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完成全年普通干线公路</w:t>
            </w:r>
            <w:r>
              <w:rPr>
                <w:rFonts w:ascii="方正书宋_GBK" w:eastAsia="方正书宋_GBK"/>
              </w:rPr>
              <w:t>,</w:t>
            </w:r>
            <w:r>
              <w:rPr>
                <w:rFonts w:hint="eastAsia" w:ascii="方正书宋_GBK" w:eastAsia="方正书宋_GBK"/>
              </w:rPr>
              <w:t>及农村公路养护 治理隐患，保障道路畅通，方便群众出行。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年度普通干线公路养护工程量完成率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年度普通干线公路养护投资完成率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农村公路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200</w:t>
            </w: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对农村公路保养与维护进行资金补助，引导带动各地加强农村公路养护。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恢复、提升农村公路原有技术指标，维护、完善交通工程、安全设施、服务管理等附属设施，保持良好的技术状况。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年度农村公路养护工程量完成率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年度农村公路养护投资完成率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公路建设管理养护基础数据采集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0</w:t>
            </w: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通过公路各项指标地理信息、数据采集及桥梁隧道检测、交通量调查等方式，适时采集相关数据并及时更新；管理维护设备及数据采集信息系统。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按时、保质、保量完成数据采集分析，为公路管理提供依据和支持。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公路基础信息数据使用率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公路基础信息数据更新率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公路、水运工程养护监督和管理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0</w:t>
            </w: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对公路、水运工程及其设施养护工程质量安全及招投标活动进行监督和管理。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各项业务顺利开展，按时完成工作。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项目质量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工作质量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8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交通运输管理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0</w:t>
            </w: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承担全县综合运输体系的规划协调，指导城乡客运及有关设施规划和管理，对全县公路及其设施的建设和养护进行管理，指导出租汽车行业管理工作。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保障道路通畅，完成运输生产任务，确保安全生产，提高服务保障水平。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公路管理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对公路建设、养护、运营及路政、治理超限超载进行管理。审批公路建设项目施工图并进行现场管理，依法行使公路方面行政处罚权，对全县公路超限治理进行监督管理。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 xml:space="preserve"> 缓解繁忙路段交通压力；维护路产路权，治理超限运输，保障通行能力，提高服务水平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超限超载率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审批完成率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安全生产维稳控制目标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道路运输管理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0</w:t>
            </w: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对全县道路旅客运输、货物运输、从业人员、道路运输相关业务进行行业管理、市场监管及安全检查，依法行使道路运输行政许可、行政处罚强制权，监督检查有关道路运输法律法规的执行情况，对全县货运源头治超工作进行监督检查。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旅客周转量人公里，公路货物周转量吨公里。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安全生产控制目标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超限超载率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年营业性客货运周转量目标完成率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17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城市公交管理</w:t>
            </w:r>
          </w:p>
        </w:tc>
        <w:tc>
          <w:tcPr>
            <w:tcW w:w="881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59</w:t>
            </w:r>
          </w:p>
        </w:tc>
        <w:tc>
          <w:tcPr>
            <w:tcW w:w="2054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对全县客运（含公共汽电车、出租汽车、汽车租赁）进行行业管理。</w:t>
            </w: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客运管理业务顺利开展，按时完成工作。并保障行业安全稳与稳定。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乘客满意率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617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</w:p>
        </w:tc>
        <w:tc>
          <w:tcPr>
            <w:tcW w:w="881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安全生产维稳控制目标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地方成品油价格和税费改革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0</w:t>
            </w: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油价更好的控制，税费进一步完善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使成品油价格和税费得到稳固的改革目标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成品油和税费改革措施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0</w:t>
            </w: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按照上级要求，对地方成品油和税费进行改革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使成品油价格和税费得到稳固的改革目标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油价和税费改革得到的效益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交通政务管理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0</w:t>
            </w: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负责交通运输综合交通运输体系建设，综合业务管理和综合事物管理。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机动车维修与检测人员考试人次，信息管理系统正常运行，修订公路定额，应急事项处理及时，各项事务运行正常。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行政运行管理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214.11</w:t>
            </w: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保障人员工资正常发放，人员稳定，做好公路养护、行政执法、公路建设等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保障交通各项工作正常运行，保持稳定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发放到位率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7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交通运输基础设施建设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按县政府规定权限审批、核准县规划内和年度计划规模内的固定资产投资项目，完成交通基础设施投资；对重点工程建设、工程质量和安全生产进行监管，对招投标活动进行监督管理。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ind w:firstLine="210" w:firstLineChars="100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完成农村公路投资，保障交通基础设施建设项目质量；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质量合格率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  <w:jc w:val="center"/>
        </w:trPr>
        <w:tc>
          <w:tcPr>
            <w:tcW w:w="1617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  <w:b/>
              </w:rPr>
            </w:pPr>
            <w:r>
              <w:rPr>
                <w:rFonts w:hint="eastAsia" w:ascii="方正书宋_GBK" w:eastAsia="方正书宋_GBK"/>
                <w:b/>
              </w:rPr>
              <w:t>　　普通国省干线公路建设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</w:p>
        </w:tc>
        <w:tc>
          <w:tcPr>
            <w:tcW w:w="2054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安排补助资金，组织实施各项普通国省干线公路建设，完成投资任务。</w:t>
            </w:r>
          </w:p>
        </w:tc>
        <w:tc>
          <w:tcPr>
            <w:tcW w:w="2055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完成全年普通干线公路投资</w:t>
            </w:r>
          </w:p>
        </w:tc>
        <w:tc>
          <w:tcPr>
            <w:tcW w:w="978" w:type="dxa"/>
            <w:vAlign w:val="center"/>
          </w:tcPr>
          <w:p>
            <w:pPr>
              <w:spacing w:line="300" w:lineRule="exact"/>
              <w:jc w:val="left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年度普通干线公路建设项目工程质量合格率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≥96%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≥92%</w:t>
            </w:r>
          </w:p>
        </w:tc>
        <w:tc>
          <w:tcPr>
            <w:tcW w:w="508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≥90%</w:t>
            </w:r>
          </w:p>
        </w:tc>
        <w:tc>
          <w:tcPr>
            <w:tcW w:w="509" w:type="dxa"/>
            <w:vAlign w:val="center"/>
          </w:tcPr>
          <w:p>
            <w:pPr>
              <w:spacing w:line="300" w:lineRule="exact"/>
              <w:jc w:val="center"/>
              <w:rPr>
                <w:rFonts w:ascii="方正书宋_GBK" w:eastAsia="方正书宋_GBK"/>
              </w:rPr>
            </w:pPr>
            <w:r>
              <w:rPr>
                <w:rFonts w:hint="eastAsia" w:ascii="方正书宋_GBK" w:eastAsia="方正书宋_GBK"/>
              </w:rPr>
              <w:t>＜89%</w:t>
            </w:r>
          </w:p>
        </w:tc>
      </w:tr>
    </w:tbl>
    <w:p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六、政府采购预算情况</w:t>
      </w:r>
    </w:p>
    <w:p>
      <w:pPr>
        <w:spacing w:line="560" w:lineRule="exact"/>
        <w:ind w:firstLine="640" w:firstLineChars="200"/>
        <w:outlineLvl w:val="0"/>
        <w:rPr>
          <w:rFonts w:ascii="宋体" w:hAnsi="宋体" w:eastAsia="宋体" w:cs="Times New Roman"/>
          <w:sz w:val="32"/>
          <w:szCs w:val="32"/>
        </w:rPr>
      </w:pPr>
      <w:bookmarkStart w:id="1" w:name="_Toc471398468"/>
      <w:r>
        <w:rPr>
          <w:rFonts w:hint="eastAsia" w:ascii="宋体" w:hAnsi="宋体" w:eastAsia="宋体" w:cs="Times New Roman"/>
          <w:sz w:val="32"/>
          <w:szCs w:val="32"/>
        </w:rPr>
        <w:t>2021</w:t>
      </w:r>
      <w:r>
        <w:rPr>
          <w:rFonts w:hint="eastAsia" w:ascii="宋体" w:hAnsi="宋体" w:eastAsia="宋体" w:cs="方正仿宋_GBK"/>
          <w:sz w:val="32"/>
          <w:szCs w:val="32"/>
        </w:rPr>
        <w:t>年，我单位政府采购预算23.5万元。具体内容见下表。</w:t>
      </w:r>
    </w:p>
    <w:p>
      <w:pPr>
        <w:spacing w:line="560" w:lineRule="exact"/>
        <w:ind w:firstLine="3200" w:firstLineChars="1000"/>
        <w:outlineLvl w:val="0"/>
        <w:rPr>
          <w:rFonts w:hint="eastAsia" w:ascii="宋体" w:hAnsi="宋体" w:eastAsia="宋体" w:cs="方正小标宋_GBK"/>
          <w:sz w:val="32"/>
          <w:szCs w:val="32"/>
        </w:rPr>
      </w:pPr>
    </w:p>
    <w:p>
      <w:pPr>
        <w:spacing w:line="560" w:lineRule="exact"/>
        <w:ind w:firstLine="3200" w:firstLineChars="1000"/>
        <w:outlineLvl w:val="0"/>
        <w:rPr>
          <w:rFonts w:hint="eastAsia" w:ascii="宋体" w:hAnsi="宋体" w:eastAsia="宋体" w:cs="方正小标宋_GBK"/>
          <w:sz w:val="32"/>
          <w:szCs w:val="32"/>
        </w:rPr>
      </w:pPr>
    </w:p>
    <w:p>
      <w:pPr>
        <w:spacing w:line="560" w:lineRule="exact"/>
        <w:ind w:firstLine="3200" w:firstLineChars="1000"/>
        <w:outlineLvl w:val="0"/>
        <w:rPr>
          <w:rFonts w:hint="eastAsia" w:ascii="宋体" w:hAnsi="宋体" w:eastAsia="宋体" w:cs="方正小标宋_GBK"/>
          <w:sz w:val="32"/>
          <w:szCs w:val="32"/>
        </w:rPr>
      </w:pPr>
    </w:p>
    <w:p>
      <w:pPr>
        <w:spacing w:line="560" w:lineRule="exact"/>
        <w:ind w:firstLine="3200" w:firstLineChars="1000"/>
        <w:outlineLvl w:val="0"/>
        <w:rPr>
          <w:rFonts w:hint="eastAsia" w:ascii="宋体" w:hAnsi="宋体" w:eastAsia="宋体" w:cs="方正小标宋_GBK"/>
          <w:sz w:val="32"/>
          <w:szCs w:val="32"/>
        </w:rPr>
      </w:pPr>
    </w:p>
    <w:p>
      <w:pPr>
        <w:spacing w:line="560" w:lineRule="exact"/>
        <w:ind w:firstLine="3200" w:firstLineChars="1000"/>
        <w:outlineLvl w:val="0"/>
        <w:rPr>
          <w:rFonts w:hint="eastAsia" w:ascii="宋体" w:hAnsi="宋体" w:eastAsia="宋体" w:cs="方正小标宋_GBK"/>
          <w:sz w:val="32"/>
          <w:szCs w:val="32"/>
        </w:rPr>
      </w:pPr>
    </w:p>
    <w:p>
      <w:pPr>
        <w:spacing w:line="560" w:lineRule="exact"/>
        <w:ind w:firstLine="3200" w:firstLineChars="1000"/>
        <w:outlineLvl w:val="0"/>
        <w:rPr>
          <w:rFonts w:hint="eastAsia" w:ascii="宋体" w:hAnsi="宋体" w:eastAsia="宋体" w:cs="方正小标宋_GBK"/>
          <w:sz w:val="32"/>
          <w:szCs w:val="32"/>
        </w:rPr>
      </w:pPr>
    </w:p>
    <w:p>
      <w:pPr>
        <w:spacing w:line="560" w:lineRule="exact"/>
        <w:ind w:firstLine="3200" w:firstLineChars="1000"/>
        <w:outlineLvl w:val="0"/>
        <w:rPr>
          <w:rFonts w:hint="eastAsia" w:ascii="宋体" w:hAnsi="宋体" w:eastAsia="宋体" w:cs="方正小标宋_GBK"/>
          <w:sz w:val="32"/>
          <w:szCs w:val="32"/>
        </w:rPr>
      </w:pPr>
    </w:p>
    <w:p>
      <w:pPr>
        <w:spacing w:line="560" w:lineRule="exact"/>
        <w:ind w:firstLine="3200" w:firstLineChars="1000"/>
        <w:outlineLvl w:val="0"/>
        <w:rPr>
          <w:rFonts w:hint="eastAsia" w:ascii="宋体" w:hAnsi="宋体" w:eastAsia="宋体" w:cs="方正小标宋_GBK"/>
          <w:sz w:val="32"/>
          <w:szCs w:val="32"/>
        </w:rPr>
      </w:pPr>
    </w:p>
    <w:p>
      <w:pPr>
        <w:spacing w:line="560" w:lineRule="exact"/>
        <w:ind w:firstLine="3200" w:firstLineChars="1000"/>
        <w:outlineLvl w:val="0"/>
        <w:rPr>
          <w:rFonts w:hint="eastAsia" w:ascii="宋体" w:hAnsi="宋体" w:eastAsia="宋体" w:cs="方正小标宋_GBK"/>
          <w:sz w:val="32"/>
          <w:szCs w:val="32"/>
        </w:rPr>
      </w:pPr>
    </w:p>
    <w:p>
      <w:pPr>
        <w:spacing w:line="560" w:lineRule="exact"/>
        <w:ind w:firstLine="3200" w:firstLineChars="1000"/>
        <w:outlineLvl w:val="0"/>
        <w:rPr>
          <w:rFonts w:ascii="宋体" w:hAnsi="宋体" w:eastAsia="宋体" w:cs="方正小标宋_GBK"/>
          <w:sz w:val="32"/>
          <w:szCs w:val="32"/>
        </w:rPr>
      </w:pPr>
      <w:r>
        <w:rPr>
          <w:rFonts w:hint="eastAsia" w:ascii="宋体" w:hAnsi="宋体" w:eastAsia="宋体" w:cs="方正小标宋_GBK"/>
          <w:sz w:val="32"/>
          <w:szCs w:val="32"/>
        </w:rPr>
        <w:t>部门政府采购预算</w:t>
      </w:r>
      <w:bookmarkEnd w:id="1"/>
    </w:p>
    <w:tbl>
      <w:tblPr>
        <w:tblStyle w:val="4"/>
        <w:tblW w:w="898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770"/>
        <w:gridCol w:w="679"/>
        <w:gridCol w:w="688"/>
        <w:gridCol w:w="690"/>
        <w:gridCol w:w="567"/>
        <w:gridCol w:w="690"/>
        <w:gridCol w:w="720"/>
        <w:gridCol w:w="648"/>
        <w:gridCol w:w="557"/>
        <w:gridCol w:w="416"/>
        <w:gridCol w:w="546"/>
        <w:gridCol w:w="546"/>
        <w:gridCol w:w="51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tblHeader/>
          <w:jc w:val="center"/>
        </w:trPr>
        <w:tc>
          <w:tcPr>
            <w:tcW w:w="5035" w:type="dxa"/>
            <w:gridSpan w:val="7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方正小标宋_GBK"/>
                <w:sz w:val="24"/>
                <w:szCs w:val="24"/>
              </w:rPr>
              <w:t>部门（单位）名称：成安县交通运输局</w:t>
            </w:r>
          </w:p>
        </w:tc>
        <w:tc>
          <w:tcPr>
            <w:tcW w:w="3945" w:type="dxa"/>
            <w:gridSpan w:val="7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方正书宋_GBK"/>
                <w:sz w:val="24"/>
                <w:szCs w:val="24"/>
              </w:rPr>
              <w:t>单位：万元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tblHeader/>
          <w:jc w:val="center"/>
        </w:trPr>
        <w:tc>
          <w:tcPr>
            <w:tcW w:w="172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政府采购项目来源</w:t>
            </w:r>
          </w:p>
        </w:tc>
        <w:tc>
          <w:tcPr>
            <w:tcW w:w="67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采购物品名称</w:t>
            </w:r>
          </w:p>
        </w:tc>
        <w:tc>
          <w:tcPr>
            <w:tcW w:w="688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政府采购目录序号</w:t>
            </w:r>
          </w:p>
        </w:tc>
        <w:tc>
          <w:tcPr>
            <w:tcW w:w="69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数量单位</w:t>
            </w:r>
          </w:p>
        </w:tc>
        <w:tc>
          <w:tcPr>
            <w:tcW w:w="567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数量</w:t>
            </w:r>
          </w:p>
        </w:tc>
        <w:tc>
          <w:tcPr>
            <w:tcW w:w="69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单价</w:t>
            </w:r>
          </w:p>
        </w:tc>
        <w:tc>
          <w:tcPr>
            <w:tcW w:w="3945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政府采购金额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tblHeader/>
          <w:jc w:val="center"/>
        </w:trPr>
        <w:tc>
          <w:tcPr>
            <w:tcW w:w="951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项目名称</w:t>
            </w:r>
          </w:p>
        </w:tc>
        <w:tc>
          <w:tcPr>
            <w:tcW w:w="77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预算资金</w:t>
            </w:r>
          </w:p>
        </w:tc>
        <w:tc>
          <w:tcPr>
            <w:tcW w:w="679" w:type="dxa"/>
            <w:vMerge w:val="continue"/>
            <w:vAlign w:val="center"/>
          </w:tcPr>
          <w:p>
            <w:pPr>
              <w:spacing w:line="24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spacing w:line="24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690" w:type="dxa"/>
            <w:vMerge w:val="continue"/>
            <w:vAlign w:val="center"/>
          </w:tcPr>
          <w:p>
            <w:pPr>
              <w:spacing w:line="24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pacing w:line="24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690" w:type="dxa"/>
            <w:vMerge w:val="continue"/>
            <w:vAlign w:val="center"/>
          </w:tcPr>
          <w:p>
            <w:pPr>
              <w:spacing w:line="24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总计</w:t>
            </w:r>
          </w:p>
        </w:tc>
        <w:tc>
          <w:tcPr>
            <w:tcW w:w="2713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当年部门预算安排资金</w:t>
            </w:r>
          </w:p>
        </w:tc>
        <w:tc>
          <w:tcPr>
            <w:tcW w:w="51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其他渠道资金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  <w:tblHeader/>
          <w:jc w:val="center"/>
        </w:trPr>
        <w:tc>
          <w:tcPr>
            <w:tcW w:w="951" w:type="dxa"/>
            <w:vMerge w:val="continue"/>
            <w:vAlign w:val="center"/>
          </w:tcPr>
          <w:p>
            <w:pPr>
              <w:spacing w:line="24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770" w:type="dxa"/>
            <w:vMerge w:val="continue"/>
            <w:vAlign w:val="center"/>
          </w:tcPr>
          <w:p>
            <w:pPr>
              <w:spacing w:line="24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679" w:type="dxa"/>
            <w:vMerge w:val="continue"/>
            <w:vAlign w:val="center"/>
          </w:tcPr>
          <w:p>
            <w:pPr>
              <w:spacing w:line="24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688" w:type="dxa"/>
            <w:vMerge w:val="continue"/>
            <w:vAlign w:val="center"/>
          </w:tcPr>
          <w:p>
            <w:pPr>
              <w:spacing w:line="24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690" w:type="dxa"/>
            <w:vMerge w:val="continue"/>
            <w:vAlign w:val="center"/>
          </w:tcPr>
          <w:p>
            <w:pPr>
              <w:spacing w:line="24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pacing w:line="24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690" w:type="dxa"/>
            <w:vMerge w:val="continue"/>
            <w:vAlign w:val="center"/>
          </w:tcPr>
          <w:p>
            <w:pPr>
              <w:spacing w:line="24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spacing w:line="24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  <w:tc>
          <w:tcPr>
            <w:tcW w:w="648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合计</w:t>
            </w:r>
          </w:p>
        </w:tc>
        <w:tc>
          <w:tcPr>
            <w:tcW w:w="55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一般公共预算拨款</w:t>
            </w:r>
          </w:p>
        </w:tc>
        <w:tc>
          <w:tcPr>
            <w:tcW w:w="416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基金预算拨款</w:t>
            </w:r>
          </w:p>
        </w:tc>
        <w:tc>
          <w:tcPr>
            <w:tcW w:w="546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财政专户核拨</w:t>
            </w:r>
          </w:p>
        </w:tc>
        <w:tc>
          <w:tcPr>
            <w:tcW w:w="546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方正书宋_GBK"/>
                <w:b/>
                <w:bCs/>
              </w:rPr>
              <w:t>其他来源收入</w:t>
            </w:r>
          </w:p>
        </w:tc>
        <w:tc>
          <w:tcPr>
            <w:tcW w:w="512" w:type="dxa"/>
            <w:vMerge w:val="continue"/>
            <w:vAlign w:val="center"/>
          </w:tcPr>
          <w:p>
            <w:pPr>
              <w:spacing w:line="240" w:lineRule="exact"/>
              <w:jc w:val="left"/>
              <w:outlineLvl w:val="0"/>
              <w:rPr>
                <w:rFonts w:ascii="宋体" w:hAnsi="宋体" w:eastAsia="宋体" w:cs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951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方正书宋_GBK"/>
                <w:b/>
                <w:bCs/>
                <w:sz w:val="18"/>
                <w:szCs w:val="18"/>
              </w:rPr>
              <w:t>合　计</w:t>
            </w:r>
          </w:p>
        </w:tc>
        <w:tc>
          <w:tcPr>
            <w:tcW w:w="77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23.5</w:t>
            </w:r>
          </w:p>
        </w:tc>
        <w:tc>
          <w:tcPr>
            <w:tcW w:w="679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88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23.5</w:t>
            </w:r>
          </w:p>
        </w:tc>
        <w:tc>
          <w:tcPr>
            <w:tcW w:w="648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23.5</w:t>
            </w:r>
          </w:p>
        </w:tc>
        <w:tc>
          <w:tcPr>
            <w:tcW w:w="55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23.5</w:t>
            </w:r>
          </w:p>
        </w:tc>
        <w:tc>
          <w:tcPr>
            <w:tcW w:w="41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951" w:type="dxa"/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  <w:lang w:eastAsia="zh-CN"/>
              </w:rPr>
              <w:t>日常公用经费</w:t>
            </w:r>
          </w:p>
        </w:tc>
        <w:tc>
          <w:tcPr>
            <w:tcW w:w="77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9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打印机</w:t>
            </w:r>
          </w:p>
        </w:tc>
        <w:tc>
          <w:tcPr>
            <w:tcW w:w="688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A0201060102</w:t>
            </w:r>
          </w:p>
        </w:tc>
        <w:tc>
          <w:tcPr>
            <w:tcW w:w="690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台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90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48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1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951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  <w:lang w:eastAsia="zh-CN"/>
              </w:rPr>
              <w:t>日常公用经费</w:t>
            </w:r>
          </w:p>
        </w:tc>
        <w:tc>
          <w:tcPr>
            <w:tcW w:w="77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2.5</w:t>
            </w:r>
          </w:p>
        </w:tc>
        <w:tc>
          <w:tcPr>
            <w:tcW w:w="679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电脑</w:t>
            </w:r>
          </w:p>
        </w:tc>
        <w:tc>
          <w:tcPr>
            <w:tcW w:w="688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A02010104</w:t>
            </w:r>
          </w:p>
        </w:tc>
        <w:tc>
          <w:tcPr>
            <w:tcW w:w="690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台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5</w:t>
            </w:r>
          </w:p>
        </w:tc>
        <w:tc>
          <w:tcPr>
            <w:tcW w:w="690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2.5</w:t>
            </w:r>
          </w:p>
        </w:tc>
        <w:tc>
          <w:tcPr>
            <w:tcW w:w="648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2.5</w:t>
            </w:r>
          </w:p>
        </w:tc>
        <w:tc>
          <w:tcPr>
            <w:tcW w:w="55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2.5</w:t>
            </w:r>
          </w:p>
        </w:tc>
        <w:tc>
          <w:tcPr>
            <w:tcW w:w="41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51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  <w:lang w:eastAsia="zh-CN"/>
              </w:rPr>
              <w:t>日常公用经费</w:t>
            </w:r>
          </w:p>
        </w:tc>
        <w:tc>
          <w:tcPr>
            <w:tcW w:w="77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79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空调</w:t>
            </w:r>
          </w:p>
        </w:tc>
        <w:tc>
          <w:tcPr>
            <w:tcW w:w="688" w:type="dxa"/>
            <w:vAlign w:val="center"/>
          </w:tcPr>
          <w:p>
            <w:pPr>
              <w:spacing w:line="560" w:lineRule="exact"/>
              <w:jc w:val="left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A0206180203</w:t>
            </w:r>
          </w:p>
        </w:tc>
        <w:tc>
          <w:tcPr>
            <w:tcW w:w="690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台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90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48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1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51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  <w:lang w:eastAsia="zh-CN"/>
              </w:rPr>
              <w:t>日常公用经费</w:t>
            </w:r>
          </w:p>
        </w:tc>
        <w:tc>
          <w:tcPr>
            <w:tcW w:w="77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14</w:t>
            </w:r>
          </w:p>
        </w:tc>
        <w:tc>
          <w:tcPr>
            <w:tcW w:w="679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办公桌，椅</w:t>
            </w:r>
          </w:p>
        </w:tc>
        <w:tc>
          <w:tcPr>
            <w:tcW w:w="688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A060299</w:t>
            </w:r>
          </w:p>
        </w:tc>
        <w:tc>
          <w:tcPr>
            <w:tcW w:w="690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套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14</w:t>
            </w:r>
          </w:p>
        </w:tc>
        <w:tc>
          <w:tcPr>
            <w:tcW w:w="648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14</w:t>
            </w:r>
          </w:p>
        </w:tc>
        <w:tc>
          <w:tcPr>
            <w:tcW w:w="55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951" w:type="dxa"/>
            <w:vAlign w:val="center"/>
          </w:tcPr>
          <w:p>
            <w:pPr>
              <w:spacing w:line="240" w:lineRule="exac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  <w:lang w:eastAsia="zh-CN"/>
              </w:rPr>
              <w:t>日常公用经费</w:t>
            </w:r>
          </w:p>
        </w:tc>
        <w:tc>
          <w:tcPr>
            <w:tcW w:w="77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4</w:t>
            </w:r>
          </w:p>
        </w:tc>
        <w:tc>
          <w:tcPr>
            <w:tcW w:w="679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音箱</w:t>
            </w:r>
          </w:p>
        </w:tc>
        <w:tc>
          <w:tcPr>
            <w:tcW w:w="688" w:type="dxa"/>
            <w:vAlign w:val="center"/>
          </w:tcPr>
          <w:p>
            <w:pPr>
              <w:spacing w:line="240" w:lineRule="exact"/>
              <w:jc w:val="left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A020202</w:t>
            </w:r>
          </w:p>
        </w:tc>
        <w:tc>
          <w:tcPr>
            <w:tcW w:w="690" w:type="dxa"/>
            <w:vAlign w:val="center"/>
          </w:tcPr>
          <w:p>
            <w:pPr>
              <w:spacing w:line="240" w:lineRule="exact"/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套</w:t>
            </w:r>
          </w:p>
        </w:tc>
        <w:tc>
          <w:tcPr>
            <w:tcW w:w="567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4</w:t>
            </w:r>
          </w:p>
        </w:tc>
        <w:tc>
          <w:tcPr>
            <w:tcW w:w="648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4</w:t>
            </w:r>
          </w:p>
        </w:tc>
        <w:tc>
          <w:tcPr>
            <w:tcW w:w="557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4</w:t>
            </w:r>
          </w:p>
        </w:tc>
        <w:tc>
          <w:tcPr>
            <w:tcW w:w="41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 w:cs="Times New Roman"/>
                <w:sz w:val="18"/>
                <w:szCs w:val="18"/>
              </w:rPr>
            </w:pPr>
          </w:p>
        </w:tc>
      </w:tr>
    </w:tbl>
    <w:p>
      <w:pPr>
        <w:autoSpaceDE w:val="0"/>
        <w:autoSpaceDN w:val="0"/>
        <w:adjustRightInd w:val="0"/>
        <w:spacing w:line="560" w:lineRule="exact"/>
        <w:ind w:left="198" w:firstLine="640" w:firstLineChars="200"/>
        <w:jc w:val="left"/>
        <w:rPr>
          <w:rFonts w:ascii="宋体" w:hAnsi="宋体" w:eastAsia="宋体" w:cs="Times New Roman"/>
          <w:sz w:val="32"/>
          <w:szCs w:val="32"/>
        </w:rPr>
      </w:pPr>
    </w:p>
    <w:p>
      <w:pPr>
        <w:autoSpaceDE w:val="0"/>
        <w:autoSpaceDN w:val="0"/>
        <w:adjustRightInd w:val="0"/>
        <w:spacing w:line="560" w:lineRule="exact"/>
        <w:ind w:left="198" w:firstLine="640" w:firstLineChars="20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七、国有资产信息</w:t>
      </w:r>
    </w:p>
    <w:p>
      <w:pPr>
        <w:spacing w:line="560" w:lineRule="exact"/>
        <w:ind w:firstLine="640"/>
        <w:rPr>
          <w:rFonts w:hint="eastAsia" w:ascii="仿宋_GB2312" w:hAnsi="黑体" w:eastAsia="仿宋_GB2312" w:cs="仿宋_GB2312"/>
          <w:sz w:val="32"/>
          <w:szCs w:val="32"/>
        </w:rPr>
      </w:pPr>
      <w:r>
        <w:rPr>
          <w:rFonts w:hint="eastAsia" w:ascii="仿宋_GB2312" w:hAnsi="黑体" w:eastAsia="仿宋_GB2312" w:cs="仿宋_GB2312"/>
          <w:sz w:val="32"/>
          <w:szCs w:val="32"/>
        </w:rPr>
        <w:t>成安县交通运输部门上年末固定资产金额为576.45万元，本年度拟购置固定资产主要为23.5万元。计算机设备、打印设备、空调，已列入政府采购预算。详见下表。</w:t>
      </w:r>
    </w:p>
    <w:p>
      <w:pPr>
        <w:spacing w:line="560" w:lineRule="exact"/>
        <w:ind w:firstLine="640"/>
        <w:rPr>
          <w:rFonts w:hint="eastAsia" w:ascii="仿宋_GB2312" w:hAnsi="黑体" w:eastAsia="仿宋_GB2312" w:cs="仿宋_GB2312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黑体" w:eastAsia="仿宋_GB2312" w:cs="Times New Roman"/>
          <w:sz w:val="32"/>
          <w:szCs w:val="32"/>
        </w:rPr>
      </w:pPr>
    </w:p>
    <w:tbl>
      <w:tblPr>
        <w:tblStyle w:val="4"/>
        <w:tblW w:w="9060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9"/>
        <w:gridCol w:w="855"/>
        <w:gridCol w:w="40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</w:p>
          <w:p>
            <w:pPr>
              <w:widowControl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</w:rPr>
              <w:t>部门固定资产占用情况表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编制部门：成安县交通运输局</w:t>
            </w: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ind w:firstLine="550" w:firstLineChars="250"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截止时间：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20年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12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31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项目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数量</w:t>
            </w:r>
          </w:p>
        </w:tc>
        <w:tc>
          <w:tcPr>
            <w:tcW w:w="40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szCs w:val="22"/>
              </w:rPr>
              <w:t>价值（金额单位：万元）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资产总额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——</w:t>
            </w:r>
          </w:p>
        </w:tc>
        <w:tc>
          <w:tcPr>
            <w:tcW w:w="4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576.45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、房屋（平方米）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3300</w:t>
            </w:r>
          </w:p>
        </w:tc>
        <w:tc>
          <w:tcPr>
            <w:tcW w:w="4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340.43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其中：办公用房（平方米）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3300</w:t>
            </w:r>
          </w:p>
        </w:tc>
        <w:tc>
          <w:tcPr>
            <w:tcW w:w="4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340.43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、车辆（台、辆）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1</w:t>
            </w:r>
          </w:p>
        </w:tc>
        <w:tc>
          <w:tcPr>
            <w:tcW w:w="4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、单价在</w:t>
            </w: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50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万元以上的设备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0</w:t>
            </w:r>
          </w:p>
        </w:tc>
        <w:tc>
          <w:tcPr>
            <w:tcW w:w="4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41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、其他固定资产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200</w:t>
            </w:r>
          </w:p>
        </w:tc>
        <w:tc>
          <w:tcPr>
            <w:tcW w:w="40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224.02</w:t>
            </w:r>
          </w:p>
        </w:tc>
      </w:tr>
    </w:tbl>
    <w:p>
      <w:pPr>
        <w:autoSpaceDE w:val="0"/>
        <w:autoSpaceDN w:val="0"/>
        <w:adjustRightInd w:val="0"/>
        <w:ind w:left="198" w:firstLine="640" w:firstLineChars="20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八、名词解释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1、财政拨款收入：指</w:t>
      </w:r>
      <w:r>
        <w:rPr>
          <w:rFonts w:hint="eastAsia" w:ascii="仿宋" w:hAnsi="仿宋" w:eastAsia="仿宋" w:cs="仿宋"/>
          <w:kern w:val="0"/>
          <w:sz w:val="32"/>
          <w:szCs w:val="32"/>
        </w:rPr>
        <w:t>财政当年拨付的资金。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2、“三公”经费：包括因公出国（境）费、公务接待费和公务用车购置及运行费。因公出国（境）费，指单位工作人员公务出国（境）的住宿费、差旅费、伙食补助费、杂费、培训费等支出。公务接待费，指单位按规定开支的各类公务接待（含外宾接待）支出。公务用车购置及运行费，指单位公务用车购置费及租用费、燃料费、维修费、等支出，公务用车指用于履行公务的机动车辆，包括领导干部专车、一般公务用车和执法执勤等业务用车。 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3、年初结转和结余：指以前年度尚未完成，结转到本年仍按照原规定用途继续使用的资金，或项目已完成等产生的结余资金。  </w:t>
      </w:r>
    </w:p>
    <w:p>
      <w:pPr>
        <w:widowControl/>
        <w:spacing w:line="360" w:lineRule="auto"/>
        <w:ind w:firstLine="640" w:firstLineChars="20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4、基本支出：指单位为了保障其正常运转、完成日常工作任务而发生的人员支出和公用支出。  </w:t>
      </w:r>
    </w:p>
    <w:p>
      <w:pPr>
        <w:autoSpaceDE w:val="0"/>
        <w:autoSpaceDN w:val="0"/>
        <w:adjustRightInd w:val="0"/>
        <w:jc w:val="left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5、项目支出：指单位为了特定的工作任务和事业发展目标，在基本支出之外所发生的支出。</w:t>
      </w:r>
    </w:p>
    <w:p>
      <w:pPr>
        <w:tabs>
          <w:tab w:val="left" w:pos="11490"/>
        </w:tabs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    九、其它需要说明的事项</w:t>
      </w:r>
    </w:p>
    <w:p>
      <w:pPr>
        <w:tabs>
          <w:tab w:val="left" w:pos="11490"/>
        </w:tabs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无其它需要说明的事项。</w:t>
      </w:r>
    </w:p>
    <w:p>
      <w:pPr>
        <w:spacing w:line="560" w:lineRule="exact"/>
        <w:ind w:firstLine="645"/>
        <w:rPr>
          <w:rFonts w:ascii="黑体" w:hAnsi="黑体" w:eastAsia="黑体" w:cs="Times New Roman"/>
          <w:sz w:val="32"/>
          <w:szCs w:val="32"/>
        </w:rPr>
      </w:pPr>
    </w:p>
    <w:p>
      <w:pPr>
        <w:spacing w:line="560" w:lineRule="exact"/>
        <w:ind w:firstLine="645"/>
        <w:rPr>
          <w:rFonts w:ascii="仿宋" w:hAnsi="仿宋" w:eastAsia="仿宋" w:cs="Times New Roman"/>
          <w:sz w:val="32"/>
          <w:szCs w:val="32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仿宋" w:hAnsi="仿宋" w:eastAsia="仿宋" w:cs="Times New Roman"/>
        <w:sz w:val="32"/>
        <w:szCs w:val="32"/>
      </w:rPr>
    </w:pPr>
    <w:r>
      <w:rPr>
        <w:rFonts w:ascii="仿宋" w:hAnsi="仿宋" w:eastAsia="仿宋" w:cs="仿宋"/>
        <w:sz w:val="32"/>
        <w:szCs w:val="32"/>
      </w:rPr>
      <w:fldChar w:fldCharType="begin"/>
    </w:r>
    <w:r>
      <w:rPr>
        <w:rFonts w:ascii="仿宋" w:hAnsi="仿宋" w:eastAsia="仿宋" w:cs="仿宋"/>
        <w:sz w:val="32"/>
        <w:szCs w:val="32"/>
      </w:rPr>
      <w:instrText xml:space="preserve">PAGE   \* MERGEFORMAT</w:instrText>
    </w:r>
    <w:r>
      <w:rPr>
        <w:rFonts w:ascii="仿宋" w:hAnsi="仿宋" w:eastAsia="仿宋" w:cs="仿宋"/>
        <w:sz w:val="32"/>
        <w:szCs w:val="32"/>
      </w:rPr>
      <w:fldChar w:fldCharType="separate"/>
    </w:r>
    <w:r>
      <w:rPr>
        <w:rFonts w:ascii="仿宋" w:hAnsi="仿宋" w:eastAsia="仿宋" w:cs="仿宋"/>
        <w:sz w:val="32"/>
        <w:szCs w:val="32"/>
        <w:lang w:val="zh-CN"/>
      </w:rPr>
      <w:t>11</w:t>
    </w:r>
    <w:r>
      <w:rPr>
        <w:rFonts w:ascii="仿宋" w:hAnsi="仿宋" w:eastAsia="仿宋" w:cs="仿宋"/>
        <w:sz w:val="32"/>
        <w:szCs w:val="32"/>
      </w:rPr>
      <w:fldChar w:fldCharType="end"/>
    </w:r>
  </w:p>
  <w:p>
    <w:pPr>
      <w:pStyle w:val="2"/>
      <w:rPr>
        <w:rFonts w:cs="Times New Roman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BCCB38"/>
    <w:multiLevelType w:val="singleLevel"/>
    <w:tmpl w:val="58BCCB3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hMTQ5ODExNjY4ODFhYWU4YjllODNmY2IyMjE3ZWEifQ=="/>
  </w:docVars>
  <w:rsids>
    <w:rsidRoot w:val="00524AAA"/>
    <w:rsid w:val="00032857"/>
    <w:rsid w:val="000A796E"/>
    <w:rsid w:val="00101201"/>
    <w:rsid w:val="00101C7A"/>
    <w:rsid w:val="001030C1"/>
    <w:rsid w:val="00131928"/>
    <w:rsid w:val="001A3CB4"/>
    <w:rsid w:val="001E0232"/>
    <w:rsid w:val="00206B22"/>
    <w:rsid w:val="002307B5"/>
    <w:rsid w:val="0026772F"/>
    <w:rsid w:val="002C0317"/>
    <w:rsid w:val="00325594"/>
    <w:rsid w:val="003315F2"/>
    <w:rsid w:val="00366254"/>
    <w:rsid w:val="0037750D"/>
    <w:rsid w:val="003C4C5D"/>
    <w:rsid w:val="003D1126"/>
    <w:rsid w:val="003D1369"/>
    <w:rsid w:val="003D22B1"/>
    <w:rsid w:val="004150B7"/>
    <w:rsid w:val="00453A06"/>
    <w:rsid w:val="004A6FC5"/>
    <w:rsid w:val="00524AAA"/>
    <w:rsid w:val="00540B46"/>
    <w:rsid w:val="005412A2"/>
    <w:rsid w:val="005730D6"/>
    <w:rsid w:val="005F4345"/>
    <w:rsid w:val="005F5A4F"/>
    <w:rsid w:val="00645338"/>
    <w:rsid w:val="0064535F"/>
    <w:rsid w:val="006561F5"/>
    <w:rsid w:val="0068144F"/>
    <w:rsid w:val="007245CC"/>
    <w:rsid w:val="00747D9E"/>
    <w:rsid w:val="007775CB"/>
    <w:rsid w:val="007B4EB3"/>
    <w:rsid w:val="007C484E"/>
    <w:rsid w:val="007F0D2E"/>
    <w:rsid w:val="008060CB"/>
    <w:rsid w:val="00825F97"/>
    <w:rsid w:val="008327A0"/>
    <w:rsid w:val="00875ABF"/>
    <w:rsid w:val="008C39AE"/>
    <w:rsid w:val="00933068"/>
    <w:rsid w:val="00973104"/>
    <w:rsid w:val="00990CB9"/>
    <w:rsid w:val="009B2D48"/>
    <w:rsid w:val="009C264C"/>
    <w:rsid w:val="009F0612"/>
    <w:rsid w:val="009F6B65"/>
    <w:rsid w:val="00A12AE7"/>
    <w:rsid w:val="00A15ADE"/>
    <w:rsid w:val="00A6455D"/>
    <w:rsid w:val="00A95F51"/>
    <w:rsid w:val="00A9676E"/>
    <w:rsid w:val="00AC4CA0"/>
    <w:rsid w:val="00AC6968"/>
    <w:rsid w:val="00AE416F"/>
    <w:rsid w:val="00B13EFE"/>
    <w:rsid w:val="00B14C4D"/>
    <w:rsid w:val="00B50088"/>
    <w:rsid w:val="00B500A4"/>
    <w:rsid w:val="00B951D6"/>
    <w:rsid w:val="00BA2E2C"/>
    <w:rsid w:val="00BA40C6"/>
    <w:rsid w:val="00BA6B82"/>
    <w:rsid w:val="00CA555B"/>
    <w:rsid w:val="00CB3E21"/>
    <w:rsid w:val="00CD0F72"/>
    <w:rsid w:val="00CF3890"/>
    <w:rsid w:val="00CF7914"/>
    <w:rsid w:val="00D27A25"/>
    <w:rsid w:val="00D312BA"/>
    <w:rsid w:val="00D42E1E"/>
    <w:rsid w:val="00D50CEF"/>
    <w:rsid w:val="00D5268B"/>
    <w:rsid w:val="00D73351"/>
    <w:rsid w:val="00DE2B0E"/>
    <w:rsid w:val="00DE674D"/>
    <w:rsid w:val="00E000C9"/>
    <w:rsid w:val="00E24B37"/>
    <w:rsid w:val="00E474B2"/>
    <w:rsid w:val="00E87B0C"/>
    <w:rsid w:val="00E91C36"/>
    <w:rsid w:val="00EC6317"/>
    <w:rsid w:val="00EF3D70"/>
    <w:rsid w:val="00F14752"/>
    <w:rsid w:val="00F311AF"/>
    <w:rsid w:val="00F66032"/>
    <w:rsid w:val="00FB5EA2"/>
    <w:rsid w:val="00FC5664"/>
    <w:rsid w:val="00FF3FE2"/>
    <w:rsid w:val="03FD7D47"/>
    <w:rsid w:val="05D00F6B"/>
    <w:rsid w:val="06DA69E7"/>
    <w:rsid w:val="09484B00"/>
    <w:rsid w:val="0D357E43"/>
    <w:rsid w:val="0D7A2D8A"/>
    <w:rsid w:val="0F9A2090"/>
    <w:rsid w:val="10E947E2"/>
    <w:rsid w:val="11EA5907"/>
    <w:rsid w:val="128A2F94"/>
    <w:rsid w:val="13421F91"/>
    <w:rsid w:val="146C7CEB"/>
    <w:rsid w:val="184032A0"/>
    <w:rsid w:val="195C3383"/>
    <w:rsid w:val="19BF773A"/>
    <w:rsid w:val="1A2A5FA1"/>
    <w:rsid w:val="1EB10E92"/>
    <w:rsid w:val="1EFD5AE9"/>
    <w:rsid w:val="20814989"/>
    <w:rsid w:val="23A8502F"/>
    <w:rsid w:val="259019D4"/>
    <w:rsid w:val="26CE6F6C"/>
    <w:rsid w:val="2777798C"/>
    <w:rsid w:val="2ACA309D"/>
    <w:rsid w:val="2B2A4C38"/>
    <w:rsid w:val="2E375388"/>
    <w:rsid w:val="331E6CC7"/>
    <w:rsid w:val="3336020C"/>
    <w:rsid w:val="35870F95"/>
    <w:rsid w:val="3C274AB3"/>
    <w:rsid w:val="3E277E94"/>
    <w:rsid w:val="444A6A95"/>
    <w:rsid w:val="494447AB"/>
    <w:rsid w:val="4B1867D7"/>
    <w:rsid w:val="506A55C5"/>
    <w:rsid w:val="50FE5FE4"/>
    <w:rsid w:val="51751B0B"/>
    <w:rsid w:val="57010FDA"/>
    <w:rsid w:val="57B940A4"/>
    <w:rsid w:val="58120EF7"/>
    <w:rsid w:val="58A96322"/>
    <w:rsid w:val="5BAF22D6"/>
    <w:rsid w:val="5DA7276D"/>
    <w:rsid w:val="5EAB2628"/>
    <w:rsid w:val="5F9F14E2"/>
    <w:rsid w:val="632B0D83"/>
    <w:rsid w:val="634E0237"/>
    <w:rsid w:val="63774BD8"/>
    <w:rsid w:val="67D4423F"/>
    <w:rsid w:val="6A043DA4"/>
    <w:rsid w:val="6A2D7C6D"/>
    <w:rsid w:val="6AC06B84"/>
    <w:rsid w:val="6C1B62C7"/>
    <w:rsid w:val="6E1359EB"/>
    <w:rsid w:val="6FB93083"/>
    <w:rsid w:val="7026747F"/>
    <w:rsid w:val="711A1DCB"/>
    <w:rsid w:val="7455729D"/>
    <w:rsid w:val="75E741B0"/>
    <w:rsid w:val="76386D63"/>
    <w:rsid w:val="767A20E5"/>
    <w:rsid w:val="7A6F0B20"/>
    <w:rsid w:val="7B0071DF"/>
    <w:rsid w:val="7F7D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7">
    <w:name w:val="页脚 Char"/>
    <w:link w:val="2"/>
    <w:qFormat/>
    <w:locked/>
    <w:uiPriority w:val="99"/>
    <w:rPr>
      <w:rFonts w:cs="Times New Roman"/>
      <w:sz w:val="18"/>
      <w:szCs w:val="18"/>
    </w:rPr>
  </w:style>
  <w:style w:type="paragraph" w:customStyle="1" w:styleId="8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FD5E94-FE8A-4DBC-9995-EA34AB7EBD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14</Pages>
  <Words>4688</Words>
  <Characters>4998</Characters>
  <Lines>38</Lines>
  <Paragraphs>10</Paragraphs>
  <TotalTime>2</TotalTime>
  <ScaleCrop>false</ScaleCrop>
  <LinksUpToDate>false</LinksUpToDate>
  <CharactersWithSpaces>5060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2017-11-10T09:22:00Z</dcterms:created>
  <dc:creator>旭东</dc:creator>
  <cp:lastModifiedBy>lenovo</cp:lastModifiedBy>
  <dcterms:modified xsi:type="dcterms:W3CDTF">2025-11-20T06:01:50Z</dcterms:modified>
  <dc:title>2017年部门预算公开督导整改要求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1C9CC0BA5B9D48A79B46475679F15DCB_13</vt:lpwstr>
  </property>
  <property fmtid="{D5CDD505-2E9C-101B-9397-08002B2CF9AE}" pid="4" name="KSOTemplateDocerSaveRecord">
    <vt:lpwstr>eyJoZGlkIjoiNDNlMjE1N2Y2ZWMzZDU0NzU4ZTI4ZDNiMDE1NmRhZWYifQ==</vt:lpwstr>
  </property>
</Properties>
</file>