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124599">
      <w:pPr>
        <w:jc w:val="center"/>
        <w:rPr>
          <w:rFonts w:asciiTheme="majorEastAsia" w:hAnsiTheme="majorEastAsia" w:eastAsiaTheme="majorEastAsia"/>
          <w:b/>
          <w:sz w:val="44"/>
          <w:szCs w:val="44"/>
        </w:rPr>
      </w:pPr>
    </w:p>
    <w:p w14:paraId="7DE294D1">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成安县发展和改革局</w:t>
      </w:r>
    </w:p>
    <w:p w14:paraId="7E03F71A">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2021年部门预算公开情况说明</w:t>
      </w:r>
    </w:p>
    <w:p w14:paraId="32CF82D9">
      <w:pPr>
        <w:widowControl/>
        <w:spacing w:line="360" w:lineRule="auto"/>
        <w:ind w:firstLine="640" w:firstLineChars="200"/>
        <w:jc w:val="left"/>
        <w:rPr>
          <w:rFonts w:ascii="仿宋_GB2312" w:hAnsi="Calibri" w:eastAsia="仿宋_GB2312" w:cs="仿宋_GB2312"/>
          <w:sz w:val="32"/>
          <w:szCs w:val="32"/>
        </w:rPr>
      </w:pPr>
      <w:bookmarkStart w:id="0" w:name="_GoBack"/>
      <w:bookmarkEnd w:id="0"/>
    </w:p>
    <w:p w14:paraId="485A02C0">
      <w:pPr>
        <w:widowControl/>
        <w:spacing w:line="360" w:lineRule="auto"/>
        <w:ind w:firstLine="640" w:firstLineChars="200"/>
        <w:jc w:val="left"/>
        <w:rPr>
          <w:rFonts w:ascii="仿宋_GB2312" w:hAnsi="Calibri" w:eastAsia="仿宋_GB2312" w:cs="仿宋_GB2312"/>
          <w:sz w:val="32"/>
          <w:szCs w:val="32"/>
        </w:rPr>
      </w:pPr>
      <w:r>
        <w:rPr>
          <w:rFonts w:ascii="仿宋_GB2312" w:hAnsi="Calibri" w:eastAsia="仿宋_GB2312" w:cs="仿宋_GB2312"/>
          <w:sz w:val="32"/>
          <w:szCs w:val="32"/>
        </w:rPr>
        <w:t>按照《</w:t>
      </w:r>
      <w:r>
        <w:rPr>
          <w:rFonts w:hint="eastAsia" w:ascii="仿宋_GB2312" w:hAnsi="Calibri" w:eastAsia="仿宋_GB2312" w:cs="仿宋_GB2312"/>
          <w:sz w:val="32"/>
          <w:szCs w:val="32"/>
          <w:lang w:eastAsia="zh-CN"/>
        </w:rPr>
        <w:t>中华人民共和国</w:t>
      </w:r>
      <w:r>
        <w:rPr>
          <w:rFonts w:ascii="仿宋_GB2312" w:hAnsi="Calibri" w:eastAsia="仿宋_GB2312" w:cs="仿宋_GB2312"/>
          <w:sz w:val="32"/>
          <w:szCs w:val="32"/>
        </w:rPr>
        <w:t>预算法》有关规定</w:t>
      </w:r>
      <w:r>
        <w:rPr>
          <w:rFonts w:hint="eastAsia" w:ascii="仿宋_GB2312" w:hAnsi="Calibri" w:eastAsia="仿宋_GB2312" w:cs="仿宋_GB2312"/>
          <w:sz w:val="32"/>
          <w:szCs w:val="32"/>
        </w:rPr>
        <w:t>和</w:t>
      </w:r>
      <w:r>
        <w:rPr>
          <w:rFonts w:ascii="仿宋_GB2312" w:hAnsi="Calibri" w:eastAsia="仿宋_GB2312" w:cs="仿宋_GB2312"/>
          <w:sz w:val="32"/>
          <w:szCs w:val="32"/>
        </w:rPr>
        <w:t>财政部关于印发《地方预决算公开操作规程》的通知，现将</w:t>
      </w:r>
      <w:r>
        <w:rPr>
          <w:rFonts w:hint="eastAsia" w:ascii="仿宋_GB2312" w:hAnsi="Calibri" w:eastAsia="仿宋_GB2312" w:cs="仿宋_GB2312"/>
          <w:sz w:val="32"/>
          <w:szCs w:val="32"/>
        </w:rPr>
        <w:t>成安县发展和改革局</w:t>
      </w:r>
      <w:r>
        <w:rPr>
          <w:rFonts w:ascii="仿宋_GB2312" w:hAnsi="Calibri" w:eastAsia="仿宋_GB2312" w:cs="仿宋_GB2312"/>
          <w:sz w:val="32"/>
          <w:szCs w:val="32"/>
        </w:rPr>
        <w:t>2021年部门预算公开如下</w:t>
      </w:r>
      <w:r>
        <w:rPr>
          <w:rFonts w:hint="eastAsia" w:ascii="仿宋_GB2312" w:hAnsi="Calibri" w:eastAsia="仿宋_GB2312" w:cs="仿宋_GB2312"/>
          <w:sz w:val="32"/>
          <w:szCs w:val="32"/>
        </w:rPr>
        <w:t>：</w:t>
      </w:r>
    </w:p>
    <w:p w14:paraId="675486C3">
      <w:pPr>
        <w:widowControl/>
        <w:numPr>
          <w:ilvl w:val="0"/>
          <w:numId w:val="1"/>
        </w:numPr>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部门职责及机构设置情况</w:t>
      </w:r>
    </w:p>
    <w:p w14:paraId="476CFD9B">
      <w:pPr>
        <w:ind w:firstLine="640" w:firstLineChars="200"/>
        <w:jc w:val="left"/>
        <w:rPr>
          <w:rFonts w:ascii="仿宋" w:hAnsi="仿宋" w:eastAsia="仿宋"/>
          <w:sz w:val="32"/>
          <w:szCs w:val="32"/>
        </w:rPr>
      </w:pPr>
      <w:r>
        <w:rPr>
          <w:rFonts w:hint="eastAsia" w:ascii="仿宋" w:hAnsi="仿宋" w:eastAsia="仿宋"/>
          <w:sz w:val="32"/>
          <w:szCs w:val="32"/>
        </w:rPr>
        <w:t>成安县发展和改革局主要职责：贯彻执行国家、省、市国民经济和社会发展的战列、方针、政策，拟订并组织实施全县国民经济和社会发展战略、中长期规划和年度计划，统筹协调经济社会发展，研究分析经济形势，提出全县国民经济发展总体水平调控和优化重大经济结构的目标。负责全县财政、金融、投资等方面的情况预测。参与制定全县财政税收、金融投资、农村建设、畜牧养殖、土地政策、投资目标、城建规划、文化教育、信息监管、建筑监管等与全县人民息息相关的工作。承担着全县发展规划编制，重点项目建设推进，固定资产投资管理，上级资金争取，东部振兴、政务网和公开透明网建设、经济信息化建设等各项重点工作。编制成安发展改革“十四五”规划，对于全县抢抓机遇，实现又好又快发展出谋划策。</w:t>
      </w:r>
    </w:p>
    <w:p w14:paraId="23FE0F47">
      <w:pPr>
        <w:autoSpaceDE w:val="0"/>
        <w:autoSpaceDN w:val="0"/>
        <w:adjustRightInd w:val="0"/>
        <w:ind w:firstLine="640" w:firstLineChars="200"/>
        <w:jc w:val="left"/>
        <w:rPr>
          <w:rFonts w:ascii="方正仿宋_GBK" w:hAnsi="Times New Roman" w:eastAsia="方正仿宋_GBK" w:cs="Times New Roman"/>
          <w:b/>
          <w:bCs/>
          <w:sz w:val="32"/>
          <w:szCs w:val="32"/>
        </w:rPr>
      </w:pPr>
      <w:r>
        <w:rPr>
          <w:rFonts w:hint="eastAsia" w:ascii="方正仿宋_GBK" w:hAnsi="Times New Roman" w:eastAsia="方正仿宋_GBK" w:cs="方正仿宋_GBK"/>
          <w:b/>
          <w:bCs/>
          <w:sz w:val="32"/>
          <w:szCs w:val="32"/>
        </w:rPr>
        <w:t>机构设置：</w:t>
      </w:r>
    </w:p>
    <w:p w14:paraId="1CDA48B4">
      <w:pPr>
        <w:jc w:val="center"/>
        <w:outlineLvl w:val="0"/>
        <w:rPr>
          <w:rFonts w:ascii="Times New Roman" w:hAnsi="Times New Roman" w:eastAsia="方正小标宋_GBK" w:cs="Times New Roman"/>
          <w:sz w:val="32"/>
          <w:szCs w:val="32"/>
        </w:rPr>
      </w:pPr>
      <w:r>
        <w:rPr>
          <w:rFonts w:hint="eastAsia" w:ascii="Times New Roman" w:hAnsi="Times New Roman" w:eastAsia="方正小标宋_GBK" w:cs="方正小标宋_GBK"/>
          <w:sz w:val="32"/>
          <w:szCs w:val="32"/>
        </w:rPr>
        <w:t>部门机构设置情况</w:t>
      </w:r>
    </w:p>
    <w:tbl>
      <w:tblPr>
        <w:tblStyle w:val="6"/>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317"/>
        <w:gridCol w:w="1134"/>
        <w:gridCol w:w="1276"/>
        <w:gridCol w:w="2902"/>
      </w:tblGrid>
      <w:tr w14:paraId="448E8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317" w:type="dxa"/>
            <w:vMerge w:val="restart"/>
            <w:vAlign w:val="center"/>
          </w:tcPr>
          <w:p w14:paraId="4A146497">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单位名称</w:t>
            </w:r>
          </w:p>
        </w:tc>
        <w:tc>
          <w:tcPr>
            <w:tcW w:w="1134" w:type="dxa"/>
            <w:vMerge w:val="restart"/>
            <w:vAlign w:val="center"/>
          </w:tcPr>
          <w:p w14:paraId="2D078549">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单位性质</w:t>
            </w:r>
          </w:p>
        </w:tc>
        <w:tc>
          <w:tcPr>
            <w:tcW w:w="1276" w:type="dxa"/>
            <w:vMerge w:val="restart"/>
            <w:vAlign w:val="center"/>
          </w:tcPr>
          <w:p w14:paraId="311E3EE6">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单位规格</w:t>
            </w:r>
          </w:p>
        </w:tc>
        <w:tc>
          <w:tcPr>
            <w:tcW w:w="2902" w:type="dxa"/>
            <w:vMerge w:val="restart"/>
            <w:vAlign w:val="center"/>
          </w:tcPr>
          <w:p w14:paraId="0236D328">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经费保障形式</w:t>
            </w:r>
          </w:p>
        </w:tc>
      </w:tr>
      <w:tr w14:paraId="3EBE4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317" w:type="dxa"/>
            <w:vMerge w:val="continue"/>
            <w:vAlign w:val="center"/>
          </w:tcPr>
          <w:p w14:paraId="70365B91">
            <w:pPr>
              <w:spacing w:line="300" w:lineRule="exact"/>
              <w:jc w:val="left"/>
              <w:outlineLvl w:val="0"/>
              <w:rPr>
                <w:rFonts w:ascii="Times New Roman" w:hAnsi="Times New Roman" w:eastAsia="宋体" w:cs="Times New Roman"/>
              </w:rPr>
            </w:pPr>
          </w:p>
        </w:tc>
        <w:tc>
          <w:tcPr>
            <w:tcW w:w="1134" w:type="dxa"/>
            <w:vMerge w:val="continue"/>
            <w:vAlign w:val="center"/>
          </w:tcPr>
          <w:p w14:paraId="65B05561">
            <w:pPr>
              <w:spacing w:line="300" w:lineRule="exact"/>
              <w:jc w:val="left"/>
              <w:outlineLvl w:val="0"/>
              <w:rPr>
                <w:rFonts w:ascii="Times New Roman" w:hAnsi="Times New Roman" w:eastAsia="宋体" w:cs="Times New Roman"/>
              </w:rPr>
            </w:pPr>
          </w:p>
        </w:tc>
        <w:tc>
          <w:tcPr>
            <w:tcW w:w="1276" w:type="dxa"/>
            <w:vMerge w:val="continue"/>
            <w:vAlign w:val="center"/>
          </w:tcPr>
          <w:p w14:paraId="2522B505">
            <w:pPr>
              <w:spacing w:line="300" w:lineRule="exact"/>
              <w:jc w:val="left"/>
              <w:outlineLvl w:val="0"/>
              <w:rPr>
                <w:rFonts w:ascii="Times New Roman" w:hAnsi="Times New Roman" w:eastAsia="宋体" w:cs="Times New Roman"/>
              </w:rPr>
            </w:pPr>
          </w:p>
        </w:tc>
        <w:tc>
          <w:tcPr>
            <w:tcW w:w="2902" w:type="dxa"/>
            <w:vMerge w:val="continue"/>
            <w:vAlign w:val="center"/>
          </w:tcPr>
          <w:p w14:paraId="71A5D7E8">
            <w:pPr>
              <w:spacing w:line="300" w:lineRule="exact"/>
              <w:jc w:val="left"/>
              <w:outlineLvl w:val="0"/>
              <w:rPr>
                <w:rFonts w:ascii="Times New Roman" w:hAnsi="Times New Roman" w:eastAsia="宋体" w:cs="Times New Roman"/>
              </w:rPr>
            </w:pPr>
          </w:p>
        </w:tc>
      </w:tr>
      <w:tr w14:paraId="180B8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9" w:hRule="atLeast"/>
          <w:jc w:val="center"/>
        </w:trPr>
        <w:tc>
          <w:tcPr>
            <w:tcW w:w="3317" w:type="dxa"/>
            <w:vAlign w:val="center"/>
          </w:tcPr>
          <w:p w14:paraId="0ECDFD22">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成安县发展和改革局</w:t>
            </w:r>
          </w:p>
        </w:tc>
        <w:tc>
          <w:tcPr>
            <w:tcW w:w="1134" w:type="dxa"/>
            <w:vAlign w:val="center"/>
          </w:tcPr>
          <w:p w14:paraId="03DCB6DC">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行政</w:t>
            </w:r>
          </w:p>
        </w:tc>
        <w:tc>
          <w:tcPr>
            <w:tcW w:w="1276" w:type="dxa"/>
            <w:vAlign w:val="center"/>
          </w:tcPr>
          <w:p w14:paraId="44C8689E">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正科</w:t>
            </w:r>
          </w:p>
        </w:tc>
        <w:tc>
          <w:tcPr>
            <w:tcW w:w="2902" w:type="dxa"/>
            <w:vAlign w:val="center"/>
          </w:tcPr>
          <w:p w14:paraId="5F238E2A">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财政性资全额补助</w:t>
            </w:r>
          </w:p>
        </w:tc>
      </w:tr>
      <w:tr w14:paraId="7A356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1" w:hRule="atLeast"/>
          <w:jc w:val="center"/>
        </w:trPr>
        <w:tc>
          <w:tcPr>
            <w:tcW w:w="3317" w:type="dxa"/>
            <w:vAlign w:val="center"/>
          </w:tcPr>
          <w:p w14:paraId="5CC01EA8">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粮食和物资储备局</w:t>
            </w:r>
          </w:p>
        </w:tc>
        <w:tc>
          <w:tcPr>
            <w:tcW w:w="1134" w:type="dxa"/>
            <w:vAlign w:val="center"/>
          </w:tcPr>
          <w:p w14:paraId="3B7C65FC">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事业</w:t>
            </w:r>
          </w:p>
        </w:tc>
        <w:tc>
          <w:tcPr>
            <w:tcW w:w="1276" w:type="dxa"/>
            <w:vAlign w:val="center"/>
          </w:tcPr>
          <w:p w14:paraId="5F119955">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正科</w:t>
            </w:r>
          </w:p>
        </w:tc>
        <w:tc>
          <w:tcPr>
            <w:tcW w:w="2902" w:type="dxa"/>
            <w:vAlign w:val="center"/>
          </w:tcPr>
          <w:p w14:paraId="567F70FD">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财政性资全额补助</w:t>
            </w:r>
          </w:p>
        </w:tc>
      </w:tr>
      <w:tr w14:paraId="51D1E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5" w:hRule="atLeast"/>
          <w:jc w:val="center"/>
        </w:trPr>
        <w:tc>
          <w:tcPr>
            <w:tcW w:w="3317" w:type="dxa"/>
            <w:vAlign w:val="center"/>
          </w:tcPr>
          <w:p w14:paraId="2620A791">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商务局</w:t>
            </w:r>
          </w:p>
        </w:tc>
        <w:tc>
          <w:tcPr>
            <w:tcW w:w="1134" w:type="dxa"/>
            <w:vAlign w:val="center"/>
          </w:tcPr>
          <w:p w14:paraId="6D3DB8E2">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事业</w:t>
            </w:r>
          </w:p>
        </w:tc>
        <w:tc>
          <w:tcPr>
            <w:tcW w:w="1276" w:type="dxa"/>
            <w:vAlign w:val="center"/>
          </w:tcPr>
          <w:p w14:paraId="033978A2">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正科</w:t>
            </w:r>
          </w:p>
        </w:tc>
        <w:tc>
          <w:tcPr>
            <w:tcW w:w="2902" w:type="dxa"/>
            <w:vAlign w:val="center"/>
          </w:tcPr>
          <w:p w14:paraId="35DD5BB4">
            <w:pPr>
              <w:spacing w:line="300" w:lineRule="exact"/>
              <w:jc w:val="center"/>
              <w:rPr>
                <w:rFonts w:ascii="Times New Roman" w:hAnsi="Times New Roman" w:eastAsia="方正书宋_GBK" w:cs="方正书宋_GBK"/>
                <w:bCs/>
              </w:rPr>
            </w:pPr>
            <w:r>
              <w:rPr>
                <w:rFonts w:hint="eastAsia" w:ascii="Times New Roman" w:hAnsi="Times New Roman" w:eastAsia="方正书宋_GBK" w:cs="方正书宋_GBK"/>
                <w:bCs/>
              </w:rPr>
              <w:t>财政性资全额补助</w:t>
            </w:r>
          </w:p>
        </w:tc>
      </w:tr>
    </w:tbl>
    <w:p w14:paraId="1FDD8287">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成安县发展和改革局，预算编码是303，内设3个内部机构。</w:t>
      </w:r>
    </w:p>
    <w:p w14:paraId="0A26B2D1">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1、粮食和物资储备局</w:t>
      </w:r>
    </w:p>
    <w:p w14:paraId="2EE469D8">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 xml:space="preserve">主要负责全县粮食流通和物资储备工作。 </w:t>
      </w:r>
    </w:p>
    <w:p w14:paraId="40D36DD4">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2、商务局</w:t>
      </w:r>
    </w:p>
    <w:p w14:paraId="24CCD3AB">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主要负责全县的招商引资。</w:t>
      </w:r>
    </w:p>
    <w:p w14:paraId="36FCE435">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3、发改局</w:t>
      </w:r>
    </w:p>
    <w:p w14:paraId="4F32D650">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主要负责全县发展规划目标定制和全县经济运行监督检测。</w:t>
      </w:r>
    </w:p>
    <w:p w14:paraId="723F3B10">
      <w:pPr>
        <w:widowControl/>
        <w:spacing w:line="360" w:lineRule="auto"/>
        <w:ind w:firstLine="640" w:firstLineChars="200"/>
        <w:jc w:val="left"/>
        <w:rPr>
          <w:rFonts w:ascii="Calibri" w:hAnsi="Calibri" w:eastAsia="仿宋_GB2312" w:cs="Calibri"/>
          <w:b/>
          <w:kern w:val="0"/>
          <w:sz w:val="32"/>
          <w:szCs w:val="32"/>
        </w:rPr>
      </w:pPr>
      <w:r>
        <w:rPr>
          <w:rFonts w:hint="eastAsia" w:ascii="Calibri" w:hAnsi="Calibri" w:eastAsia="仿宋_GB2312" w:cs="Calibri"/>
          <w:b/>
          <w:kern w:val="0"/>
          <w:sz w:val="32"/>
          <w:szCs w:val="32"/>
        </w:rPr>
        <w:t>人员编制和领导职数</w:t>
      </w:r>
    </w:p>
    <w:p w14:paraId="6B5B68FA">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成安县发展和改革局，人员编制78名，其中领导职数9个。</w:t>
      </w:r>
    </w:p>
    <w:p w14:paraId="2AD1E0C4">
      <w:pPr>
        <w:spacing w:line="560" w:lineRule="exact"/>
        <w:ind w:firstLine="640"/>
        <w:rPr>
          <w:rFonts w:ascii="黑体" w:hAnsi="黑体" w:eastAsia="黑体" w:cs="Times New Roman"/>
          <w:sz w:val="32"/>
          <w:szCs w:val="32"/>
        </w:rPr>
      </w:pPr>
      <w:r>
        <w:rPr>
          <w:rFonts w:hint="eastAsia" w:ascii="黑体" w:hAnsi="黑体" w:eastAsia="黑体" w:cs="黑体"/>
          <w:sz w:val="32"/>
          <w:szCs w:val="32"/>
        </w:rPr>
        <w:t>二、部门预算安排的总体情况</w:t>
      </w:r>
    </w:p>
    <w:p w14:paraId="57467F9D">
      <w:pPr>
        <w:spacing w:line="560" w:lineRule="exact"/>
        <w:ind w:firstLine="640"/>
        <w:rPr>
          <w:rFonts w:ascii="仿宋" w:hAnsi="仿宋" w:eastAsia="仿宋" w:cs="仿宋"/>
          <w:bCs/>
          <w:kern w:val="0"/>
          <w:sz w:val="32"/>
          <w:szCs w:val="32"/>
        </w:rPr>
      </w:pPr>
      <w:r>
        <w:rPr>
          <w:rFonts w:hint="eastAsia" w:ascii="仿宋" w:hAnsi="仿宋" w:eastAsia="仿宋" w:cs="仿宋"/>
          <w:bCs/>
          <w:kern w:val="0"/>
          <w:sz w:val="32"/>
          <w:szCs w:val="32"/>
        </w:rPr>
        <w:t>按照预算管理有关规定，目前我部门预算的编制实行综合预算制度，即全部收入和支出都反映在预算中。</w:t>
      </w:r>
    </w:p>
    <w:p w14:paraId="5EAF0E0B">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1</w:t>
      </w:r>
      <w:r>
        <w:rPr>
          <w:rFonts w:hint="eastAsia" w:ascii="楷体" w:hAnsi="楷体" w:eastAsia="楷体" w:cs="楷体"/>
          <w:b/>
          <w:bCs/>
          <w:sz w:val="32"/>
          <w:szCs w:val="32"/>
        </w:rPr>
        <w:t>、收入说明</w:t>
      </w:r>
    </w:p>
    <w:p w14:paraId="44F7D241">
      <w:pPr>
        <w:ind w:firstLine="640" w:firstLineChars="200"/>
        <w:rPr>
          <w:rFonts w:ascii="宋体" w:hAnsi="宋体" w:eastAsia="宋体" w:cs="宋体"/>
          <w:kern w:val="0"/>
          <w:sz w:val="18"/>
          <w:szCs w:val="18"/>
        </w:rPr>
      </w:pPr>
      <w:r>
        <w:rPr>
          <w:rFonts w:ascii="仿宋" w:hAnsi="仿宋" w:eastAsia="仿宋" w:cs="仿宋"/>
          <w:bCs/>
          <w:kern w:val="0"/>
          <w:sz w:val="32"/>
          <w:szCs w:val="32"/>
        </w:rPr>
        <w:t>2021</w:t>
      </w:r>
      <w:r>
        <w:rPr>
          <w:rFonts w:hint="eastAsia" w:ascii="仿宋" w:hAnsi="仿宋" w:eastAsia="仿宋" w:cs="仿宋"/>
          <w:bCs/>
          <w:kern w:val="0"/>
          <w:sz w:val="32"/>
          <w:szCs w:val="32"/>
        </w:rPr>
        <w:t>年预算收入</w:t>
      </w:r>
      <w:r>
        <w:rPr>
          <w:rFonts w:hint="eastAsia" w:ascii="宋体" w:hAnsi="宋体" w:eastAsia="宋体" w:cs="宋体"/>
          <w:kern w:val="0"/>
          <w:sz w:val="32"/>
          <w:szCs w:val="32"/>
        </w:rPr>
        <w:t>14365.50</w:t>
      </w:r>
      <w:r>
        <w:rPr>
          <w:rFonts w:hint="eastAsia" w:ascii="仿宋" w:hAnsi="仿宋" w:eastAsia="仿宋" w:cs="仿宋"/>
          <w:bCs/>
          <w:kern w:val="0"/>
          <w:sz w:val="32"/>
          <w:szCs w:val="32"/>
        </w:rPr>
        <w:t>万元，其中：一般公共预算收入</w:t>
      </w:r>
      <w:r>
        <w:rPr>
          <w:rFonts w:hint="eastAsia" w:ascii="宋体" w:hAnsi="宋体" w:eastAsia="宋体" w:cs="宋体"/>
          <w:kern w:val="0"/>
          <w:sz w:val="32"/>
          <w:szCs w:val="32"/>
        </w:rPr>
        <w:t>14365.50</w:t>
      </w:r>
      <w:r>
        <w:rPr>
          <w:rFonts w:hint="eastAsia" w:ascii="仿宋" w:hAnsi="仿宋" w:eastAsia="仿宋" w:cs="仿宋"/>
          <w:bCs/>
          <w:kern w:val="0"/>
          <w:sz w:val="32"/>
          <w:szCs w:val="32"/>
        </w:rPr>
        <w:t>万元，政府性基金预算收入</w:t>
      </w:r>
      <w:r>
        <w:rPr>
          <w:rFonts w:hint="eastAsia" w:ascii="宋体" w:hAnsi="宋体" w:eastAsia="宋体" w:cs="宋体"/>
          <w:kern w:val="0"/>
          <w:sz w:val="32"/>
          <w:szCs w:val="32"/>
        </w:rPr>
        <w:t>0</w:t>
      </w:r>
      <w:r>
        <w:rPr>
          <w:rFonts w:hint="eastAsia" w:ascii="仿宋" w:hAnsi="仿宋" w:eastAsia="仿宋" w:cs="仿宋"/>
          <w:bCs/>
          <w:kern w:val="0"/>
          <w:sz w:val="32"/>
          <w:szCs w:val="32"/>
        </w:rPr>
        <w:t>万元，国有资本经营收入0万元，事业收入0万元，其他收入0万元。</w:t>
      </w:r>
    </w:p>
    <w:p w14:paraId="3880E0D6">
      <w:pPr>
        <w:spacing w:line="560" w:lineRule="exact"/>
        <w:ind w:firstLine="640"/>
        <w:rPr>
          <w:rFonts w:ascii="华文楷体" w:hAnsi="华文楷体" w:eastAsia="华文楷体" w:cs="仿宋"/>
          <w:b/>
          <w:bCs/>
          <w:kern w:val="0"/>
          <w:sz w:val="32"/>
          <w:szCs w:val="32"/>
        </w:rPr>
      </w:pPr>
      <w:r>
        <w:rPr>
          <w:rFonts w:ascii="华文楷体" w:hAnsi="华文楷体" w:eastAsia="华文楷体" w:cs="仿宋"/>
          <w:b/>
          <w:bCs/>
          <w:kern w:val="0"/>
          <w:sz w:val="32"/>
          <w:szCs w:val="32"/>
        </w:rPr>
        <w:t>2</w:t>
      </w:r>
      <w:r>
        <w:rPr>
          <w:rFonts w:hint="eastAsia" w:ascii="华文楷体" w:hAnsi="华文楷体" w:eastAsia="华文楷体" w:cs="仿宋"/>
          <w:b/>
          <w:bCs/>
          <w:kern w:val="0"/>
          <w:sz w:val="32"/>
          <w:szCs w:val="32"/>
        </w:rPr>
        <w:t>、支出说明</w:t>
      </w:r>
    </w:p>
    <w:p w14:paraId="5931EA28">
      <w:pPr>
        <w:ind w:firstLine="640" w:firstLineChars="200"/>
        <w:rPr>
          <w:rFonts w:ascii="宋体" w:hAnsi="宋体" w:eastAsia="宋体" w:cs="宋体"/>
          <w:kern w:val="0"/>
          <w:sz w:val="18"/>
          <w:szCs w:val="18"/>
        </w:rPr>
      </w:pPr>
      <w:r>
        <w:rPr>
          <w:rFonts w:ascii="仿宋" w:hAnsi="仿宋" w:eastAsia="仿宋" w:cs="仿宋"/>
          <w:bCs/>
          <w:kern w:val="0"/>
          <w:sz w:val="32"/>
          <w:szCs w:val="32"/>
        </w:rPr>
        <w:t>2021</w:t>
      </w:r>
      <w:r>
        <w:rPr>
          <w:rFonts w:hint="eastAsia" w:ascii="仿宋" w:hAnsi="仿宋" w:eastAsia="仿宋" w:cs="仿宋"/>
          <w:bCs/>
          <w:kern w:val="0"/>
          <w:sz w:val="32"/>
          <w:szCs w:val="32"/>
        </w:rPr>
        <w:t>年支出预算</w:t>
      </w:r>
      <w:r>
        <w:rPr>
          <w:rFonts w:hint="eastAsia" w:ascii="宋体" w:hAnsi="宋体" w:eastAsia="宋体" w:cs="宋体"/>
          <w:kern w:val="0"/>
          <w:sz w:val="32"/>
          <w:szCs w:val="32"/>
        </w:rPr>
        <w:t>14365.50</w:t>
      </w:r>
      <w:r>
        <w:rPr>
          <w:rFonts w:hint="eastAsia" w:ascii="仿宋" w:hAnsi="仿宋" w:eastAsia="仿宋" w:cs="仿宋"/>
          <w:bCs/>
          <w:kern w:val="0"/>
          <w:sz w:val="32"/>
          <w:szCs w:val="32"/>
        </w:rPr>
        <w:t>万元，其中基本支出</w:t>
      </w:r>
      <w:r>
        <w:rPr>
          <w:rFonts w:hint="eastAsia" w:ascii="宋体" w:hAnsi="宋体" w:eastAsia="宋体" w:cs="宋体"/>
          <w:kern w:val="0"/>
          <w:sz w:val="32"/>
          <w:szCs w:val="32"/>
        </w:rPr>
        <w:t>855.00</w:t>
      </w:r>
      <w:r>
        <w:rPr>
          <w:rFonts w:hint="eastAsia" w:ascii="仿宋" w:hAnsi="仿宋" w:eastAsia="仿宋" w:cs="仿宋"/>
          <w:bCs/>
          <w:kern w:val="0"/>
          <w:sz w:val="32"/>
          <w:szCs w:val="32"/>
        </w:rPr>
        <w:t>万元，包括人员经费794.96万元，日常公用经费60.04万元，项目支出</w:t>
      </w:r>
      <w:r>
        <w:rPr>
          <w:rFonts w:hint="eastAsia" w:ascii="宋体" w:hAnsi="宋体" w:eastAsia="宋体" w:cs="宋体"/>
          <w:kern w:val="0"/>
          <w:sz w:val="32"/>
          <w:szCs w:val="32"/>
        </w:rPr>
        <w:t>13510.50</w:t>
      </w:r>
      <w:r>
        <w:rPr>
          <w:rFonts w:hint="eastAsia" w:ascii="仿宋" w:hAnsi="仿宋" w:eastAsia="仿宋" w:cs="仿宋"/>
          <w:bCs/>
          <w:kern w:val="0"/>
          <w:sz w:val="32"/>
          <w:szCs w:val="32"/>
        </w:rPr>
        <w:t>万元</w:t>
      </w:r>
      <w:r>
        <w:rPr>
          <w:rFonts w:hint="eastAsia" w:ascii="Times New Roman" w:hAnsi="Times New Roman" w:eastAsia="方正仿宋_GBK" w:cs="方正仿宋_GBK"/>
          <w:sz w:val="32"/>
          <w:szCs w:val="32"/>
        </w:rPr>
        <w:t>。</w:t>
      </w:r>
    </w:p>
    <w:p w14:paraId="4EFD69AA">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3</w:t>
      </w:r>
      <w:r>
        <w:rPr>
          <w:rFonts w:hint="eastAsia" w:ascii="楷体" w:hAnsi="楷体" w:eastAsia="楷体" w:cs="楷体"/>
          <w:b/>
          <w:bCs/>
          <w:sz w:val="32"/>
          <w:szCs w:val="32"/>
        </w:rPr>
        <w:t>、比上年增减变化情况</w:t>
      </w:r>
    </w:p>
    <w:p w14:paraId="6FD905C1">
      <w:pPr>
        <w:widowControl/>
        <w:spacing w:line="360" w:lineRule="auto"/>
        <w:ind w:firstLine="640" w:firstLineChars="200"/>
        <w:jc w:val="left"/>
        <w:rPr>
          <w:rFonts w:ascii="仿宋_GB2312" w:hAnsi="Calibri" w:eastAsia="仿宋_GB2312" w:cs="仿宋_GB2312"/>
          <w:kern w:val="0"/>
          <w:sz w:val="32"/>
          <w:szCs w:val="32"/>
        </w:rPr>
      </w:pPr>
      <w:r>
        <w:rPr>
          <w:rFonts w:ascii="宋体" w:hAnsi="宋体" w:eastAsia="宋体" w:cs="Times New Roman"/>
          <w:sz w:val="32"/>
          <w:szCs w:val="32"/>
        </w:rPr>
        <w:t>2021</w:t>
      </w:r>
      <w:r>
        <w:rPr>
          <w:rFonts w:hint="eastAsia" w:ascii="仿宋" w:hAnsi="仿宋" w:eastAsia="仿宋" w:cs="仿宋"/>
          <w:bCs/>
          <w:kern w:val="0"/>
          <w:sz w:val="32"/>
          <w:szCs w:val="32"/>
        </w:rPr>
        <w:t>年预算收支安排</w:t>
      </w:r>
      <w:r>
        <w:rPr>
          <w:rFonts w:hint="eastAsia" w:ascii="宋体" w:hAnsi="宋体" w:eastAsia="宋体" w:cs="宋体"/>
          <w:kern w:val="0"/>
          <w:sz w:val="32"/>
          <w:szCs w:val="32"/>
        </w:rPr>
        <w:t>14365.50</w:t>
      </w:r>
      <w:r>
        <w:rPr>
          <w:rFonts w:hint="eastAsia" w:ascii="仿宋" w:hAnsi="仿宋" w:eastAsia="仿宋" w:cs="仿宋"/>
          <w:bCs/>
          <w:kern w:val="0"/>
          <w:sz w:val="32"/>
          <w:szCs w:val="32"/>
        </w:rPr>
        <w:t>万元，较</w:t>
      </w:r>
      <w:r>
        <w:rPr>
          <w:rFonts w:ascii="仿宋" w:hAnsi="仿宋" w:eastAsia="仿宋" w:cs="仿宋"/>
          <w:bCs/>
          <w:kern w:val="0"/>
          <w:sz w:val="32"/>
          <w:szCs w:val="32"/>
        </w:rPr>
        <w:t>20</w:t>
      </w:r>
      <w:r>
        <w:rPr>
          <w:rFonts w:hint="eastAsia" w:ascii="仿宋" w:hAnsi="仿宋" w:eastAsia="仿宋" w:cs="仿宋"/>
          <w:bCs/>
          <w:kern w:val="0"/>
          <w:sz w:val="32"/>
          <w:szCs w:val="32"/>
        </w:rPr>
        <w:t>20年预算增加8423.75万元，其中：基本支出增加305.41万元，项目增加8510.5万元，主要因机构改革增加项目和人员工资及经费支出。</w:t>
      </w:r>
    </w:p>
    <w:p w14:paraId="210D1EFA">
      <w:pPr>
        <w:autoSpaceDE w:val="0"/>
        <w:autoSpaceDN w:val="0"/>
        <w:adjustRightInd w:val="0"/>
        <w:spacing w:line="560" w:lineRule="exact"/>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三、机关运行经费安排情况</w:t>
      </w:r>
    </w:p>
    <w:p w14:paraId="1AED41FB">
      <w:pPr>
        <w:autoSpaceDE w:val="0"/>
        <w:autoSpaceDN w:val="0"/>
        <w:adjustRightInd w:val="0"/>
        <w:spacing w:line="560" w:lineRule="exact"/>
        <w:ind w:left="198"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机关运行经费共计安排60.04万元，主要用于办公区的日常维修、办公用房水电费、邮电费、办公用房取暖费、办公用房物业管理费等日常运行支出。</w:t>
      </w:r>
    </w:p>
    <w:p w14:paraId="65A827C4">
      <w:pPr>
        <w:autoSpaceDE w:val="0"/>
        <w:autoSpaceDN w:val="0"/>
        <w:adjustRightInd w:val="0"/>
        <w:spacing w:line="560" w:lineRule="exact"/>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四、财政拨款“三公”经费预算情况及增减变化原因</w:t>
      </w:r>
    </w:p>
    <w:p w14:paraId="5CB76829">
      <w:pPr>
        <w:autoSpaceDE w:val="0"/>
        <w:autoSpaceDN w:val="0"/>
        <w:adjustRightInd w:val="0"/>
        <w:spacing w:line="560" w:lineRule="exact"/>
        <w:ind w:left="198" w:firstLine="640" w:firstLineChars="200"/>
        <w:jc w:val="left"/>
        <w:rPr>
          <w:rFonts w:ascii="仿宋" w:hAnsi="仿宋" w:eastAsia="仿宋" w:cs="仿宋"/>
          <w:bCs/>
          <w:kern w:val="0"/>
          <w:sz w:val="32"/>
          <w:szCs w:val="32"/>
        </w:rPr>
      </w:pPr>
      <w:r>
        <w:rPr>
          <w:rFonts w:ascii="仿宋" w:hAnsi="仿宋" w:eastAsia="仿宋" w:cs="仿宋"/>
          <w:bCs/>
          <w:kern w:val="0"/>
          <w:sz w:val="32"/>
          <w:szCs w:val="32"/>
        </w:rPr>
        <w:t>20</w:t>
      </w:r>
      <w:r>
        <w:rPr>
          <w:rFonts w:hint="eastAsia" w:ascii="仿宋" w:hAnsi="仿宋" w:eastAsia="仿宋" w:cs="仿宋"/>
          <w:bCs/>
          <w:kern w:val="0"/>
          <w:sz w:val="32"/>
          <w:szCs w:val="32"/>
        </w:rPr>
        <w:t>21年，我单位“三公”经费预算安排4.5万元，其中因公出国（境）费0万元与去年持平；公务用车购置及运维费4.5万元（其中：公务用车购置费为0万元，公务用车运行费4.5万元</w:t>
      </w:r>
      <w:r>
        <w:rPr>
          <w:rFonts w:ascii="仿宋" w:hAnsi="仿宋" w:eastAsia="仿宋" w:cs="仿宋"/>
          <w:bCs/>
          <w:kern w:val="0"/>
          <w:sz w:val="32"/>
          <w:szCs w:val="32"/>
        </w:rPr>
        <w:t>)</w:t>
      </w:r>
      <w:r>
        <w:rPr>
          <w:rFonts w:hint="eastAsia" w:ascii="仿宋" w:hAnsi="仿宋" w:eastAsia="仿宋" w:cs="仿宋"/>
          <w:bCs/>
          <w:kern w:val="0"/>
          <w:sz w:val="32"/>
          <w:szCs w:val="32"/>
        </w:rPr>
        <w:t>；公务接待费0万元与去年持平。公务用车维护费2021年与2020年持平。</w:t>
      </w:r>
    </w:p>
    <w:p w14:paraId="5A605203">
      <w:pPr>
        <w:spacing w:line="560" w:lineRule="exact"/>
        <w:ind w:firstLine="640"/>
        <w:rPr>
          <w:rFonts w:ascii="黑体" w:hAnsi="黑体" w:eastAsia="黑体" w:cs="Times New Roman"/>
          <w:sz w:val="32"/>
          <w:szCs w:val="32"/>
        </w:rPr>
      </w:pPr>
      <w:r>
        <w:rPr>
          <w:rFonts w:hint="eastAsia" w:ascii="黑体" w:hAnsi="黑体" w:eastAsia="黑体" w:cs="黑体"/>
          <w:sz w:val="32"/>
          <w:szCs w:val="32"/>
        </w:rPr>
        <w:t>五、绩效预算信息</w:t>
      </w:r>
    </w:p>
    <w:p w14:paraId="01EF9920">
      <w:pPr>
        <w:widowControl/>
        <w:spacing w:line="360" w:lineRule="atLeast"/>
        <w:ind w:firstLine="640" w:firstLineChars="200"/>
        <w:rPr>
          <w:rFonts w:ascii="仿宋" w:hAnsi="仿宋" w:eastAsia="仿宋" w:cs="仿宋"/>
          <w:bCs/>
          <w:kern w:val="0"/>
          <w:sz w:val="32"/>
          <w:szCs w:val="32"/>
        </w:rPr>
      </w:pPr>
      <w:r>
        <w:rPr>
          <w:rFonts w:hint="eastAsia" w:ascii="仿宋" w:hAnsi="仿宋" w:eastAsia="仿宋" w:cs="仿宋"/>
          <w:bCs/>
          <w:kern w:val="0"/>
          <w:sz w:val="32"/>
          <w:szCs w:val="32"/>
        </w:rPr>
        <w:t>(一)总体绩效目标</w:t>
      </w:r>
    </w:p>
    <w:p w14:paraId="4514B29F">
      <w:pPr>
        <w:widowControl/>
        <w:spacing w:line="360" w:lineRule="atLeast"/>
        <w:ind w:firstLine="640" w:firstLineChars="200"/>
        <w:rPr>
          <w:rFonts w:ascii="仿宋" w:hAnsi="仿宋" w:eastAsia="仿宋" w:cs="仿宋"/>
          <w:bCs/>
          <w:kern w:val="0"/>
          <w:sz w:val="32"/>
          <w:szCs w:val="32"/>
        </w:rPr>
      </w:pPr>
      <w:r>
        <w:rPr>
          <w:rFonts w:hint="eastAsia" w:ascii="仿宋" w:hAnsi="仿宋" w:eastAsia="仿宋" w:cs="仿宋"/>
          <w:bCs/>
          <w:kern w:val="0"/>
          <w:sz w:val="32"/>
          <w:szCs w:val="32"/>
        </w:rPr>
        <w:t>增强规划和计划的前瞻性、科学性、可操作性；规划目标全面、先进、可行；组织落实措施得力，调度有序。确保重点领域和区域经济社会规划与国民经济和社会发展规划、计划的衔接和协调；与北京、天津开展战略合作，推动合作协议的落实，深化拓展合作领域，实质性推动一批重大合作事项进展；加强项目监管，保证建设项目工程质量和建设资金安全及有效使用，维护国家和社会公共利益。处罚项目建设中重大突出违法问题；招投标管理制度完善，操作实施规范，应依法必须招投标项目覆盖全面；行业协会管理体制科学规范，行业协会与政府、企业间桥梁、纽带、参谋、助手作用充分发挥。</w:t>
      </w:r>
    </w:p>
    <w:p w14:paraId="3CD4D1BC">
      <w:pPr>
        <w:widowControl/>
        <w:spacing w:line="360" w:lineRule="atLeast"/>
        <w:ind w:firstLine="640" w:firstLineChars="200"/>
        <w:rPr>
          <w:rFonts w:ascii="仿宋" w:hAnsi="仿宋" w:eastAsia="仿宋" w:cs="宋体"/>
          <w:color w:val="000000"/>
          <w:kern w:val="0"/>
          <w:sz w:val="32"/>
          <w:szCs w:val="32"/>
        </w:rPr>
      </w:pPr>
      <w:r>
        <w:rPr>
          <w:rFonts w:hint="eastAsia" w:ascii="仿宋" w:hAnsi="仿宋" w:eastAsia="仿宋" w:cs="宋体"/>
          <w:color w:val="000000"/>
          <w:kern w:val="0"/>
          <w:sz w:val="32"/>
          <w:szCs w:val="32"/>
        </w:rPr>
        <w:t>（二</w:t>
      </w:r>
      <w:r>
        <w:rPr>
          <w:rFonts w:ascii="仿宋" w:hAnsi="仿宋" w:eastAsia="仿宋" w:cs="宋体"/>
          <w:color w:val="000000"/>
          <w:kern w:val="0"/>
          <w:sz w:val="32"/>
          <w:szCs w:val="32"/>
        </w:rPr>
        <w:t>）</w:t>
      </w:r>
      <w:r>
        <w:rPr>
          <w:rFonts w:hint="eastAsia" w:ascii="仿宋" w:hAnsi="仿宋" w:eastAsia="仿宋" w:cs="宋体"/>
          <w:color w:val="000000"/>
          <w:kern w:val="0"/>
          <w:sz w:val="32"/>
          <w:szCs w:val="32"/>
        </w:rPr>
        <w:t>绩效目标</w:t>
      </w:r>
    </w:p>
    <w:p w14:paraId="783A7A08">
      <w:pPr>
        <w:widowControl/>
        <w:spacing w:line="360" w:lineRule="atLeast"/>
        <w:ind w:firstLine="640" w:firstLineChars="200"/>
        <w:rPr>
          <w:rFonts w:ascii="仿宋" w:hAnsi="仿宋" w:eastAsia="仿宋" w:cs="宋体"/>
          <w:color w:val="000000"/>
          <w:kern w:val="0"/>
          <w:sz w:val="32"/>
          <w:szCs w:val="32"/>
        </w:rPr>
      </w:pPr>
      <w:r>
        <w:rPr>
          <w:rFonts w:hint="eastAsia" w:ascii="仿宋" w:hAnsi="仿宋" w:eastAsia="仿宋" w:cs="宋体"/>
          <w:color w:val="000000"/>
          <w:kern w:val="0"/>
          <w:sz w:val="32"/>
          <w:szCs w:val="32"/>
        </w:rPr>
        <w:t>经济社会发展计划切实体现县委、县政府决策目标和部署确保重点领域和区域经济社会规划与国民经济和社会发展规划、计划的衔接和协调稳步提高1、全县利用外资、境外投资规模和水平。引进县外资金技术人才明显增加；2、推进经济社会健康协调发展，提升全县经济、装备动员能力。协调推进文化、教育、体育、卫生、养老、社会救助等基本公共服务体系建设，促进全县社会公共服务均等化；3、推进全县统一的信用信息数据库和共享、公示平台；4、与北京、天津开展战略合作，推动合作协议的落实，深化拓展合作领域，实质性推动一批重大合作事项进展。</w:t>
      </w:r>
    </w:p>
    <w:p w14:paraId="4CEFB43E">
      <w:pPr>
        <w:widowControl/>
        <w:spacing w:line="360" w:lineRule="atLeast"/>
        <w:ind w:firstLine="160" w:firstLineChars="50"/>
        <w:rPr>
          <w:rFonts w:ascii="仿宋" w:hAnsi="仿宋" w:eastAsia="仿宋" w:cs="宋体"/>
          <w:color w:val="000000"/>
          <w:kern w:val="0"/>
          <w:sz w:val="32"/>
          <w:szCs w:val="32"/>
        </w:rPr>
      </w:pPr>
      <w:r>
        <w:rPr>
          <w:rFonts w:hint="eastAsia" w:ascii="仿宋" w:hAnsi="仿宋" w:eastAsia="仿宋" w:cs="宋体"/>
          <w:color w:val="000000"/>
          <w:kern w:val="0"/>
          <w:sz w:val="32"/>
          <w:szCs w:val="32"/>
        </w:rPr>
        <w:t>5、加强区域经济发展管理工作，提高县域经济发展水平，改善重点流域水环境；6、掌握我县农业资源现状及动态变化，培育壮大我县战略性新兴产业，提高自主创新能力，促进产业转型升级；7、加快物流产业聚集区建设；争取省和国家经贸流通领域和服务业产业发展引导资金；加快物流产业聚集区、已列入物流发展规划的重点项目、农产品物流项目交易设施改造升级及大型冷链物流项目建设；</w:t>
      </w:r>
    </w:p>
    <w:p w14:paraId="614CD7BE">
      <w:pPr>
        <w:widowControl/>
        <w:spacing w:line="360" w:lineRule="atLeast"/>
        <w:ind w:firstLine="160" w:firstLineChars="50"/>
        <w:rPr>
          <w:rFonts w:ascii="仿宋" w:hAnsi="仿宋" w:eastAsia="仿宋" w:cs="宋体"/>
          <w:color w:val="000000"/>
          <w:kern w:val="0"/>
          <w:sz w:val="32"/>
          <w:szCs w:val="32"/>
        </w:rPr>
      </w:pPr>
      <w:r>
        <w:rPr>
          <w:rFonts w:hint="eastAsia" w:ascii="仿宋" w:hAnsi="仿宋" w:eastAsia="仿宋" w:cs="宋体"/>
          <w:color w:val="000000"/>
          <w:kern w:val="0"/>
          <w:sz w:val="32"/>
          <w:szCs w:val="32"/>
        </w:rPr>
        <w:t>8、发挥专项资金的引导和激励的作用，通过采取补助、奖励等方式调动企业节能降耗的积极性，确保完成节能、降碳目标任务；电能使用效率不断提高；积极助推节能减排和大气污染防治；确保实现年度单位GDP能耗下降率；9、按时编制并提交年度预算内基建项目安排建议，并落实到具体项目；足额保证县委、县政府确定的重点基建投资项目；落实与中央、省投资项目配套；及时下达预算内基建项目投资计划，提高县级政务设施服务保障能力；10、承办县委、县政府交办的其它事项。</w:t>
      </w:r>
    </w:p>
    <w:p w14:paraId="1DB5BC26">
      <w:pPr>
        <w:autoSpaceDE w:val="0"/>
        <w:autoSpaceDN w:val="0"/>
        <w:adjustRightInd w:val="0"/>
        <w:spacing w:line="560" w:lineRule="exact"/>
        <w:ind w:left="198"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 xml:space="preserve">（三）工作保障措施 </w:t>
      </w:r>
    </w:p>
    <w:p w14:paraId="56DE1A1B">
      <w:pPr>
        <w:autoSpaceDE w:val="0"/>
        <w:autoSpaceDN w:val="0"/>
        <w:adjustRightInd w:val="0"/>
        <w:spacing w:line="560" w:lineRule="exact"/>
        <w:ind w:left="198"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1、严格</w:t>
      </w:r>
      <w:r>
        <w:rPr>
          <w:rFonts w:hint="eastAsia" w:ascii="仿宋" w:hAnsi="仿宋" w:eastAsia="仿宋"/>
          <w:sz w:val="32"/>
          <w:szCs w:val="32"/>
        </w:rPr>
        <w:t>落实县委县政府决策部署，依据发展规划和年度计划，确保重点领域和区域经济社会规划与国民经济和社会发展规划衔接和协调；2、增强规划前瞻性、科学性、可操作性；规划目标全面、先进、可行；组织落实措施得力，调度有序；3、配合国家首都经济圈发展规划，做好与国家规划的有效衔接；4、加强重点项目谋划、协调、督导，推动重点项目顺利实施。加强项目监管，保证建设项目工程质量和建设资金安全及有效使用，维护国家和社会公共利益。</w:t>
      </w:r>
    </w:p>
    <w:p w14:paraId="280343DB">
      <w:pPr>
        <w:autoSpaceDE w:val="0"/>
        <w:autoSpaceDN w:val="0"/>
        <w:adjustRightInd w:val="0"/>
        <w:spacing w:line="560" w:lineRule="exact"/>
        <w:ind w:left="198" w:firstLine="640" w:firstLineChars="200"/>
        <w:jc w:val="left"/>
        <w:rPr>
          <w:rFonts w:ascii="仿宋" w:hAnsi="仿宋" w:eastAsia="仿宋" w:cs="仿宋"/>
          <w:bCs/>
          <w:kern w:val="0"/>
          <w:sz w:val="32"/>
          <w:szCs w:val="32"/>
        </w:rPr>
      </w:pPr>
    </w:p>
    <w:p w14:paraId="2FD7CEEC">
      <w:pPr>
        <w:autoSpaceDE w:val="0"/>
        <w:autoSpaceDN w:val="0"/>
        <w:adjustRightInd w:val="0"/>
        <w:spacing w:line="560" w:lineRule="exact"/>
        <w:ind w:left="198" w:firstLine="640" w:firstLineChars="200"/>
        <w:jc w:val="center"/>
        <w:rPr>
          <w:rFonts w:ascii="黑体" w:hAnsi="黑体" w:eastAsia="黑体" w:cs="仿宋"/>
          <w:bCs/>
          <w:kern w:val="0"/>
          <w:sz w:val="32"/>
          <w:szCs w:val="32"/>
        </w:rPr>
      </w:pPr>
      <w:r>
        <w:rPr>
          <w:rFonts w:hint="eastAsia" w:ascii="黑体" w:hAnsi="黑体" w:eastAsia="黑体" w:cs="仿宋"/>
          <w:bCs/>
          <w:kern w:val="0"/>
          <w:sz w:val="32"/>
          <w:szCs w:val="32"/>
        </w:rPr>
        <w:t>部门职责-工作活动绩效目标</w:t>
      </w:r>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33FAD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4500FDEF">
            <w:pPr>
              <w:spacing w:line="300" w:lineRule="exact"/>
              <w:ind w:firstLine="480" w:firstLineChars="200"/>
              <w:jc w:val="left"/>
              <w:rPr>
                <w:rFonts w:ascii="方正小标宋_GBK" w:eastAsia="方正小标宋_GBK"/>
                <w:sz w:val="24"/>
              </w:rPr>
            </w:pPr>
            <w:r>
              <w:rPr>
                <w:rFonts w:ascii="方正小标宋_GBK" w:eastAsia="方正小标宋_GBK"/>
                <w:sz w:val="24"/>
              </w:rPr>
              <w:t>303</w:t>
            </w:r>
            <w:r>
              <w:rPr>
                <w:rFonts w:hint="eastAsia" w:ascii="方正小标宋_GBK" w:eastAsia="方正小标宋_GBK"/>
                <w:sz w:val="24"/>
              </w:rPr>
              <w:t>成安县发展和改革局</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10F3C4F5">
            <w:pPr>
              <w:spacing w:line="300" w:lineRule="exact"/>
              <w:ind w:firstLine="480" w:firstLineChars="200"/>
              <w:jc w:val="left"/>
              <w:rPr>
                <w:rFonts w:ascii="方正书宋_GBK" w:eastAsia="方正书宋_GBK"/>
                <w:sz w:val="24"/>
              </w:rPr>
            </w:pPr>
            <w:r>
              <w:rPr>
                <w:rFonts w:hint="eastAsia" w:ascii="方正书宋_GBK" w:eastAsia="方正书宋_GBK"/>
                <w:sz w:val="24"/>
              </w:rPr>
              <w:t>单位：万元</w:t>
            </w:r>
          </w:p>
        </w:tc>
      </w:tr>
      <w:tr w14:paraId="31FC5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653DD3B7">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5E8CADD5">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6C72A54A">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68A49AC8">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14:paraId="22436667">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14:paraId="2C09410C">
            <w:pPr>
              <w:spacing w:line="300" w:lineRule="exact"/>
              <w:jc w:val="center"/>
              <w:rPr>
                <w:rFonts w:ascii="方正书宋_GBK" w:eastAsia="方正书宋_GBK"/>
                <w:b/>
              </w:rPr>
            </w:pPr>
            <w:r>
              <w:rPr>
                <w:rFonts w:hint="eastAsia" w:ascii="方正书宋_GBK" w:eastAsia="方正书宋_GBK"/>
                <w:b/>
              </w:rPr>
              <w:t>评价标准</w:t>
            </w:r>
          </w:p>
        </w:tc>
      </w:tr>
      <w:tr w14:paraId="3124A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2F480AFA">
            <w:pPr>
              <w:spacing w:line="300" w:lineRule="exact"/>
              <w:ind w:firstLine="420" w:firstLineChars="200"/>
              <w:jc w:val="left"/>
              <w:outlineLvl w:val="0"/>
            </w:pPr>
          </w:p>
        </w:tc>
        <w:tc>
          <w:tcPr>
            <w:tcW w:w="1276" w:type="dxa"/>
            <w:vMerge w:val="continue"/>
            <w:shd w:val="clear" w:color="auto" w:fill="auto"/>
            <w:vAlign w:val="center"/>
          </w:tcPr>
          <w:p w14:paraId="0A6E77B6">
            <w:pPr>
              <w:spacing w:line="300" w:lineRule="exact"/>
              <w:ind w:firstLine="420" w:firstLineChars="200"/>
              <w:jc w:val="left"/>
              <w:outlineLvl w:val="0"/>
            </w:pPr>
          </w:p>
        </w:tc>
        <w:tc>
          <w:tcPr>
            <w:tcW w:w="2976" w:type="dxa"/>
            <w:vMerge w:val="continue"/>
            <w:shd w:val="clear" w:color="auto" w:fill="auto"/>
            <w:vAlign w:val="center"/>
          </w:tcPr>
          <w:p w14:paraId="731F1C9C">
            <w:pPr>
              <w:spacing w:line="300" w:lineRule="exact"/>
              <w:ind w:firstLine="420" w:firstLineChars="200"/>
              <w:jc w:val="left"/>
              <w:outlineLvl w:val="0"/>
            </w:pPr>
          </w:p>
        </w:tc>
        <w:tc>
          <w:tcPr>
            <w:tcW w:w="2976" w:type="dxa"/>
            <w:vMerge w:val="continue"/>
            <w:shd w:val="clear" w:color="auto" w:fill="auto"/>
            <w:vAlign w:val="center"/>
          </w:tcPr>
          <w:p w14:paraId="00631AB9">
            <w:pPr>
              <w:spacing w:line="300" w:lineRule="exact"/>
              <w:ind w:firstLine="420" w:firstLineChars="200"/>
              <w:jc w:val="left"/>
              <w:outlineLvl w:val="0"/>
            </w:pPr>
          </w:p>
        </w:tc>
        <w:tc>
          <w:tcPr>
            <w:tcW w:w="1417" w:type="dxa"/>
            <w:vMerge w:val="continue"/>
            <w:shd w:val="clear" w:color="auto" w:fill="auto"/>
            <w:vAlign w:val="center"/>
          </w:tcPr>
          <w:p w14:paraId="0613ECDC">
            <w:pPr>
              <w:spacing w:line="300" w:lineRule="exact"/>
              <w:ind w:firstLine="420" w:firstLineChars="200"/>
              <w:jc w:val="left"/>
              <w:outlineLvl w:val="0"/>
            </w:pPr>
          </w:p>
        </w:tc>
        <w:tc>
          <w:tcPr>
            <w:tcW w:w="737" w:type="dxa"/>
            <w:shd w:val="clear" w:color="auto" w:fill="auto"/>
            <w:vAlign w:val="center"/>
          </w:tcPr>
          <w:p w14:paraId="2C7662B6">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14:paraId="7CBB3A37">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58ED11EB">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12D73B09">
            <w:pPr>
              <w:spacing w:line="300" w:lineRule="exact"/>
              <w:jc w:val="center"/>
              <w:rPr>
                <w:rFonts w:ascii="方正书宋_GBK" w:eastAsia="方正书宋_GBK"/>
                <w:b/>
              </w:rPr>
            </w:pPr>
            <w:r>
              <w:rPr>
                <w:rFonts w:hint="eastAsia" w:ascii="方正书宋_GBK" w:eastAsia="方正书宋_GBK"/>
                <w:b/>
              </w:rPr>
              <w:t>差</w:t>
            </w:r>
          </w:p>
        </w:tc>
      </w:tr>
      <w:tr w14:paraId="30CB9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7ABF8A9">
            <w:pPr>
              <w:spacing w:line="300" w:lineRule="exact"/>
              <w:jc w:val="left"/>
              <w:rPr>
                <w:rFonts w:ascii="方正书宋_GBK" w:eastAsia="方正书宋_GBK"/>
                <w:b/>
              </w:rPr>
            </w:pPr>
            <w:r>
              <w:rPr>
                <w:rFonts w:hint="eastAsia" w:ascii="方正书宋_GBK" w:eastAsia="方正书宋_GBK"/>
                <w:b/>
              </w:rPr>
              <w:t>组织编制经济社会发展规划和计划</w:t>
            </w:r>
          </w:p>
        </w:tc>
        <w:tc>
          <w:tcPr>
            <w:tcW w:w="1276" w:type="dxa"/>
            <w:shd w:val="clear" w:color="auto" w:fill="auto"/>
            <w:vAlign w:val="center"/>
          </w:tcPr>
          <w:p w14:paraId="027ACC68">
            <w:pPr>
              <w:spacing w:line="300" w:lineRule="exact"/>
              <w:ind w:firstLine="420" w:firstLineChars="200"/>
              <w:jc w:val="left"/>
              <w:rPr>
                <w:rFonts w:ascii="方正书宋_GBK" w:eastAsia="方正书宋_GBK"/>
              </w:rPr>
            </w:pPr>
            <w:r>
              <w:rPr>
                <w:rFonts w:ascii="方正书宋_GBK" w:eastAsia="方正书宋_GBK"/>
              </w:rPr>
              <w:t>6.00</w:t>
            </w:r>
          </w:p>
        </w:tc>
        <w:tc>
          <w:tcPr>
            <w:tcW w:w="2976" w:type="dxa"/>
            <w:shd w:val="clear" w:color="auto" w:fill="auto"/>
            <w:vAlign w:val="center"/>
          </w:tcPr>
          <w:p w14:paraId="6FD8B51B">
            <w:pPr>
              <w:spacing w:line="300" w:lineRule="exact"/>
              <w:jc w:val="left"/>
              <w:rPr>
                <w:rFonts w:ascii="方正书宋_GBK" w:eastAsia="方正书宋_GBK"/>
              </w:rPr>
            </w:pPr>
            <w:r>
              <w:rPr>
                <w:rFonts w:hint="eastAsia" w:ascii="方正书宋_GBK" w:eastAsia="方正书宋_GBK"/>
              </w:rPr>
              <w:t>组织拟订县级经济社会发展规划。</w:t>
            </w:r>
          </w:p>
        </w:tc>
        <w:tc>
          <w:tcPr>
            <w:tcW w:w="2976" w:type="dxa"/>
            <w:shd w:val="clear" w:color="auto" w:fill="auto"/>
            <w:vAlign w:val="center"/>
          </w:tcPr>
          <w:p w14:paraId="02DE729E">
            <w:pPr>
              <w:spacing w:line="300" w:lineRule="exact"/>
              <w:jc w:val="left"/>
              <w:rPr>
                <w:rFonts w:ascii="方正书宋_GBK" w:eastAsia="方正书宋_GBK"/>
              </w:rPr>
            </w:pPr>
            <w:r>
              <w:rPr>
                <w:rFonts w:hint="eastAsia" w:ascii="方正书宋_GBK" w:eastAsia="方正书宋_GBK"/>
              </w:rPr>
              <w:t>增强规划和计划的前瞻性、科学性、可操作性；规划目标全面、先进、可行；组织落实措施得力，调度有序。</w:t>
            </w:r>
          </w:p>
        </w:tc>
        <w:tc>
          <w:tcPr>
            <w:tcW w:w="1417" w:type="dxa"/>
            <w:shd w:val="clear" w:color="auto" w:fill="auto"/>
            <w:vAlign w:val="center"/>
          </w:tcPr>
          <w:p w14:paraId="33301ACF">
            <w:pPr>
              <w:spacing w:line="300" w:lineRule="exact"/>
              <w:ind w:firstLine="420" w:firstLineChars="200"/>
              <w:jc w:val="left"/>
              <w:rPr>
                <w:rFonts w:ascii="方正书宋_GBK" w:eastAsia="方正书宋_GBK"/>
              </w:rPr>
            </w:pPr>
          </w:p>
        </w:tc>
        <w:tc>
          <w:tcPr>
            <w:tcW w:w="737" w:type="dxa"/>
            <w:shd w:val="clear" w:color="auto" w:fill="auto"/>
            <w:vAlign w:val="center"/>
          </w:tcPr>
          <w:p w14:paraId="58E01D47">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64CFCD5A">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6A9C7D0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73AB2FAC">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5C857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8" w:hRule="atLeast"/>
          <w:jc w:val="center"/>
        </w:trPr>
        <w:tc>
          <w:tcPr>
            <w:tcW w:w="2341" w:type="dxa"/>
            <w:shd w:val="clear" w:color="auto" w:fill="auto"/>
            <w:vAlign w:val="center"/>
          </w:tcPr>
          <w:p w14:paraId="0F2F0AFE">
            <w:pPr>
              <w:spacing w:line="300" w:lineRule="exact"/>
              <w:jc w:val="left"/>
              <w:rPr>
                <w:rFonts w:ascii="方正书宋_GBK" w:eastAsia="方正书宋_GBK"/>
                <w:b/>
              </w:rPr>
            </w:pPr>
            <w:r>
              <w:rPr>
                <w:rFonts w:hint="eastAsia" w:ascii="方正书宋_GBK" w:eastAsia="方正书宋_GBK"/>
                <w:b/>
              </w:rPr>
              <w:t>经济社会发展中长期规划编制</w:t>
            </w:r>
          </w:p>
        </w:tc>
        <w:tc>
          <w:tcPr>
            <w:tcW w:w="1276" w:type="dxa"/>
            <w:shd w:val="clear" w:color="auto" w:fill="auto"/>
            <w:vAlign w:val="center"/>
          </w:tcPr>
          <w:p w14:paraId="5CD205AE">
            <w:pPr>
              <w:spacing w:line="300" w:lineRule="exact"/>
              <w:ind w:firstLine="420" w:firstLineChars="200"/>
              <w:jc w:val="left"/>
              <w:rPr>
                <w:rFonts w:ascii="方正书宋_GBK" w:eastAsia="方正书宋_GBK"/>
              </w:rPr>
            </w:pPr>
            <w:r>
              <w:rPr>
                <w:rFonts w:ascii="方正书宋_GBK" w:eastAsia="方正书宋_GBK"/>
              </w:rPr>
              <w:t>6.00</w:t>
            </w:r>
          </w:p>
        </w:tc>
        <w:tc>
          <w:tcPr>
            <w:tcW w:w="2976" w:type="dxa"/>
            <w:shd w:val="clear" w:color="auto" w:fill="auto"/>
            <w:vAlign w:val="center"/>
          </w:tcPr>
          <w:p w14:paraId="4ADB509E">
            <w:pPr>
              <w:spacing w:line="300" w:lineRule="exact"/>
              <w:jc w:val="left"/>
              <w:rPr>
                <w:rFonts w:ascii="方正书宋_GBK" w:eastAsia="方正书宋_GBK"/>
              </w:rPr>
            </w:pPr>
            <w:r>
              <w:rPr>
                <w:rFonts w:hint="eastAsia" w:ascii="方正书宋_GBK" w:eastAsia="方正书宋_GBK"/>
              </w:rPr>
              <w:t>组织拟定县级经济社会发展中长期规划统筹协调县级专项规划和区域规划。</w:t>
            </w:r>
          </w:p>
        </w:tc>
        <w:tc>
          <w:tcPr>
            <w:tcW w:w="2976" w:type="dxa"/>
            <w:shd w:val="clear" w:color="auto" w:fill="auto"/>
            <w:vAlign w:val="center"/>
          </w:tcPr>
          <w:p w14:paraId="4DC83951">
            <w:pPr>
              <w:spacing w:line="300" w:lineRule="exact"/>
              <w:jc w:val="left"/>
              <w:rPr>
                <w:rFonts w:ascii="方正书宋_GBK" w:eastAsia="方正书宋_GBK"/>
              </w:rPr>
            </w:pPr>
            <w:r>
              <w:rPr>
                <w:rFonts w:hint="eastAsia" w:ascii="方正书宋_GBK" w:eastAsia="方正书宋_GBK"/>
              </w:rPr>
              <w:t>规划和计划前瞻性、科学性、可操作性较强；规划目标全面、先进、可行。</w:t>
            </w:r>
          </w:p>
        </w:tc>
        <w:tc>
          <w:tcPr>
            <w:tcW w:w="1417" w:type="dxa"/>
            <w:shd w:val="clear" w:color="auto" w:fill="auto"/>
            <w:vAlign w:val="center"/>
          </w:tcPr>
          <w:p w14:paraId="268E1896">
            <w:pPr>
              <w:spacing w:line="300" w:lineRule="exact"/>
              <w:jc w:val="left"/>
              <w:rPr>
                <w:rFonts w:ascii="方正书宋_GBK" w:eastAsia="方正书宋_GBK"/>
              </w:rPr>
            </w:pPr>
            <w:r>
              <w:rPr>
                <w:rFonts w:hint="eastAsia" w:ascii="方正书宋_GBK" w:eastAsia="方正书宋_GBK"/>
              </w:rPr>
              <w:t>各类经济社会发展中长期规划编制完成率</w:t>
            </w:r>
          </w:p>
        </w:tc>
        <w:tc>
          <w:tcPr>
            <w:tcW w:w="737" w:type="dxa"/>
            <w:shd w:val="clear" w:color="auto" w:fill="auto"/>
            <w:vAlign w:val="center"/>
          </w:tcPr>
          <w:p w14:paraId="1F018DB0">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0B6678AE">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19221F5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241AA7F9">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09726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36655C4">
            <w:pPr>
              <w:spacing w:line="300" w:lineRule="exact"/>
              <w:jc w:val="left"/>
              <w:rPr>
                <w:rFonts w:ascii="方正书宋_GBK" w:eastAsia="方正书宋_GBK"/>
                <w:b/>
              </w:rPr>
            </w:pPr>
            <w:r>
              <w:rPr>
                <w:rFonts w:hint="eastAsia" w:ascii="方正书宋_GBK" w:eastAsia="方正书宋_GBK"/>
                <w:b/>
              </w:rPr>
              <w:t>年度经济社会发展计划编制</w:t>
            </w:r>
          </w:p>
        </w:tc>
        <w:tc>
          <w:tcPr>
            <w:tcW w:w="1276" w:type="dxa"/>
            <w:shd w:val="clear" w:color="auto" w:fill="auto"/>
            <w:vAlign w:val="center"/>
          </w:tcPr>
          <w:p w14:paraId="24FC4CF3">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shd w:val="clear" w:color="auto" w:fill="auto"/>
            <w:vAlign w:val="center"/>
          </w:tcPr>
          <w:p w14:paraId="59560705">
            <w:pPr>
              <w:spacing w:line="300" w:lineRule="exact"/>
              <w:jc w:val="left"/>
              <w:rPr>
                <w:rFonts w:ascii="方正书宋_GBK" w:eastAsia="方正书宋_GBK"/>
              </w:rPr>
            </w:pPr>
            <w:r>
              <w:rPr>
                <w:rFonts w:hint="eastAsia" w:ascii="方正书宋_GBK" w:eastAsia="方正书宋_GBK"/>
              </w:rPr>
              <w:t>根据经济社会发展战略规划，拟定年度经济社会发展计划</w:t>
            </w:r>
          </w:p>
        </w:tc>
        <w:tc>
          <w:tcPr>
            <w:tcW w:w="2976" w:type="dxa"/>
            <w:shd w:val="clear" w:color="auto" w:fill="auto"/>
            <w:vAlign w:val="center"/>
          </w:tcPr>
          <w:p w14:paraId="6EC09733">
            <w:pPr>
              <w:spacing w:line="300" w:lineRule="exact"/>
              <w:jc w:val="left"/>
              <w:rPr>
                <w:rFonts w:ascii="方正书宋_GBK" w:eastAsia="方正书宋_GBK"/>
              </w:rPr>
            </w:pPr>
            <w:r>
              <w:rPr>
                <w:rFonts w:hint="eastAsia" w:ascii="方正书宋_GBK" w:eastAsia="方正书宋_GBK"/>
              </w:rPr>
              <w:t>经济社会发展计划切实体现县委、县政府决策目标和部署</w:t>
            </w:r>
          </w:p>
        </w:tc>
        <w:tc>
          <w:tcPr>
            <w:tcW w:w="1417" w:type="dxa"/>
            <w:shd w:val="clear" w:color="auto" w:fill="auto"/>
            <w:vAlign w:val="center"/>
          </w:tcPr>
          <w:p w14:paraId="22795143">
            <w:pPr>
              <w:spacing w:line="300" w:lineRule="exact"/>
              <w:jc w:val="left"/>
              <w:rPr>
                <w:rFonts w:ascii="方正书宋_GBK" w:eastAsia="方正书宋_GBK"/>
              </w:rPr>
            </w:pPr>
            <w:r>
              <w:rPr>
                <w:rFonts w:hint="eastAsia" w:ascii="方正书宋_GBK" w:eastAsia="方正书宋_GBK"/>
              </w:rPr>
              <w:t>县人大代表表决通过率</w:t>
            </w:r>
          </w:p>
        </w:tc>
        <w:tc>
          <w:tcPr>
            <w:tcW w:w="737" w:type="dxa"/>
            <w:shd w:val="clear" w:color="auto" w:fill="auto"/>
            <w:vAlign w:val="center"/>
          </w:tcPr>
          <w:p w14:paraId="72B7C9FC">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086F02EC">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3B2618F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37D40BB8">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53E9D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5F09B1E">
            <w:pPr>
              <w:spacing w:line="300" w:lineRule="exact"/>
              <w:jc w:val="left"/>
              <w:rPr>
                <w:rFonts w:ascii="方正书宋_GBK" w:eastAsia="方正书宋_GBK"/>
                <w:b/>
              </w:rPr>
            </w:pPr>
            <w:r>
              <w:rPr>
                <w:rFonts w:hint="eastAsia" w:ascii="方正书宋_GBK" w:eastAsia="方正书宋_GBK"/>
                <w:b/>
              </w:rPr>
              <w:t>重点领域和区域经济社会规划编制</w:t>
            </w:r>
          </w:p>
        </w:tc>
        <w:tc>
          <w:tcPr>
            <w:tcW w:w="1276" w:type="dxa"/>
            <w:vMerge w:val="restart"/>
            <w:shd w:val="clear" w:color="auto" w:fill="auto"/>
            <w:vAlign w:val="center"/>
          </w:tcPr>
          <w:p w14:paraId="55037B94">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vMerge w:val="restart"/>
            <w:shd w:val="clear" w:color="auto" w:fill="auto"/>
            <w:vAlign w:val="center"/>
          </w:tcPr>
          <w:p w14:paraId="4319BC52">
            <w:pPr>
              <w:spacing w:line="300" w:lineRule="exact"/>
              <w:ind w:firstLine="420" w:firstLineChars="200"/>
              <w:jc w:val="left"/>
              <w:rPr>
                <w:rFonts w:ascii="方正书宋_GBK" w:eastAsia="方正书宋_GBK"/>
              </w:rPr>
            </w:pPr>
            <w:r>
              <w:rPr>
                <w:rFonts w:hint="eastAsia" w:ascii="方正书宋_GBK" w:eastAsia="方正书宋_GBK"/>
              </w:rPr>
              <w:t>编制和拟订县域发展等重点经济区计划和产业政策，研究提出落实措施、调控手段和力度等建议；提出经济与社会协调发展、相互促进的政策，协调社会事业发展的重大问题。</w:t>
            </w:r>
          </w:p>
          <w:p w14:paraId="0AF7020B">
            <w:pPr>
              <w:spacing w:line="300" w:lineRule="exact"/>
              <w:ind w:firstLine="420" w:firstLineChars="200"/>
              <w:jc w:val="left"/>
              <w:rPr>
                <w:rFonts w:ascii="方正书宋_GBK" w:eastAsia="方正书宋_GBK"/>
              </w:rPr>
            </w:pPr>
            <w:r>
              <w:rPr>
                <w:rFonts w:hint="eastAsia" w:ascii="方正书宋_GBK" w:eastAsia="方正书宋_GBK"/>
              </w:rPr>
              <w:t>编制和拟订县级现代服务业、综合交通（铁路、公路、机场、港口等）、能源发展（石油、天然气、煤炭、电力等）、社会发展（文教卫体旅等）、人口发展、口岸、生态建设、以工代赈扶贫、县外援助等重点领域、国民经济重要产业和沿海、临空、京津冀、县域发展等重点经济区战略规划、计划和产业政策，研究提出落实措施、调控手段和力度等建议；提出经济与社会协调发展、相互促进的政策，协调社会事业发展的重大问题。</w:t>
            </w:r>
          </w:p>
        </w:tc>
        <w:tc>
          <w:tcPr>
            <w:tcW w:w="2976" w:type="dxa"/>
            <w:vMerge w:val="restart"/>
            <w:shd w:val="clear" w:color="auto" w:fill="auto"/>
            <w:vAlign w:val="center"/>
          </w:tcPr>
          <w:p w14:paraId="33683CEC">
            <w:pPr>
              <w:spacing w:line="300" w:lineRule="exact"/>
              <w:ind w:firstLine="420" w:firstLineChars="200"/>
              <w:jc w:val="left"/>
              <w:rPr>
                <w:rFonts w:ascii="方正书宋_GBK" w:eastAsia="方正书宋_GBK"/>
              </w:rPr>
            </w:pPr>
            <w:r>
              <w:rPr>
                <w:rFonts w:hint="eastAsia" w:ascii="方正书宋_GBK" w:eastAsia="方正书宋_GBK"/>
              </w:rPr>
              <w:t>确保重点领域和区域经济社会规划与国民经济和社会发展规划、计划的衔接和协调</w:t>
            </w:r>
          </w:p>
        </w:tc>
        <w:tc>
          <w:tcPr>
            <w:tcW w:w="1417" w:type="dxa"/>
            <w:shd w:val="clear" w:color="auto" w:fill="auto"/>
            <w:vAlign w:val="center"/>
          </w:tcPr>
          <w:p w14:paraId="1EFC50A2">
            <w:pPr>
              <w:spacing w:line="300" w:lineRule="exact"/>
              <w:ind w:firstLine="420" w:firstLineChars="200"/>
              <w:jc w:val="left"/>
              <w:rPr>
                <w:rFonts w:ascii="方正书宋_GBK" w:eastAsia="方正书宋_GBK"/>
              </w:rPr>
            </w:pPr>
            <w:r>
              <w:rPr>
                <w:rFonts w:hint="eastAsia" w:ascii="方正书宋_GBK" w:eastAsia="方正书宋_GBK"/>
              </w:rPr>
              <w:t>重点领域和区域经济社会规划编制完成率</w:t>
            </w:r>
          </w:p>
        </w:tc>
        <w:tc>
          <w:tcPr>
            <w:tcW w:w="737" w:type="dxa"/>
            <w:shd w:val="clear" w:color="auto" w:fill="auto"/>
            <w:vAlign w:val="center"/>
          </w:tcPr>
          <w:p w14:paraId="4A972BB8">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6A27090F">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650F603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5A85DBF0">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6A79C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CD207DA">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332E598D">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51398AC6">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2B2D2A5F">
            <w:pPr>
              <w:spacing w:line="300" w:lineRule="exact"/>
              <w:ind w:firstLine="420" w:firstLineChars="200"/>
              <w:jc w:val="left"/>
              <w:rPr>
                <w:rFonts w:ascii="方正书宋_GBK" w:eastAsia="方正书宋_GBK"/>
              </w:rPr>
            </w:pPr>
          </w:p>
        </w:tc>
        <w:tc>
          <w:tcPr>
            <w:tcW w:w="1417" w:type="dxa"/>
            <w:shd w:val="clear" w:color="auto" w:fill="auto"/>
            <w:vAlign w:val="center"/>
          </w:tcPr>
          <w:p w14:paraId="1E0285AC">
            <w:pPr>
              <w:spacing w:line="300" w:lineRule="exact"/>
              <w:ind w:firstLine="420" w:firstLineChars="200"/>
              <w:jc w:val="left"/>
              <w:rPr>
                <w:rFonts w:ascii="方正书宋_GBK" w:eastAsia="方正书宋_GBK"/>
              </w:rPr>
            </w:pPr>
            <w:r>
              <w:rPr>
                <w:rFonts w:hint="eastAsia" w:ascii="方正书宋_GBK" w:eastAsia="方正书宋_GBK"/>
              </w:rPr>
              <w:t>列入省级以上规划项目数量</w:t>
            </w:r>
          </w:p>
        </w:tc>
        <w:tc>
          <w:tcPr>
            <w:tcW w:w="737" w:type="dxa"/>
            <w:shd w:val="clear" w:color="auto" w:fill="auto"/>
            <w:vAlign w:val="center"/>
          </w:tcPr>
          <w:p w14:paraId="5BC883C5">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470F6E1C">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105DE44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3BC8C5EB">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3A4F3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646942F">
            <w:pPr>
              <w:spacing w:line="300" w:lineRule="exact"/>
              <w:jc w:val="left"/>
              <w:rPr>
                <w:rFonts w:ascii="方正书宋_GBK" w:eastAsia="方正书宋_GBK"/>
                <w:b/>
              </w:rPr>
            </w:pPr>
            <w:r>
              <w:rPr>
                <w:rFonts w:hint="eastAsia" w:ascii="方正书宋_GBK" w:eastAsia="方正书宋_GBK"/>
                <w:b/>
              </w:rPr>
              <w:t>促进县级区域经济发展</w:t>
            </w:r>
          </w:p>
        </w:tc>
        <w:tc>
          <w:tcPr>
            <w:tcW w:w="1276" w:type="dxa"/>
            <w:shd w:val="clear" w:color="auto" w:fill="auto"/>
            <w:vAlign w:val="center"/>
          </w:tcPr>
          <w:p w14:paraId="10697728">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shd w:val="clear" w:color="auto" w:fill="auto"/>
            <w:vAlign w:val="center"/>
          </w:tcPr>
          <w:p w14:paraId="25D4E978">
            <w:pPr>
              <w:spacing w:line="300" w:lineRule="exact"/>
              <w:ind w:firstLine="420" w:firstLineChars="200"/>
              <w:jc w:val="left"/>
              <w:rPr>
                <w:rFonts w:ascii="方正书宋_GBK" w:eastAsia="方正书宋_GBK"/>
              </w:rPr>
            </w:pPr>
            <w:r>
              <w:rPr>
                <w:rFonts w:hint="eastAsia" w:ascii="方正书宋_GBK" w:eastAsia="方正书宋_GBK"/>
              </w:rPr>
              <w:t>研究提出区域经济协调发展、加快城镇化发展的政策建议；负责区域经济合作统筹协调。</w:t>
            </w:r>
          </w:p>
        </w:tc>
        <w:tc>
          <w:tcPr>
            <w:tcW w:w="2976" w:type="dxa"/>
            <w:shd w:val="clear" w:color="auto" w:fill="auto"/>
            <w:vAlign w:val="center"/>
          </w:tcPr>
          <w:p w14:paraId="0AEC57D4">
            <w:pPr>
              <w:spacing w:line="300" w:lineRule="exact"/>
              <w:ind w:firstLine="420" w:firstLineChars="200"/>
              <w:jc w:val="left"/>
              <w:rPr>
                <w:rFonts w:ascii="方正书宋_GBK" w:eastAsia="方正书宋_GBK"/>
              </w:rPr>
            </w:pPr>
            <w:r>
              <w:rPr>
                <w:rFonts w:ascii="方正书宋_GBK" w:eastAsia="方正书宋_GBK"/>
              </w:rPr>
              <w:t>"</w:t>
            </w:r>
            <w:r>
              <w:rPr>
                <w:rFonts w:hint="eastAsia" w:ascii="方正书宋_GBK" w:eastAsia="方正书宋_GBK"/>
              </w:rPr>
              <w:t>促进沿海地区实现率先发展</w:t>
            </w:r>
            <w:r>
              <w:rPr>
                <w:rFonts w:ascii="方正书宋_GBK" w:eastAsia="方正书宋_GBK"/>
              </w:rPr>
              <w:t>,</w:t>
            </w:r>
            <w:r>
              <w:rPr>
                <w:rFonts w:hint="eastAsia" w:ascii="方正书宋_GBK" w:eastAsia="方正书宋_GBK"/>
              </w:rPr>
              <w:t>推动京津冀协同发展。</w:t>
            </w:r>
          </w:p>
          <w:p w14:paraId="6A654607">
            <w:pPr>
              <w:spacing w:line="300" w:lineRule="exact"/>
              <w:ind w:firstLine="420" w:firstLineChars="200"/>
              <w:jc w:val="left"/>
              <w:rPr>
                <w:rFonts w:ascii="方正书宋_GBK" w:eastAsia="方正书宋_GBK"/>
              </w:rPr>
            </w:pPr>
            <w:r>
              <w:rPr>
                <w:rFonts w:ascii="方正书宋_GBK" w:eastAsia="方正书宋_GBK"/>
              </w:rPr>
              <w:t>"</w:t>
            </w:r>
          </w:p>
        </w:tc>
        <w:tc>
          <w:tcPr>
            <w:tcW w:w="1417" w:type="dxa"/>
            <w:shd w:val="clear" w:color="auto" w:fill="auto"/>
            <w:vAlign w:val="center"/>
          </w:tcPr>
          <w:p w14:paraId="63CB923F">
            <w:pPr>
              <w:spacing w:line="300" w:lineRule="exact"/>
              <w:ind w:firstLine="420" w:firstLineChars="200"/>
              <w:jc w:val="left"/>
              <w:rPr>
                <w:rFonts w:ascii="方正书宋_GBK" w:eastAsia="方正书宋_GBK"/>
              </w:rPr>
            </w:pPr>
          </w:p>
        </w:tc>
        <w:tc>
          <w:tcPr>
            <w:tcW w:w="737" w:type="dxa"/>
            <w:shd w:val="clear" w:color="auto" w:fill="auto"/>
            <w:vAlign w:val="center"/>
          </w:tcPr>
          <w:p w14:paraId="5286D870">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08539337">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65D8A88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0DC39336">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3B9D6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BE44EDE">
            <w:pPr>
              <w:spacing w:line="300" w:lineRule="exact"/>
              <w:jc w:val="left"/>
              <w:rPr>
                <w:rFonts w:ascii="方正书宋_GBK" w:eastAsia="方正书宋_GBK"/>
                <w:b/>
              </w:rPr>
            </w:pPr>
            <w:r>
              <w:rPr>
                <w:rFonts w:hint="eastAsia" w:ascii="方正书宋_GBK" w:eastAsia="方正书宋_GBK"/>
                <w:b/>
              </w:rPr>
              <w:t>推动京津冀协同发展</w:t>
            </w:r>
          </w:p>
        </w:tc>
        <w:tc>
          <w:tcPr>
            <w:tcW w:w="1276" w:type="dxa"/>
            <w:vMerge w:val="restart"/>
            <w:shd w:val="clear" w:color="auto" w:fill="auto"/>
            <w:vAlign w:val="center"/>
          </w:tcPr>
          <w:p w14:paraId="6453F19B">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vMerge w:val="restart"/>
            <w:shd w:val="clear" w:color="auto" w:fill="auto"/>
            <w:vAlign w:val="center"/>
          </w:tcPr>
          <w:p w14:paraId="1DA4DE70">
            <w:pPr>
              <w:spacing w:line="300" w:lineRule="exact"/>
              <w:ind w:firstLine="420" w:firstLineChars="200"/>
              <w:jc w:val="left"/>
              <w:rPr>
                <w:rFonts w:ascii="方正书宋_GBK" w:eastAsia="方正书宋_GBK"/>
              </w:rPr>
            </w:pPr>
            <w:r>
              <w:rPr>
                <w:rFonts w:hint="eastAsia" w:ascii="方正书宋_GBK" w:eastAsia="方正书宋_GBK"/>
              </w:rPr>
              <w:t>配合国家首都经济圈发展规划，做好与国家规划的有效衔接；组织争取国家政策、资金等支持。</w:t>
            </w:r>
          </w:p>
        </w:tc>
        <w:tc>
          <w:tcPr>
            <w:tcW w:w="2976" w:type="dxa"/>
            <w:vMerge w:val="restart"/>
            <w:shd w:val="clear" w:color="auto" w:fill="auto"/>
            <w:vAlign w:val="center"/>
          </w:tcPr>
          <w:p w14:paraId="6C505EE2">
            <w:pPr>
              <w:spacing w:line="300" w:lineRule="exact"/>
              <w:ind w:firstLine="420" w:firstLineChars="200"/>
              <w:jc w:val="left"/>
              <w:rPr>
                <w:rFonts w:ascii="方正书宋_GBK" w:eastAsia="方正书宋_GBK"/>
              </w:rPr>
            </w:pPr>
            <w:r>
              <w:rPr>
                <w:rFonts w:hint="eastAsia" w:ascii="方正书宋_GBK" w:eastAsia="方正书宋_GBK"/>
              </w:rPr>
              <w:t>与北京、天津开展战略合作，推动合作协议的落实，深化拓展合作领域，实质性推动一批重大合作事项进展。</w:t>
            </w:r>
          </w:p>
        </w:tc>
        <w:tc>
          <w:tcPr>
            <w:tcW w:w="1417" w:type="dxa"/>
            <w:shd w:val="clear" w:color="auto" w:fill="auto"/>
            <w:vAlign w:val="center"/>
          </w:tcPr>
          <w:p w14:paraId="7BBF24B3">
            <w:pPr>
              <w:spacing w:line="300" w:lineRule="exact"/>
              <w:ind w:firstLine="420" w:firstLineChars="200"/>
              <w:jc w:val="left"/>
              <w:rPr>
                <w:rFonts w:ascii="方正书宋_GBK" w:eastAsia="方正书宋_GBK"/>
              </w:rPr>
            </w:pPr>
            <w:r>
              <w:rPr>
                <w:rFonts w:hint="eastAsia" w:ascii="方正书宋_GBK" w:eastAsia="方正书宋_GBK"/>
              </w:rPr>
              <w:t>发展规划出台情况</w:t>
            </w:r>
          </w:p>
        </w:tc>
        <w:tc>
          <w:tcPr>
            <w:tcW w:w="737" w:type="dxa"/>
            <w:shd w:val="clear" w:color="auto" w:fill="auto"/>
            <w:vAlign w:val="center"/>
          </w:tcPr>
          <w:p w14:paraId="40ACB6DE">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21510207">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62C6C3A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5AE9E24E">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3C77D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A6DFCDE">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121A640F">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558093A1">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60DA20AC">
            <w:pPr>
              <w:spacing w:line="300" w:lineRule="exact"/>
              <w:ind w:firstLine="420" w:firstLineChars="200"/>
              <w:jc w:val="left"/>
              <w:rPr>
                <w:rFonts w:ascii="方正书宋_GBK" w:eastAsia="方正书宋_GBK"/>
              </w:rPr>
            </w:pPr>
          </w:p>
        </w:tc>
        <w:tc>
          <w:tcPr>
            <w:tcW w:w="1417" w:type="dxa"/>
            <w:shd w:val="clear" w:color="auto" w:fill="auto"/>
            <w:vAlign w:val="center"/>
          </w:tcPr>
          <w:p w14:paraId="2A48982A">
            <w:pPr>
              <w:spacing w:line="300" w:lineRule="exact"/>
              <w:ind w:firstLine="420" w:firstLineChars="200"/>
              <w:jc w:val="left"/>
              <w:rPr>
                <w:rFonts w:ascii="方正书宋_GBK" w:eastAsia="方正书宋_GBK"/>
              </w:rPr>
            </w:pPr>
            <w:r>
              <w:rPr>
                <w:rFonts w:hint="eastAsia" w:ascii="方正书宋_GBK" w:eastAsia="方正书宋_GBK"/>
              </w:rPr>
              <w:t>与京冀对接活动的组织及项目组织、督导、调研情况</w:t>
            </w:r>
          </w:p>
        </w:tc>
        <w:tc>
          <w:tcPr>
            <w:tcW w:w="737" w:type="dxa"/>
            <w:shd w:val="clear" w:color="auto" w:fill="auto"/>
            <w:vAlign w:val="center"/>
          </w:tcPr>
          <w:p w14:paraId="4D831956">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1494552F">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49DE76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18E6C4ED">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6D9FF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FB5B747">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796A54B3">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7BE504CA">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6E95ADEF">
            <w:pPr>
              <w:spacing w:line="300" w:lineRule="exact"/>
              <w:ind w:firstLine="420" w:firstLineChars="200"/>
              <w:jc w:val="left"/>
              <w:rPr>
                <w:rFonts w:ascii="方正书宋_GBK" w:eastAsia="方正书宋_GBK"/>
              </w:rPr>
            </w:pPr>
          </w:p>
        </w:tc>
        <w:tc>
          <w:tcPr>
            <w:tcW w:w="1417" w:type="dxa"/>
            <w:shd w:val="clear" w:color="auto" w:fill="auto"/>
            <w:vAlign w:val="center"/>
          </w:tcPr>
          <w:p w14:paraId="5D1C057F">
            <w:pPr>
              <w:spacing w:line="300" w:lineRule="exact"/>
              <w:ind w:firstLine="420" w:firstLineChars="200"/>
              <w:jc w:val="left"/>
              <w:rPr>
                <w:rFonts w:ascii="方正书宋_GBK" w:eastAsia="方正书宋_GBK"/>
              </w:rPr>
            </w:pPr>
            <w:r>
              <w:rPr>
                <w:rFonts w:hint="eastAsia" w:ascii="方正书宋_GBK" w:eastAsia="方正书宋_GBK"/>
              </w:rPr>
              <w:t>与津冀对接活动的组织及项目组织、督导、调研情况</w:t>
            </w:r>
          </w:p>
        </w:tc>
        <w:tc>
          <w:tcPr>
            <w:tcW w:w="737" w:type="dxa"/>
            <w:shd w:val="clear" w:color="auto" w:fill="auto"/>
            <w:vAlign w:val="center"/>
          </w:tcPr>
          <w:p w14:paraId="65505530">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434D7E74">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1EDE001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46FB695F">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778C9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791647D9">
            <w:pPr>
              <w:spacing w:line="300" w:lineRule="exact"/>
              <w:jc w:val="left"/>
              <w:rPr>
                <w:rFonts w:ascii="方正书宋_GBK" w:eastAsia="方正书宋_GBK"/>
                <w:b/>
              </w:rPr>
            </w:pPr>
            <w:r>
              <w:rPr>
                <w:rFonts w:hint="eastAsia" w:ascii="方正书宋_GBK" w:eastAsia="方正书宋_GBK"/>
                <w:b/>
              </w:rPr>
              <w:t>推动沿海地区率先发展</w:t>
            </w:r>
          </w:p>
        </w:tc>
        <w:tc>
          <w:tcPr>
            <w:tcW w:w="1276" w:type="dxa"/>
            <w:vMerge w:val="restart"/>
            <w:shd w:val="clear" w:color="auto" w:fill="auto"/>
            <w:vAlign w:val="center"/>
          </w:tcPr>
          <w:p w14:paraId="365D7A34">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vMerge w:val="restart"/>
            <w:shd w:val="clear" w:color="auto" w:fill="auto"/>
            <w:vAlign w:val="center"/>
          </w:tcPr>
          <w:p w14:paraId="3E481A35">
            <w:pPr>
              <w:spacing w:line="300" w:lineRule="exact"/>
              <w:ind w:firstLine="420" w:firstLineChars="200"/>
              <w:jc w:val="left"/>
              <w:rPr>
                <w:rFonts w:ascii="方正书宋_GBK" w:eastAsia="方正书宋_GBK"/>
              </w:rPr>
            </w:pPr>
            <w:r>
              <w:rPr>
                <w:rFonts w:hint="eastAsia" w:ascii="方正书宋_GBK" w:eastAsia="方正书宋_GBK"/>
              </w:rPr>
              <w:t>协调解决沿海地区发展规划实施中的重大问题，推进县内腹地产业规划与沿海地区发展规划的衔接。</w:t>
            </w:r>
          </w:p>
        </w:tc>
        <w:tc>
          <w:tcPr>
            <w:tcW w:w="2976" w:type="dxa"/>
            <w:vMerge w:val="restart"/>
            <w:shd w:val="clear" w:color="auto" w:fill="auto"/>
            <w:vAlign w:val="center"/>
          </w:tcPr>
          <w:p w14:paraId="51A781E5">
            <w:pPr>
              <w:spacing w:line="300" w:lineRule="exact"/>
              <w:ind w:firstLine="420" w:firstLineChars="200"/>
              <w:jc w:val="left"/>
              <w:rPr>
                <w:rFonts w:ascii="方正书宋_GBK" w:eastAsia="方正书宋_GBK"/>
              </w:rPr>
            </w:pPr>
            <w:r>
              <w:rPr>
                <w:rFonts w:hint="eastAsia" w:ascii="方正书宋_GBK" w:eastAsia="方正书宋_GBK"/>
              </w:rPr>
              <w:t>促进各项鼓励支持政策落实，推进沿海规划实施，加快沿海地区项目建设。</w:t>
            </w:r>
          </w:p>
        </w:tc>
        <w:tc>
          <w:tcPr>
            <w:tcW w:w="1417" w:type="dxa"/>
            <w:shd w:val="clear" w:color="auto" w:fill="auto"/>
            <w:vAlign w:val="center"/>
          </w:tcPr>
          <w:p w14:paraId="5E51AF5D">
            <w:pPr>
              <w:spacing w:line="300" w:lineRule="exact"/>
              <w:ind w:firstLine="420" w:firstLineChars="200"/>
              <w:jc w:val="left"/>
              <w:rPr>
                <w:rFonts w:ascii="方正书宋_GBK" w:eastAsia="方正书宋_GBK"/>
              </w:rPr>
            </w:pPr>
            <w:r>
              <w:rPr>
                <w:rFonts w:hint="eastAsia" w:ascii="方正书宋_GBK" w:eastAsia="方正书宋_GBK"/>
              </w:rPr>
              <w:t>组织召开联络员会议</w:t>
            </w:r>
          </w:p>
        </w:tc>
        <w:tc>
          <w:tcPr>
            <w:tcW w:w="737" w:type="dxa"/>
            <w:shd w:val="clear" w:color="auto" w:fill="auto"/>
            <w:vAlign w:val="center"/>
          </w:tcPr>
          <w:p w14:paraId="10179E10">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4BD10692">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23731D3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5DD75226">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620F8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3FEAAEA">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1489962E">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63C29BAF">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036FA197">
            <w:pPr>
              <w:spacing w:line="300" w:lineRule="exact"/>
              <w:ind w:firstLine="420" w:firstLineChars="200"/>
              <w:jc w:val="left"/>
              <w:rPr>
                <w:rFonts w:ascii="方正书宋_GBK" w:eastAsia="方正书宋_GBK"/>
              </w:rPr>
            </w:pPr>
          </w:p>
        </w:tc>
        <w:tc>
          <w:tcPr>
            <w:tcW w:w="1417" w:type="dxa"/>
            <w:shd w:val="clear" w:color="auto" w:fill="auto"/>
            <w:vAlign w:val="center"/>
          </w:tcPr>
          <w:p w14:paraId="1D34B433">
            <w:pPr>
              <w:spacing w:line="300" w:lineRule="exact"/>
              <w:ind w:firstLine="420" w:firstLineChars="200"/>
              <w:jc w:val="left"/>
              <w:rPr>
                <w:rFonts w:ascii="方正书宋_GBK" w:eastAsia="方正书宋_GBK"/>
              </w:rPr>
            </w:pPr>
            <w:r>
              <w:rPr>
                <w:rFonts w:hint="eastAsia" w:ascii="方正书宋_GBK" w:eastAsia="方正书宋_GBK"/>
              </w:rPr>
              <w:t>现场调研督导政策落实</w:t>
            </w:r>
          </w:p>
        </w:tc>
        <w:tc>
          <w:tcPr>
            <w:tcW w:w="737" w:type="dxa"/>
            <w:shd w:val="clear" w:color="auto" w:fill="auto"/>
            <w:vAlign w:val="center"/>
          </w:tcPr>
          <w:p w14:paraId="626DA1B8">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74702B07">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28CD76E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042ACB04">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1BE6C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429380F">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24B6EB64">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70066F0E">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69D1A9BC">
            <w:pPr>
              <w:spacing w:line="300" w:lineRule="exact"/>
              <w:ind w:firstLine="420" w:firstLineChars="200"/>
              <w:jc w:val="left"/>
              <w:rPr>
                <w:rFonts w:ascii="方正书宋_GBK" w:eastAsia="方正书宋_GBK"/>
              </w:rPr>
            </w:pPr>
          </w:p>
        </w:tc>
        <w:tc>
          <w:tcPr>
            <w:tcW w:w="1417" w:type="dxa"/>
            <w:shd w:val="clear" w:color="auto" w:fill="auto"/>
            <w:vAlign w:val="center"/>
          </w:tcPr>
          <w:p w14:paraId="648C8CB7">
            <w:pPr>
              <w:spacing w:line="300" w:lineRule="exact"/>
              <w:ind w:firstLine="420" w:firstLineChars="200"/>
              <w:jc w:val="left"/>
              <w:rPr>
                <w:rFonts w:ascii="方正书宋_GBK" w:eastAsia="方正书宋_GBK"/>
              </w:rPr>
            </w:pPr>
            <w:r>
              <w:rPr>
                <w:rFonts w:hint="eastAsia" w:ascii="方正书宋_GBK" w:eastAsia="方正书宋_GBK"/>
              </w:rPr>
              <w:t>督导项目建设</w:t>
            </w:r>
          </w:p>
        </w:tc>
        <w:tc>
          <w:tcPr>
            <w:tcW w:w="737" w:type="dxa"/>
            <w:shd w:val="clear" w:color="auto" w:fill="auto"/>
            <w:vAlign w:val="center"/>
          </w:tcPr>
          <w:p w14:paraId="1E02DAD9">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35EFEC14">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553CC2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3DCC8CCB">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0FFD9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9CEF8BE">
            <w:pPr>
              <w:spacing w:line="300" w:lineRule="exact"/>
              <w:jc w:val="left"/>
              <w:rPr>
                <w:rFonts w:ascii="方正书宋_GBK" w:eastAsia="方正书宋_GBK"/>
                <w:b/>
              </w:rPr>
            </w:pPr>
            <w:r>
              <w:rPr>
                <w:rFonts w:hint="eastAsia" w:ascii="方正书宋_GBK" w:eastAsia="方正书宋_GBK"/>
                <w:b/>
              </w:rPr>
              <w:t>推进区域经济与可持续发展</w:t>
            </w:r>
          </w:p>
        </w:tc>
        <w:tc>
          <w:tcPr>
            <w:tcW w:w="1276" w:type="dxa"/>
            <w:shd w:val="clear" w:color="auto" w:fill="auto"/>
            <w:vAlign w:val="center"/>
          </w:tcPr>
          <w:p w14:paraId="2F618E38">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shd w:val="clear" w:color="auto" w:fill="auto"/>
            <w:vAlign w:val="center"/>
          </w:tcPr>
          <w:p w14:paraId="53D29BAB">
            <w:pPr>
              <w:spacing w:line="300" w:lineRule="exact"/>
              <w:ind w:firstLine="420" w:firstLineChars="200"/>
              <w:jc w:val="left"/>
              <w:rPr>
                <w:rFonts w:ascii="方正书宋_GBK" w:eastAsia="方正书宋_GBK"/>
              </w:rPr>
            </w:pPr>
            <w:r>
              <w:rPr>
                <w:rFonts w:hint="eastAsia" w:ascii="方正书宋_GBK" w:eastAsia="方正书宋_GBK"/>
              </w:rPr>
              <w:t>负责资源型城市转型与可持续发展工作；组织实施主体功能区规划；安排重点流域治理和区域环境综合整治项目</w:t>
            </w:r>
          </w:p>
        </w:tc>
        <w:tc>
          <w:tcPr>
            <w:tcW w:w="2976" w:type="dxa"/>
            <w:shd w:val="clear" w:color="auto" w:fill="auto"/>
            <w:vAlign w:val="center"/>
          </w:tcPr>
          <w:p w14:paraId="1F3DBA9E">
            <w:pPr>
              <w:spacing w:line="300" w:lineRule="exact"/>
              <w:ind w:firstLine="420" w:firstLineChars="200"/>
              <w:jc w:val="left"/>
              <w:rPr>
                <w:rFonts w:ascii="方正书宋_GBK" w:eastAsia="方正书宋_GBK"/>
              </w:rPr>
            </w:pPr>
            <w:r>
              <w:rPr>
                <w:rFonts w:hint="eastAsia" w:ascii="方正书宋_GBK" w:eastAsia="方正书宋_GBK"/>
              </w:rPr>
              <w:t>加强区域经济发展管理工作，提高县域经济发展水平，改善重点流域水环境。</w:t>
            </w:r>
          </w:p>
        </w:tc>
        <w:tc>
          <w:tcPr>
            <w:tcW w:w="1417" w:type="dxa"/>
            <w:shd w:val="clear" w:color="auto" w:fill="auto"/>
            <w:vAlign w:val="center"/>
          </w:tcPr>
          <w:p w14:paraId="66E0B7F8">
            <w:pPr>
              <w:spacing w:line="300" w:lineRule="exact"/>
              <w:ind w:firstLine="420" w:firstLineChars="200"/>
              <w:jc w:val="left"/>
              <w:rPr>
                <w:rFonts w:ascii="方正书宋_GBK" w:eastAsia="方正书宋_GBK"/>
              </w:rPr>
            </w:pPr>
            <w:r>
              <w:rPr>
                <w:rFonts w:hint="eastAsia" w:ascii="方正书宋_GBK" w:eastAsia="方正书宋_GBK"/>
              </w:rPr>
              <w:t>区域经济可持续发展规划实施完成情况</w:t>
            </w:r>
          </w:p>
        </w:tc>
        <w:tc>
          <w:tcPr>
            <w:tcW w:w="737" w:type="dxa"/>
            <w:shd w:val="clear" w:color="auto" w:fill="auto"/>
            <w:vAlign w:val="center"/>
          </w:tcPr>
          <w:p w14:paraId="54B6ED47">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04A7C17D">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2BCBD4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788BB695">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1A45B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8951A8F">
            <w:pPr>
              <w:spacing w:line="300" w:lineRule="exact"/>
              <w:jc w:val="left"/>
              <w:rPr>
                <w:rFonts w:ascii="方正书宋_GBK" w:eastAsia="方正书宋_GBK"/>
                <w:b/>
              </w:rPr>
            </w:pPr>
            <w:r>
              <w:rPr>
                <w:rFonts w:hint="eastAsia" w:ascii="方正书宋_GBK" w:eastAsia="方正书宋_GBK"/>
                <w:b/>
              </w:rPr>
              <w:t>组织推进农业资源区划</w:t>
            </w:r>
          </w:p>
        </w:tc>
        <w:tc>
          <w:tcPr>
            <w:tcW w:w="1276" w:type="dxa"/>
            <w:shd w:val="clear" w:color="auto" w:fill="auto"/>
            <w:vAlign w:val="center"/>
          </w:tcPr>
          <w:p w14:paraId="5CB2352F">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shd w:val="clear" w:color="auto" w:fill="auto"/>
            <w:vAlign w:val="center"/>
          </w:tcPr>
          <w:p w14:paraId="2FF45FB4">
            <w:pPr>
              <w:spacing w:line="300" w:lineRule="exact"/>
              <w:ind w:firstLine="420" w:firstLineChars="200"/>
              <w:jc w:val="left"/>
              <w:rPr>
                <w:rFonts w:ascii="方正书宋_GBK" w:eastAsia="方正书宋_GBK"/>
              </w:rPr>
            </w:pPr>
            <w:r>
              <w:rPr>
                <w:rFonts w:hint="eastAsia" w:ascii="方正书宋_GBK" w:eastAsia="方正书宋_GBK"/>
              </w:rPr>
              <w:t>建立农业资源监测制度；负责农业资源可持续发展和高效利用实验示范工作；综合管理农业遥感技术的利用。</w:t>
            </w:r>
          </w:p>
        </w:tc>
        <w:tc>
          <w:tcPr>
            <w:tcW w:w="2976" w:type="dxa"/>
            <w:shd w:val="clear" w:color="auto" w:fill="auto"/>
            <w:vAlign w:val="center"/>
          </w:tcPr>
          <w:p w14:paraId="3E947D76">
            <w:pPr>
              <w:spacing w:line="300" w:lineRule="exact"/>
              <w:ind w:firstLine="420" w:firstLineChars="200"/>
              <w:jc w:val="left"/>
              <w:rPr>
                <w:rFonts w:ascii="方正书宋_GBK" w:eastAsia="方正书宋_GBK"/>
              </w:rPr>
            </w:pPr>
            <w:r>
              <w:rPr>
                <w:rFonts w:hint="eastAsia" w:ascii="方正书宋_GBK" w:eastAsia="方正书宋_GBK"/>
              </w:rPr>
              <w:t>掌握我县农业资源现状及动态变化。</w:t>
            </w:r>
          </w:p>
        </w:tc>
        <w:tc>
          <w:tcPr>
            <w:tcW w:w="1417" w:type="dxa"/>
            <w:shd w:val="clear" w:color="auto" w:fill="auto"/>
            <w:vAlign w:val="center"/>
          </w:tcPr>
          <w:p w14:paraId="2E8410D0">
            <w:pPr>
              <w:spacing w:line="300" w:lineRule="exact"/>
              <w:ind w:firstLine="420" w:firstLineChars="200"/>
              <w:jc w:val="left"/>
              <w:rPr>
                <w:rFonts w:ascii="方正书宋_GBK" w:eastAsia="方正书宋_GBK"/>
              </w:rPr>
            </w:pPr>
            <w:r>
              <w:rPr>
                <w:rFonts w:hint="eastAsia" w:ascii="方正书宋_GBK" w:eastAsia="方正书宋_GBK"/>
              </w:rPr>
              <w:t>专题研究报告数量</w:t>
            </w:r>
          </w:p>
        </w:tc>
        <w:tc>
          <w:tcPr>
            <w:tcW w:w="737" w:type="dxa"/>
            <w:shd w:val="clear" w:color="auto" w:fill="auto"/>
            <w:vAlign w:val="center"/>
          </w:tcPr>
          <w:p w14:paraId="07EF7426">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32997B47">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6893304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4201E50E">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712C2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CC45A5B">
            <w:pPr>
              <w:spacing w:line="300" w:lineRule="exact"/>
              <w:jc w:val="left"/>
              <w:rPr>
                <w:rFonts w:ascii="方正书宋_GBK" w:eastAsia="方正书宋_GBK"/>
                <w:b/>
              </w:rPr>
            </w:pPr>
            <w:r>
              <w:rPr>
                <w:rFonts w:hint="eastAsia" w:ascii="方正书宋_GBK" w:eastAsia="方正书宋_GBK"/>
                <w:b/>
              </w:rPr>
              <w:t>固定资产投资调控与管理</w:t>
            </w:r>
          </w:p>
        </w:tc>
        <w:tc>
          <w:tcPr>
            <w:tcW w:w="1276" w:type="dxa"/>
            <w:shd w:val="clear" w:color="auto" w:fill="auto"/>
            <w:vAlign w:val="center"/>
          </w:tcPr>
          <w:p w14:paraId="45DEB78E">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shd w:val="clear" w:color="auto" w:fill="auto"/>
            <w:vAlign w:val="center"/>
          </w:tcPr>
          <w:p w14:paraId="3B7813CB">
            <w:pPr>
              <w:spacing w:line="300" w:lineRule="exact"/>
              <w:ind w:firstLine="420" w:firstLineChars="200"/>
              <w:jc w:val="left"/>
              <w:rPr>
                <w:rFonts w:ascii="方正书宋_GBK" w:eastAsia="方正书宋_GBK"/>
              </w:rPr>
            </w:pPr>
            <w:r>
              <w:rPr>
                <w:rFonts w:hint="eastAsia" w:ascii="方正书宋_GBK" w:eastAsia="方正书宋_GBK"/>
              </w:rPr>
              <w:t>固定资产投资调控与管理</w:t>
            </w:r>
          </w:p>
        </w:tc>
        <w:tc>
          <w:tcPr>
            <w:tcW w:w="2976" w:type="dxa"/>
            <w:shd w:val="clear" w:color="auto" w:fill="auto"/>
            <w:vAlign w:val="center"/>
          </w:tcPr>
          <w:p w14:paraId="51D0A96F">
            <w:pPr>
              <w:spacing w:line="300" w:lineRule="exact"/>
              <w:ind w:firstLine="420" w:firstLineChars="200"/>
              <w:jc w:val="left"/>
              <w:rPr>
                <w:rFonts w:ascii="方正书宋_GBK" w:eastAsia="方正书宋_GBK"/>
              </w:rPr>
            </w:pPr>
            <w:r>
              <w:rPr>
                <w:rFonts w:hint="eastAsia" w:ascii="方正书宋_GBK" w:eastAsia="方正书宋_GBK"/>
              </w:rPr>
              <w:t>固定资产投资调控与管理</w:t>
            </w:r>
          </w:p>
        </w:tc>
        <w:tc>
          <w:tcPr>
            <w:tcW w:w="1417" w:type="dxa"/>
            <w:shd w:val="clear" w:color="auto" w:fill="auto"/>
            <w:vAlign w:val="center"/>
          </w:tcPr>
          <w:p w14:paraId="60721E45">
            <w:pPr>
              <w:spacing w:line="300" w:lineRule="exact"/>
              <w:ind w:firstLine="420" w:firstLineChars="200"/>
              <w:jc w:val="left"/>
              <w:rPr>
                <w:rFonts w:ascii="方正书宋_GBK" w:eastAsia="方正书宋_GBK"/>
              </w:rPr>
            </w:pPr>
          </w:p>
        </w:tc>
        <w:tc>
          <w:tcPr>
            <w:tcW w:w="737" w:type="dxa"/>
            <w:shd w:val="clear" w:color="auto" w:fill="auto"/>
            <w:vAlign w:val="center"/>
          </w:tcPr>
          <w:p w14:paraId="1171FF47">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6A05E954">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1E1FC57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766C298D">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2DCBD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96DB843">
            <w:pPr>
              <w:spacing w:line="300" w:lineRule="exact"/>
              <w:jc w:val="left"/>
              <w:rPr>
                <w:rFonts w:ascii="方正书宋_GBK" w:eastAsia="方正书宋_GBK"/>
                <w:b/>
              </w:rPr>
            </w:pPr>
            <w:r>
              <w:rPr>
                <w:rFonts w:hint="eastAsia" w:ascii="方正书宋_GBK" w:eastAsia="方正书宋_GBK"/>
                <w:b/>
              </w:rPr>
              <w:t>县级预算内基本建设投资项目管理</w:t>
            </w:r>
          </w:p>
        </w:tc>
        <w:tc>
          <w:tcPr>
            <w:tcW w:w="1276" w:type="dxa"/>
            <w:vMerge w:val="restart"/>
            <w:shd w:val="clear" w:color="auto" w:fill="auto"/>
            <w:vAlign w:val="center"/>
          </w:tcPr>
          <w:p w14:paraId="4D4E8741">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vMerge w:val="restart"/>
            <w:shd w:val="clear" w:color="auto" w:fill="auto"/>
            <w:vAlign w:val="center"/>
          </w:tcPr>
          <w:p w14:paraId="6E5B8454">
            <w:pPr>
              <w:spacing w:line="300" w:lineRule="exact"/>
              <w:ind w:firstLine="420" w:firstLineChars="200"/>
              <w:jc w:val="left"/>
              <w:rPr>
                <w:rFonts w:ascii="方正书宋_GBK" w:eastAsia="方正书宋_GBK"/>
              </w:rPr>
            </w:pPr>
            <w:r>
              <w:rPr>
                <w:rFonts w:hint="eastAsia" w:ascii="方正书宋_GBK" w:eastAsia="方正书宋_GBK"/>
              </w:rPr>
              <w:t>落实县委县政府决策部署，依据发展规划和年度计划，编制县级预算内基本建设投资计划；统筹提出县级预算内基本建设资金安排的农林水、生态建设、农业科技、社会事业、公共安全等基础设施建设项目资金安排建议</w:t>
            </w:r>
          </w:p>
        </w:tc>
        <w:tc>
          <w:tcPr>
            <w:tcW w:w="2976" w:type="dxa"/>
            <w:vMerge w:val="restart"/>
            <w:shd w:val="clear" w:color="auto" w:fill="auto"/>
            <w:vAlign w:val="center"/>
          </w:tcPr>
          <w:p w14:paraId="3D817193">
            <w:pPr>
              <w:spacing w:line="300" w:lineRule="exact"/>
              <w:ind w:firstLine="420" w:firstLineChars="200"/>
              <w:jc w:val="left"/>
              <w:rPr>
                <w:rFonts w:ascii="方正书宋_GBK" w:eastAsia="方正书宋_GBK"/>
              </w:rPr>
            </w:pPr>
            <w:r>
              <w:rPr>
                <w:rFonts w:hint="eastAsia" w:ascii="方正书宋_GBK" w:eastAsia="方正书宋_GBK"/>
              </w:rPr>
              <w:t>按时编制并提交年度预算内基建项目安排建议，并落实到具体项目；足额保证县委、县政府确定的重点基建投资项目；落实与中央、省投资项目配套；及时下达预算内基建项目投资计划，提高县级政务设施服务保障能力</w:t>
            </w:r>
          </w:p>
        </w:tc>
        <w:tc>
          <w:tcPr>
            <w:tcW w:w="1417" w:type="dxa"/>
            <w:shd w:val="clear" w:color="auto" w:fill="auto"/>
            <w:vAlign w:val="center"/>
          </w:tcPr>
          <w:p w14:paraId="538E9646">
            <w:pPr>
              <w:spacing w:line="300" w:lineRule="exact"/>
              <w:ind w:firstLine="420" w:firstLineChars="200"/>
              <w:jc w:val="left"/>
              <w:rPr>
                <w:rFonts w:ascii="方正书宋_GBK" w:eastAsia="方正书宋_GBK"/>
              </w:rPr>
            </w:pPr>
            <w:r>
              <w:rPr>
                <w:rFonts w:hint="eastAsia" w:ascii="方正书宋_GBK" w:eastAsia="方正书宋_GBK"/>
              </w:rPr>
              <w:t>重点基建投资项目计划完成率</w:t>
            </w:r>
          </w:p>
        </w:tc>
        <w:tc>
          <w:tcPr>
            <w:tcW w:w="737" w:type="dxa"/>
            <w:shd w:val="clear" w:color="auto" w:fill="auto"/>
            <w:vAlign w:val="center"/>
          </w:tcPr>
          <w:p w14:paraId="7D101C25">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7F982705">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7E075C7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1458A1B7">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21EC8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E18BF25">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46758A09">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1A03B893">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64E4D31F">
            <w:pPr>
              <w:spacing w:line="300" w:lineRule="exact"/>
              <w:ind w:firstLine="420" w:firstLineChars="200"/>
              <w:jc w:val="left"/>
              <w:rPr>
                <w:rFonts w:ascii="方正书宋_GBK" w:eastAsia="方正书宋_GBK"/>
              </w:rPr>
            </w:pPr>
          </w:p>
        </w:tc>
        <w:tc>
          <w:tcPr>
            <w:tcW w:w="1417" w:type="dxa"/>
            <w:shd w:val="clear" w:color="auto" w:fill="auto"/>
            <w:vAlign w:val="center"/>
          </w:tcPr>
          <w:p w14:paraId="0FD18C88">
            <w:pPr>
              <w:spacing w:line="300" w:lineRule="exact"/>
              <w:ind w:firstLine="420" w:firstLineChars="200"/>
              <w:jc w:val="left"/>
              <w:rPr>
                <w:rFonts w:ascii="方正书宋_GBK" w:eastAsia="方正书宋_GBK"/>
              </w:rPr>
            </w:pPr>
            <w:r>
              <w:rPr>
                <w:rFonts w:hint="eastAsia" w:ascii="方正书宋_GBK" w:eastAsia="方正书宋_GBK"/>
              </w:rPr>
              <w:t>资金细化程度</w:t>
            </w:r>
          </w:p>
        </w:tc>
        <w:tc>
          <w:tcPr>
            <w:tcW w:w="737" w:type="dxa"/>
            <w:shd w:val="clear" w:color="auto" w:fill="auto"/>
            <w:vAlign w:val="center"/>
          </w:tcPr>
          <w:p w14:paraId="6150E70B">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7BD12E21">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6479CBE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7211103E">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5F764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64525B5">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4A0632A1">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7BB5F5A2">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411E7D1E">
            <w:pPr>
              <w:spacing w:line="300" w:lineRule="exact"/>
              <w:ind w:firstLine="420" w:firstLineChars="200"/>
              <w:jc w:val="left"/>
              <w:rPr>
                <w:rFonts w:ascii="方正书宋_GBK" w:eastAsia="方正书宋_GBK"/>
              </w:rPr>
            </w:pPr>
          </w:p>
        </w:tc>
        <w:tc>
          <w:tcPr>
            <w:tcW w:w="1417" w:type="dxa"/>
            <w:shd w:val="clear" w:color="auto" w:fill="auto"/>
            <w:vAlign w:val="center"/>
          </w:tcPr>
          <w:p w14:paraId="5E7CDF32">
            <w:pPr>
              <w:spacing w:line="300" w:lineRule="exact"/>
              <w:ind w:firstLine="420" w:firstLineChars="200"/>
              <w:jc w:val="left"/>
              <w:rPr>
                <w:rFonts w:ascii="方正书宋_GBK" w:eastAsia="方正书宋_GBK"/>
              </w:rPr>
            </w:pPr>
            <w:r>
              <w:rPr>
                <w:rFonts w:hint="eastAsia" w:ascii="方正书宋_GBK" w:eastAsia="方正书宋_GBK"/>
              </w:rPr>
              <w:t>下达预算内基建项目投资计划的及时性</w:t>
            </w:r>
          </w:p>
        </w:tc>
        <w:tc>
          <w:tcPr>
            <w:tcW w:w="737" w:type="dxa"/>
            <w:shd w:val="clear" w:color="auto" w:fill="auto"/>
            <w:vAlign w:val="center"/>
          </w:tcPr>
          <w:p w14:paraId="7255D819">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36469512">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34529C7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18FE2242">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7931F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E8C4BBE">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1BCF0027">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1481D324">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75953B17">
            <w:pPr>
              <w:spacing w:line="300" w:lineRule="exact"/>
              <w:ind w:firstLine="420" w:firstLineChars="200"/>
              <w:jc w:val="left"/>
              <w:rPr>
                <w:rFonts w:ascii="方正书宋_GBK" w:eastAsia="方正书宋_GBK"/>
              </w:rPr>
            </w:pPr>
          </w:p>
        </w:tc>
        <w:tc>
          <w:tcPr>
            <w:tcW w:w="1417" w:type="dxa"/>
            <w:shd w:val="clear" w:color="auto" w:fill="auto"/>
            <w:vAlign w:val="center"/>
          </w:tcPr>
          <w:p w14:paraId="15BAA5D7">
            <w:pPr>
              <w:spacing w:line="300" w:lineRule="exact"/>
              <w:ind w:firstLine="420" w:firstLineChars="200"/>
              <w:jc w:val="left"/>
              <w:rPr>
                <w:rFonts w:ascii="方正书宋_GBK" w:eastAsia="方正书宋_GBK"/>
              </w:rPr>
            </w:pPr>
            <w:r>
              <w:rPr>
                <w:rFonts w:hint="eastAsia" w:ascii="方正书宋_GBK" w:eastAsia="方正书宋_GBK"/>
              </w:rPr>
              <w:t>建设项目手续完备率</w:t>
            </w:r>
          </w:p>
        </w:tc>
        <w:tc>
          <w:tcPr>
            <w:tcW w:w="737" w:type="dxa"/>
            <w:shd w:val="clear" w:color="auto" w:fill="auto"/>
            <w:vAlign w:val="center"/>
          </w:tcPr>
          <w:p w14:paraId="36DBB92D">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2F6A32C0">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2288610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0F9AF214">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0C4D6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E666A59">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26270451">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490CCAF2">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529A80A9">
            <w:pPr>
              <w:spacing w:line="300" w:lineRule="exact"/>
              <w:ind w:firstLine="420" w:firstLineChars="200"/>
              <w:jc w:val="left"/>
              <w:rPr>
                <w:rFonts w:ascii="方正书宋_GBK" w:eastAsia="方正书宋_GBK"/>
              </w:rPr>
            </w:pPr>
          </w:p>
        </w:tc>
        <w:tc>
          <w:tcPr>
            <w:tcW w:w="1417" w:type="dxa"/>
            <w:shd w:val="clear" w:color="auto" w:fill="auto"/>
            <w:vAlign w:val="center"/>
          </w:tcPr>
          <w:p w14:paraId="5CA94691">
            <w:pPr>
              <w:spacing w:line="300" w:lineRule="exact"/>
              <w:ind w:firstLine="420" w:firstLineChars="200"/>
              <w:jc w:val="left"/>
              <w:rPr>
                <w:rFonts w:ascii="方正书宋_GBK" w:eastAsia="方正书宋_GBK"/>
              </w:rPr>
            </w:pPr>
            <w:r>
              <w:rPr>
                <w:rFonts w:hint="eastAsia" w:ascii="方正书宋_GBK" w:eastAsia="方正书宋_GBK"/>
              </w:rPr>
              <w:t>突破概算投资的项目个数</w:t>
            </w:r>
          </w:p>
        </w:tc>
        <w:tc>
          <w:tcPr>
            <w:tcW w:w="737" w:type="dxa"/>
            <w:shd w:val="clear" w:color="auto" w:fill="auto"/>
            <w:vAlign w:val="center"/>
          </w:tcPr>
          <w:p w14:paraId="04B97DF6">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1C029EC5">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54016B6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305CFE92">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5F042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4062AD9">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7E919763">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5136DE25">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0B1D8C56">
            <w:pPr>
              <w:spacing w:line="300" w:lineRule="exact"/>
              <w:ind w:firstLine="420" w:firstLineChars="200"/>
              <w:jc w:val="left"/>
              <w:rPr>
                <w:rFonts w:ascii="方正书宋_GBK" w:eastAsia="方正书宋_GBK"/>
              </w:rPr>
            </w:pPr>
          </w:p>
        </w:tc>
        <w:tc>
          <w:tcPr>
            <w:tcW w:w="1417" w:type="dxa"/>
            <w:shd w:val="clear" w:color="auto" w:fill="auto"/>
            <w:vAlign w:val="center"/>
          </w:tcPr>
          <w:p w14:paraId="7E38F738">
            <w:pPr>
              <w:spacing w:line="300" w:lineRule="exact"/>
              <w:ind w:firstLine="420" w:firstLineChars="200"/>
              <w:jc w:val="left"/>
              <w:rPr>
                <w:rFonts w:ascii="方正书宋_GBK" w:eastAsia="方正书宋_GBK"/>
              </w:rPr>
            </w:pPr>
            <w:r>
              <w:rPr>
                <w:rFonts w:hint="eastAsia" w:ascii="方正书宋_GBK" w:eastAsia="方正书宋_GBK"/>
              </w:rPr>
              <w:t>按期投入使用的项目占比</w:t>
            </w:r>
          </w:p>
        </w:tc>
        <w:tc>
          <w:tcPr>
            <w:tcW w:w="737" w:type="dxa"/>
            <w:shd w:val="clear" w:color="auto" w:fill="auto"/>
            <w:vAlign w:val="center"/>
          </w:tcPr>
          <w:p w14:paraId="026213B7">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14CE3B75">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6EDD3E4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40387003">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3DF46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7B763089">
            <w:pPr>
              <w:spacing w:line="300" w:lineRule="exact"/>
              <w:jc w:val="left"/>
              <w:rPr>
                <w:rFonts w:ascii="方正书宋_GBK" w:eastAsia="方正书宋_GBK"/>
                <w:b/>
              </w:rPr>
            </w:pPr>
            <w:r>
              <w:rPr>
                <w:rFonts w:hint="eastAsia" w:ascii="方正书宋_GBK" w:eastAsia="方正书宋_GBK"/>
                <w:b/>
              </w:rPr>
              <w:t>组织实施县级重点项目管理和稽察</w:t>
            </w:r>
          </w:p>
        </w:tc>
        <w:tc>
          <w:tcPr>
            <w:tcW w:w="1276" w:type="dxa"/>
            <w:vMerge w:val="restart"/>
            <w:shd w:val="clear" w:color="auto" w:fill="auto"/>
            <w:vAlign w:val="center"/>
          </w:tcPr>
          <w:p w14:paraId="2B7E08B9">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vMerge w:val="restart"/>
            <w:shd w:val="clear" w:color="auto" w:fill="auto"/>
            <w:vAlign w:val="center"/>
          </w:tcPr>
          <w:p w14:paraId="57AFF6C6">
            <w:pPr>
              <w:spacing w:line="300" w:lineRule="exact"/>
              <w:ind w:firstLine="420" w:firstLineChars="200"/>
              <w:jc w:val="left"/>
              <w:rPr>
                <w:rFonts w:ascii="方正书宋_GBK" w:eastAsia="方正书宋_GBK"/>
              </w:rPr>
            </w:pPr>
            <w:r>
              <w:rPr>
                <w:rFonts w:hint="eastAsia" w:ascii="方正书宋_GBK" w:eastAsia="方正书宋_GBK"/>
              </w:rPr>
              <w:t>组织筛选和实施县级重点建设项目，协调建设要素及推进中的重大问题；按规定权限审批、核准、审核重大建设项目；组织实施重点项目中期评估、后期评价考核；组织开展重点建设项目稽察；指导工程咨询业发展，参与管理与投资建设有关的标准定额；组织开展对工作活动范围内的项目单位在前期手续、投资计划和资金下达、建设实施、建设管理、进度控制、资金和财务管理、竣工验收等方面实施情况的监督检查；指导管理政府投资非经营性项目代建制工作；建立投资项目信息报送制度。化工、煤炭建设项目工程质量监督管理。</w:t>
            </w:r>
          </w:p>
        </w:tc>
        <w:tc>
          <w:tcPr>
            <w:tcW w:w="2976" w:type="dxa"/>
            <w:vMerge w:val="restart"/>
            <w:shd w:val="clear" w:color="auto" w:fill="auto"/>
            <w:vAlign w:val="center"/>
          </w:tcPr>
          <w:p w14:paraId="37A62941">
            <w:pPr>
              <w:spacing w:line="300" w:lineRule="exact"/>
              <w:ind w:firstLine="420" w:firstLineChars="200"/>
              <w:jc w:val="left"/>
              <w:rPr>
                <w:rFonts w:ascii="方正书宋_GBK" w:eastAsia="方正书宋_GBK"/>
              </w:rPr>
            </w:pPr>
            <w:r>
              <w:rPr>
                <w:rFonts w:hint="eastAsia" w:ascii="方正书宋_GBK" w:eastAsia="方正书宋_GBK"/>
              </w:rPr>
              <w:t>加强重点项目谋划、协调、督导，推动重点项目顺利实施。加强项目监管，保证建设项目工程质量和建设资金安全及有效使用，维护国家和社会公共利益。处罚项目建设中重大突出违法问题</w:t>
            </w:r>
          </w:p>
        </w:tc>
        <w:tc>
          <w:tcPr>
            <w:tcW w:w="1417" w:type="dxa"/>
            <w:shd w:val="clear" w:color="auto" w:fill="auto"/>
            <w:vAlign w:val="center"/>
          </w:tcPr>
          <w:p w14:paraId="7466FEC1">
            <w:pPr>
              <w:spacing w:line="300" w:lineRule="exact"/>
              <w:ind w:firstLine="420" w:firstLineChars="200"/>
              <w:jc w:val="left"/>
              <w:rPr>
                <w:rFonts w:ascii="方正书宋_GBK" w:eastAsia="方正书宋_GBK"/>
              </w:rPr>
            </w:pPr>
            <w:r>
              <w:rPr>
                <w:rFonts w:hint="eastAsia" w:ascii="方正书宋_GBK" w:eastAsia="方正书宋_GBK"/>
              </w:rPr>
              <w:t>项目开工率</w:t>
            </w:r>
          </w:p>
        </w:tc>
        <w:tc>
          <w:tcPr>
            <w:tcW w:w="737" w:type="dxa"/>
            <w:shd w:val="clear" w:color="auto" w:fill="auto"/>
            <w:vAlign w:val="center"/>
          </w:tcPr>
          <w:p w14:paraId="1ECE93FC">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750C9F35">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3AA7B4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4D69B367">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31C36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2858A7B">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7F4459E9">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002261BF">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76600B39">
            <w:pPr>
              <w:spacing w:line="300" w:lineRule="exact"/>
              <w:ind w:firstLine="420" w:firstLineChars="200"/>
              <w:jc w:val="left"/>
              <w:rPr>
                <w:rFonts w:ascii="方正书宋_GBK" w:eastAsia="方正书宋_GBK"/>
              </w:rPr>
            </w:pPr>
          </w:p>
        </w:tc>
        <w:tc>
          <w:tcPr>
            <w:tcW w:w="1417" w:type="dxa"/>
            <w:shd w:val="clear" w:color="auto" w:fill="auto"/>
            <w:vAlign w:val="center"/>
          </w:tcPr>
          <w:p w14:paraId="631DF133">
            <w:pPr>
              <w:spacing w:line="300" w:lineRule="exact"/>
              <w:ind w:firstLine="420" w:firstLineChars="200"/>
              <w:jc w:val="left"/>
              <w:rPr>
                <w:rFonts w:ascii="方正书宋_GBK" w:eastAsia="方正书宋_GBK"/>
              </w:rPr>
            </w:pPr>
            <w:r>
              <w:rPr>
                <w:rFonts w:hint="eastAsia" w:ascii="方正书宋_GBK" w:eastAsia="方正书宋_GBK"/>
              </w:rPr>
              <w:t>监督稽察覆盖率</w:t>
            </w:r>
          </w:p>
        </w:tc>
        <w:tc>
          <w:tcPr>
            <w:tcW w:w="737" w:type="dxa"/>
            <w:shd w:val="clear" w:color="auto" w:fill="auto"/>
            <w:vAlign w:val="center"/>
          </w:tcPr>
          <w:p w14:paraId="35FEB570">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5393A1C4">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28C2A13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7CFA1C9E">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122EE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3AA93AA">
            <w:pPr>
              <w:spacing w:line="300" w:lineRule="exact"/>
              <w:jc w:val="left"/>
              <w:rPr>
                <w:rFonts w:ascii="方正书宋_GBK" w:eastAsia="方正书宋_GBK"/>
                <w:b/>
              </w:rPr>
            </w:pPr>
            <w:r>
              <w:rPr>
                <w:rFonts w:hint="eastAsia" w:ascii="方正书宋_GBK" w:eastAsia="方正书宋_GBK"/>
                <w:b/>
              </w:rPr>
              <w:t>发展和改革政务管理</w:t>
            </w:r>
          </w:p>
        </w:tc>
        <w:tc>
          <w:tcPr>
            <w:tcW w:w="1276" w:type="dxa"/>
            <w:shd w:val="clear" w:color="auto" w:fill="auto"/>
            <w:vAlign w:val="center"/>
          </w:tcPr>
          <w:p w14:paraId="439DECC7">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shd w:val="clear" w:color="auto" w:fill="auto"/>
            <w:vAlign w:val="center"/>
          </w:tcPr>
          <w:p w14:paraId="6F314D93">
            <w:pPr>
              <w:spacing w:line="300" w:lineRule="exact"/>
              <w:ind w:firstLine="420" w:firstLineChars="200"/>
              <w:jc w:val="left"/>
              <w:rPr>
                <w:rFonts w:ascii="方正书宋_GBK" w:eastAsia="方正书宋_GBK"/>
              </w:rPr>
            </w:pPr>
            <w:r>
              <w:rPr>
                <w:rFonts w:hint="eastAsia" w:ascii="方正书宋_GBK" w:eastAsia="方正书宋_GBK"/>
              </w:rPr>
              <w:t>保障发展改革一般性日常业务开展和机关事务的基本运转。</w:t>
            </w:r>
          </w:p>
          <w:p w14:paraId="7AF1A893">
            <w:pPr>
              <w:spacing w:line="300" w:lineRule="exact"/>
              <w:ind w:firstLine="420" w:firstLineChars="200"/>
              <w:jc w:val="left"/>
              <w:rPr>
                <w:rFonts w:ascii="方正书宋_GBK" w:eastAsia="方正书宋_GBK"/>
              </w:rPr>
            </w:pPr>
            <w:r>
              <w:rPr>
                <w:rFonts w:hint="eastAsia" w:ascii="方正书宋_GBK" w:eastAsia="方正书宋_GBK"/>
              </w:rPr>
              <w:t>保障发展改革一般性日常业务开展和机关事务的基本运转。</w:t>
            </w:r>
          </w:p>
        </w:tc>
        <w:tc>
          <w:tcPr>
            <w:tcW w:w="2976" w:type="dxa"/>
            <w:shd w:val="clear" w:color="auto" w:fill="auto"/>
            <w:vAlign w:val="center"/>
          </w:tcPr>
          <w:p w14:paraId="1F381A42">
            <w:pPr>
              <w:spacing w:line="300" w:lineRule="exact"/>
              <w:ind w:firstLine="420" w:firstLineChars="200"/>
              <w:jc w:val="left"/>
              <w:rPr>
                <w:rFonts w:ascii="方正书宋_GBK" w:eastAsia="方正书宋_GBK"/>
              </w:rPr>
            </w:pPr>
            <w:r>
              <w:rPr>
                <w:rFonts w:hint="eastAsia" w:ascii="方正书宋_GBK" w:eastAsia="方正书宋_GBK"/>
              </w:rPr>
              <w:t>保障发展改革一般性日常业务开展和机关事务的基本运转。</w:t>
            </w:r>
          </w:p>
          <w:p w14:paraId="46C98D83">
            <w:pPr>
              <w:spacing w:line="300" w:lineRule="exact"/>
              <w:ind w:firstLine="420" w:firstLineChars="200"/>
              <w:jc w:val="left"/>
              <w:rPr>
                <w:rFonts w:ascii="方正书宋_GBK" w:eastAsia="方正书宋_GBK"/>
              </w:rPr>
            </w:pPr>
            <w:r>
              <w:rPr>
                <w:rFonts w:hint="eastAsia" w:ascii="方正书宋_GBK" w:eastAsia="方正书宋_GBK"/>
              </w:rPr>
              <w:t>保障发展改革一般性日常业务开展和机关事务的基本运转。</w:t>
            </w:r>
          </w:p>
        </w:tc>
        <w:tc>
          <w:tcPr>
            <w:tcW w:w="1417" w:type="dxa"/>
            <w:shd w:val="clear" w:color="auto" w:fill="auto"/>
            <w:vAlign w:val="center"/>
          </w:tcPr>
          <w:p w14:paraId="3600950D">
            <w:pPr>
              <w:spacing w:line="300" w:lineRule="exact"/>
              <w:ind w:firstLine="420" w:firstLineChars="200"/>
              <w:jc w:val="left"/>
              <w:rPr>
                <w:rFonts w:ascii="方正书宋_GBK" w:eastAsia="方正书宋_GBK"/>
              </w:rPr>
            </w:pPr>
          </w:p>
        </w:tc>
        <w:tc>
          <w:tcPr>
            <w:tcW w:w="737" w:type="dxa"/>
            <w:shd w:val="clear" w:color="auto" w:fill="auto"/>
            <w:vAlign w:val="center"/>
          </w:tcPr>
          <w:p w14:paraId="6B4C8F87">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0C571333">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7A31D35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07EF6769">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387F2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C88F225">
            <w:pPr>
              <w:spacing w:line="300" w:lineRule="exact"/>
              <w:jc w:val="left"/>
              <w:rPr>
                <w:rFonts w:ascii="方正书宋_GBK" w:eastAsia="方正书宋_GBK"/>
                <w:b/>
              </w:rPr>
            </w:pPr>
            <w:r>
              <w:rPr>
                <w:rFonts w:hint="eastAsia" w:ascii="方正书宋_GBK" w:eastAsia="方正书宋_GBK"/>
                <w:b/>
              </w:rPr>
              <w:t>综合业务管理</w:t>
            </w:r>
          </w:p>
        </w:tc>
        <w:tc>
          <w:tcPr>
            <w:tcW w:w="1276" w:type="dxa"/>
            <w:vMerge w:val="restart"/>
            <w:shd w:val="clear" w:color="auto" w:fill="auto"/>
            <w:vAlign w:val="center"/>
          </w:tcPr>
          <w:p w14:paraId="4BEA0701">
            <w:pPr>
              <w:spacing w:line="300" w:lineRule="exact"/>
              <w:ind w:firstLine="420" w:firstLineChars="200"/>
              <w:jc w:val="left"/>
              <w:rPr>
                <w:rFonts w:ascii="方正书宋_GBK" w:eastAsia="方正书宋_GBK"/>
              </w:rPr>
            </w:pPr>
            <w:r>
              <w:rPr>
                <w:rFonts w:hint="eastAsia" w:asciiTheme="minorEastAsia" w:hAnsiTheme="minorEastAsia"/>
              </w:rPr>
              <w:t>0</w:t>
            </w:r>
          </w:p>
        </w:tc>
        <w:tc>
          <w:tcPr>
            <w:tcW w:w="2976" w:type="dxa"/>
            <w:vMerge w:val="restart"/>
            <w:shd w:val="clear" w:color="auto" w:fill="auto"/>
            <w:vAlign w:val="center"/>
          </w:tcPr>
          <w:p w14:paraId="549C5479">
            <w:pPr>
              <w:spacing w:line="300" w:lineRule="exact"/>
              <w:ind w:firstLine="420" w:firstLineChars="200"/>
              <w:jc w:val="left"/>
              <w:rPr>
                <w:rFonts w:ascii="方正书宋_GBK" w:eastAsia="方正书宋_GBK"/>
              </w:rPr>
            </w:pPr>
            <w:r>
              <w:rPr>
                <w:rFonts w:hint="eastAsia" w:ascii="方正书宋_GBK" w:eastAsia="方正书宋_GBK"/>
              </w:rPr>
              <w:t>负责县级依法必须招标项目的招标投标公告发布、方案核准以及评标专家库、招标代理机构等实施监督管理；按照县政府政策要求，加强行业协会管理和指导，负责县级行业协会发展规划、布局调整、相关政策制定、监督和协调管理，组织实施县级政府购买行业协会服务的管理。</w:t>
            </w:r>
          </w:p>
          <w:p w14:paraId="42AA83C3">
            <w:pPr>
              <w:spacing w:line="300" w:lineRule="exact"/>
              <w:ind w:firstLine="420" w:firstLineChars="200"/>
              <w:jc w:val="left"/>
              <w:rPr>
                <w:rFonts w:ascii="方正书宋_GBK" w:eastAsia="方正书宋_GBK"/>
              </w:rPr>
            </w:pPr>
            <w:r>
              <w:rPr>
                <w:rFonts w:hint="eastAsia" w:ascii="方正书宋_GBK" w:eastAsia="方正书宋_GBK"/>
              </w:rPr>
              <w:t>负责县级依法必须招标项目的招标投标公告发布、方案核准以及评标专家库、招标代理机构等实施监督管理；按照县政府政策要求，加强行业协会管理和指导，负责县级行业协会发展规划、布局调整、相关政策制定、监督和协调管理，组织实施县级政府购买行业协会服务的管理。</w:t>
            </w:r>
          </w:p>
        </w:tc>
        <w:tc>
          <w:tcPr>
            <w:tcW w:w="2976" w:type="dxa"/>
            <w:vMerge w:val="restart"/>
            <w:shd w:val="clear" w:color="auto" w:fill="auto"/>
            <w:vAlign w:val="center"/>
          </w:tcPr>
          <w:p w14:paraId="43EA3C7D">
            <w:pPr>
              <w:spacing w:line="300" w:lineRule="exact"/>
              <w:ind w:firstLine="420" w:firstLineChars="200"/>
              <w:jc w:val="left"/>
              <w:rPr>
                <w:rFonts w:ascii="方正书宋_GBK" w:eastAsia="方正书宋_GBK"/>
              </w:rPr>
            </w:pPr>
            <w:r>
              <w:rPr>
                <w:rFonts w:hint="eastAsia" w:ascii="方正书宋_GBK" w:eastAsia="方正书宋_GBK"/>
              </w:rPr>
              <w:t>招投标管理制度完善，操作实施规范，应依法必须招投标项目覆盖全面；行业协会管理体制科学规范，行业协会与政府、企业间桥梁、纽带、参谋、助手作用发挥充分，完成政府购买行业协会服务评价管理。</w:t>
            </w:r>
          </w:p>
        </w:tc>
        <w:tc>
          <w:tcPr>
            <w:tcW w:w="1417" w:type="dxa"/>
            <w:shd w:val="clear" w:color="auto" w:fill="auto"/>
            <w:vAlign w:val="center"/>
          </w:tcPr>
          <w:p w14:paraId="18303B8E">
            <w:pPr>
              <w:spacing w:line="300" w:lineRule="exact"/>
              <w:ind w:firstLine="420" w:firstLineChars="200"/>
              <w:jc w:val="left"/>
              <w:rPr>
                <w:rFonts w:ascii="方正书宋_GBK" w:eastAsia="方正书宋_GBK"/>
              </w:rPr>
            </w:pPr>
            <w:r>
              <w:rPr>
                <w:rFonts w:hint="eastAsia" w:ascii="方正书宋_GBK" w:eastAsia="方正书宋_GBK"/>
              </w:rPr>
              <w:t>项目招投标基本制度全面规范，应实施项目全面覆盖</w:t>
            </w:r>
          </w:p>
        </w:tc>
        <w:tc>
          <w:tcPr>
            <w:tcW w:w="737" w:type="dxa"/>
            <w:shd w:val="clear" w:color="auto" w:fill="auto"/>
            <w:vAlign w:val="center"/>
          </w:tcPr>
          <w:p w14:paraId="0476CCD5">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3D6C57F9">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30AAFD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4A7FB9C9">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41E03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8A67AAC">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61C61683">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68658CC8">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01E26EAE">
            <w:pPr>
              <w:spacing w:line="300" w:lineRule="exact"/>
              <w:ind w:firstLine="420" w:firstLineChars="200"/>
              <w:jc w:val="left"/>
              <w:rPr>
                <w:rFonts w:ascii="方正书宋_GBK" w:eastAsia="方正书宋_GBK"/>
              </w:rPr>
            </w:pPr>
          </w:p>
        </w:tc>
        <w:tc>
          <w:tcPr>
            <w:tcW w:w="1417" w:type="dxa"/>
            <w:shd w:val="clear" w:color="auto" w:fill="auto"/>
            <w:vAlign w:val="center"/>
          </w:tcPr>
          <w:p w14:paraId="7A03D2FB">
            <w:pPr>
              <w:spacing w:line="300" w:lineRule="exact"/>
              <w:ind w:firstLine="420" w:firstLineChars="200"/>
              <w:jc w:val="left"/>
              <w:rPr>
                <w:rFonts w:ascii="方正书宋_GBK" w:eastAsia="方正书宋_GBK"/>
              </w:rPr>
            </w:pPr>
            <w:r>
              <w:rPr>
                <w:rFonts w:hint="eastAsia" w:ascii="方正书宋_GBK" w:eastAsia="方正书宋_GBK"/>
              </w:rPr>
              <w:t>政府购买行业协会服务评价合格率</w:t>
            </w:r>
          </w:p>
        </w:tc>
        <w:tc>
          <w:tcPr>
            <w:tcW w:w="737" w:type="dxa"/>
            <w:shd w:val="clear" w:color="auto" w:fill="auto"/>
            <w:vAlign w:val="center"/>
          </w:tcPr>
          <w:p w14:paraId="0D22D1E9">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5978D839">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2551D49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223921BC">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414D8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54E19E6">
            <w:pPr>
              <w:spacing w:line="300" w:lineRule="exact"/>
              <w:jc w:val="left"/>
              <w:rPr>
                <w:rFonts w:ascii="方正书宋_GBK" w:eastAsia="方正书宋_GBK"/>
                <w:b/>
              </w:rPr>
            </w:pPr>
            <w:r>
              <w:rPr>
                <w:rFonts w:hint="eastAsia" w:ascii="方正书宋_GBK" w:eastAsia="方正书宋_GBK"/>
                <w:b/>
              </w:rPr>
              <w:t>政务网建设</w:t>
            </w:r>
          </w:p>
        </w:tc>
        <w:tc>
          <w:tcPr>
            <w:tcW w:w="1276" w:type="dxa"/>
            <w:shd w:val="clear" w:color="auto" w:fill="auto"/>
            <w:vAlign w:val="center"/>
          </w:tcPr>
          <w:p w14:paraId="159B6FD5">
            <w:pPr>
              <w:spacing w:line="300" w:lineRule="exact"/>
              <w:ind w:firstLine="420" w:firstLineChars="200"/>
              <w:jc w:val="left"/>
              <w:rPr>
                <w:rFonts w:ascii="方正书宋_GBK" w:eastAsia="方正书宋_GBK"/>
              </w:rPr>
            </w:pPr>
            <w:r>
              <w:rPr>
                <w:rFonts w:ascii="方正书宋_GBK" w:eastAsia="方正书宋_GBK"/>
              </w:rPr>
              <w:t>2.50</w:t>
            </w:r>
          </w:p>
        </w:tc>
        <w:tc>
          <w:tcPr>
            <w:tcW w:w="2976" w:type="dxa"/>
            <w:shd w:val="clear" w:color="auto" w:fill="auto"/>
            <w:vAlign w:val="center"/>
          </w:tcPr>
          <w:p w14:paraId="26001FF7">
            <w:pPr>
              <w:spacing w:line="300" w:lineRule="exact"/>
              <w:jc w:val="left"/>
              <w:rPr>
                <w:rFonts w:ascii="方正书宋_GBK" w:eastAsia="方正书宋_GBK"/>
              </w:rPr>
            </w:pPr>
            <w:r>
              <w:rPr>
                <w:rFonts w:hint="eastAsia" w:ascii="方正书宋_GBK" w:eastAsia="方正书宋_GBK"/>
              </w:rPr>
              <w:t>保证政府综合大楼网络运行</w:t>
            </w:r>
          </w:p>
        </w:tc>
        <w:tc>
          <w:tcPr>
            <w:tcW w:w="2976" w:type="dxa"/>
            <w:shd w:val="clear" w:color="auto" w:fill="auto"/>
            <w:vAlign w:val="center"/>
          </w:tcPr>
          <w:p w14:paraId="0B0A1CEB">
            <w:pPr>
              <w:spacing w:line="300" w:lineRule="exact"/>
              <w:ind w:firstLine="420" w:firstLineChars="200"/>
              <w:jc w:val="left"/>
              <w:rPr>
                <w:rFonts w:ascii="方正书宋_GBK" w:eastAsia="方正书宋_GBK"/>
              </w:rPr>
            </w:pPr>
            <w:r>
              <w:rPr>
                <w:rFonts w:hint="eastAsia" w:ascii="方正书宋_GBK" w:eastAsia="方正书宋_GBK"/>
              </w:rPr>
              <w:t>保证政府综合办公大楼网路运行</w:t>
            </w:r>
          </w:p>
        </w:tc>
        <w:tc>
          <w:tcPr>
            <w:tcW w:w="1417" w:type="dxa"/>
            <w:shd w:val="clear" w:color="auto" w:fill="auto"/>
            <w:vAlign w:val="center"/>
          </w:tcPr>
          <w:p w14:paraId="644E450E">
            <w:pPr>
              <w:spacing w:line="300" w:lineRule="exact"/>
              <w:ind w:firstLine="420" w:firstLineChars="200"/>
              <w:jc w:val="left"/>
              <w:rPr>
                <w:rFonts w:ascii="方正书宋_GBK" w:eastAsia="方正书宋_GBK"/>
              </w:rPr>
            </w:pPr>
          </w:p>
        </w:tc>
        <w:tc>
          <w:tcPr>
            <w:tcW w:w="737" w:type="dxa"/>
            <w:shd w:val="clear" w:color="auto" w:fill="auto"/>
            <w:vAlign w:val="center"/>
          </w:tcPr>
          <w:p w14:paraId="42ABE6A0">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3964C311">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0C708D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2B6D4DB5">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63D87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C7E1902">
            <w:pPr>
              <w:spacing w:line="300" w:lineRule="exact"/>
              <w:jc w:val="left"/>
              <w:rPr>
                <w:rFonts w:ascii="方正书宋_GBK" w:eastAsia="方正书宋_GBK"/>
                <w:b/>
              </w:rPr>
            </w:pPr>
            <w:r>
              <w:rPr>
                <w:rFonts w:hint="eastAsia" w:ascii="方正书宋_GBK" w:eastAsia="方正书宋_GBK"/>
                <w:b/>
              </w:rPr>
              <w:t>管理综合大楼网络运行</w:t>
            </w:r>
          </w:p>
        </w:tc>
        <w:tc>
          <w:tcPr>
            <w:tcW w:w="1276" w:type="dxa"/>
            <w:vMerge w:val="restart"/>
            <w:shd w:val="clear" w:color="auto" w:fill="auto"/>
            <w:vAlign w:val="center"/>
          </w:tcPr>
          <w:p w14:paraId="463E2A78">
            <w:pPr>
              <w:spacing w:line="300" w:lineRule="exact"/>
              <w:ind w:firstLine="420" w:firstLineChars="200"/>
              <w:jc w:val="left"/>
              <w:rPr>
                <w:rFonts w:ascii="方正书宋_GBK" w:eastAsia="方正书宋_GBK"/>
              </w:rPr>
            </w:pPr>
            <w:r>
              <w:rPr>
                <w:rFonts w:ascii="方正书宋_GBK" w:eastAsia="方正书宋_GBK"/>
              </w:rPr>
              <w:t>2.50</w:t>
            </w:r>
          </w:p>
        </w:tc>
        <w:tc>
          <w:tcPr>
            <w:tcW w:w="2976" w:type="dxa"/>
            <w:vMerge w:val="restart"/>
            <w:shd w:val="clear" w:color="auto" w:fill="auto"/>
            <w:vAlign w:val="center"/>
          </w:tcPr>
          <w:p w14:paraId="256C0121">
            <w:pPr>
              <w:spacing w:line="300" w:lineRule="exact"/>
              <w:jc w:val="left"/>
              <w:rPr>
                <w:rFonts w:ascii="方正书宋_GBK" w:eastAsia="方正书宋_GBK"/>
              </w:rPr>
            </w:pPr>
            <w:r>
              <w:rPr>
                <w:rFonts w:hint="eastAsia" w:ascii="方正书宋_GBK" w:eastAsia="方正书宋_GBK"/>
              </w:rPr>
              <w:t>保证政府综合办公楼网路正常运行</w:t>
            </w:r>
          </w:p>
        </w:tc>
        <w:tc>
          <w:tcPr>
            <w:tcW w:w="2976" w:type="dxa"/>
            <w:vMerge w:val="restart"/>
            <w:shd w:val="clear" w:color="auto" w:fill="auto"/>
            <w:vAlign w:val="center"/>
          </w:tcPr>
          <w:p w14:paraId="2CBE4208">
            <w:pPr>
              <w:spacing w:line="300" w:lineRule="exact"/>
              <w:ind w:firstLine="420" w:firstLineChars="200"/>
              <w:jc w:val="left"/>
              <w:rPr>
                <w:rFonts w:ascii="方正书宋_GBK" w:eastAsia="方正书宋_GBK"/>
              </w:rPr>
            </w:pPr>
            <w:r>
              <w:rPr>
                <w:rFonts w:hint="eastAsia" w:ascii="方正书宋_GBK" w:eastAsia="方正书宋_GBK"/>
              </w:rPr>
              <w:t>政务网管理</w:t>
            </w:r>
          </w:p>
        </w:tc>
        <w:tc>
          <w:tcPr>
            <w:tcW w:w="1417" w:type="dxa"/>
            <w:shd w:val="clear" w:color="auto" w:fill="auto"/>
            <w:vAlign w:val="center"/>
          </w:tcPr>
          <w:p w14:paraId="267FD085">
            <w:pPr>
              <w:spacing w:line="300" w:lineRule="exact"/>
              <w:ind w:firstLine="420" w:firstLineChars="200"/>
              <w:jc w:val="left"/>
              <w:rPr>
                <w:rFonts w:ascii="方正书宋_GBK" w:eastAsia="方正书宋_GBK"/>
              </w:rPr>
            </w:pPr>
            <w:r>
              <w:rPr>
                <w:rFonts w:hint="eastAsia" w:ascii="方正书宋_GBK" w:eastAsia="方正书宋_GBK"/>
              </w:rPr>
              <w:t>保证政务网运行</w:t>
            </w:r>
          </w:p>
        </w:tc>
        <w:tc>
          <w:tcPr>
            <w:tcW w:w="737" w:type="dxa"/>
            <w:shd w:val="clear" w:color="auto" w:fill="auto"/>
            <w:vAlign w:val="center"/>
          </w:tcPr>
          <w:p w14:paraId="03B66FB6">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1857C5A0">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3217709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2802C945">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r w14:paraId="02418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0FB6699">
            <w:pPr>
              <w:spacing w:line="300" w:lineRule="exact"/>
              <w:ind w:firstLine="420" w:firstLineChars="200"/>
              <w:jc w:val="left"/>
              <w:rPr>
                <w:rFonts w:ascii="方正书宋_GBK" w:eastAsia="方正书宋_GBK"/>
                <w:b/>
              </w:rPr>
            </w:pPr>
          </w:p>
        </w:tc>
        <w:tc>
          <w:tcPr>
            <w:tcW w:w="1276" w:type="dxa"/>
            <w:vMerge w:val="continue"/>
            <w:shd w:val="clear" w:color="auto" w:fill="auto"/>
            <w:vAlign w:val="center"/>
          </w:tcPr>
          <w:p w14:paraId="0001BB32">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693B9DE7">
            <w:pPr>
              <w:spacing w:line="300" w:lineRule="exact"/>
              <w:ind w:firstLine="420" w:firstLineChars="200"/>
              <w:jc w:val="left"/>
              <w:rPr>
                <w:rFonts w:ascii="方正书宋_GBK" w:eastAsia="方正书宋_GBK"/>
              </w:rPr>
            </w:pPr>
          </w:p>
        </w:tc>
        <w:tc>
          <w:tcPr>
            <w:tcW w:w="2976" w:type="dxa"/>
            <w:vMerge w:val="continue"/>
            <w:shd w:val="clear" w:color="auto" w:fill="auto"/>
            <w:vAlign w:val="center"/>
          </w:tcPr>
          <w:p w14:paraId="26BCC4C8">
            <w:pPr>
              <w:spacing w:line="300" w:lineRule="exact"/>
              <w:ind w:firstLine="420" w:firstLineChars="200"/>
              <w:jc w:val="left"/>
              <w:rPr>
                <w:rFonts w:ascii="方正书宋_GBK" w:eastAsia="方正书宋_GBK"/>
              </w:rPr>
            </w:pPr>
          </w:p>
        </w:tc>
        <w:tc>
          <w:tcPr>
            <w:tcW w:w="1417" w:type="dxa"/>
            <w:shd w:val="clear" w:color="auto" w:fill="auto"/>
            <w:vAlign w:val="center"/>
          </w:tcPr>
          <w:p w14:paraId="4FCEDE8D">
            <w:pPr>
              <w:spacing w:line="300" w:lineRule="exact"/>
              <w:ind w:firstLine="420" w:firstLineChars="200"/>
              <w:jc w:val="left"/>
              <w:rPr>
                <w:rFonts w:ascii="方正书宋_GBK" w:eastAsia="方正书宋_GBK"/>
              </w:rPr>
            </w:pPr>
            <w:r>
              <w:rPr>
                <w:rFonts w:hint="eastAsia" w:ascii="方正书宋_GBK" w:eastAsia="方正书宋_GBK"/>
              </w:rPr>
              <w:t>建设、管理政务网</w:t>
            </w:r>
          </w:p>
        </w:tc>
        <w:tc>
          <w:tcPr>
            <w:tcW w:w="737" w:type="dxa"/>
            <w:shd w:val="clear" w:color="auto" w:fill="auto"/>
            <w:vAlign w:val="center"/>
          </w:tcPr>
          <w:p w14:paraId="080203F1">
            <w:pPr>
              <w:spacing w:line="300" w:lineRule="exact"/>
              <w:jc w:val="left"/>
              <w:rPr>
                <w:rFonts w:ascii="方正书宋_GBK" w:eastAsia="方正书宋_GBK"/>
              </w:rPr>
            </w:pPr>
            <w:r>
              <w:rPr>
                <w:rFonts w:hint="eastAsia" w:ascii="方正书宋_GBK" w:eastAsia="方正书宋_GBK"/>
              </w:rPr>
              <w:t>≥95%</w:t>
            </w:r>
          </w:p>
        </w:tc>
        <w:tc>
          <w:tcPr>
            <w:tcW w:w="737" w:type="dxa"/>
            <w:shd w:val="clear" w:color="auto" w:fill="auto"/>
            <w:vAlign w:val="center"/>
          </w:tcPr>
          <w:p w14:paraId="1E3CA042">
            <w:pPr>
              <w:spacing w:line="300" w:lineRule="exact"/>
              <w:jc w:val="left"/>
              <w:rPr>
                <w:rFonts w:ascii="方正书宋_GBK" w:eastAsia="方正书宋_GBK"/>
              </w:rPr>
            </w:pPr>
            <w:r>
              <w:rPr>
                <w:rFonts w:hint="eastAsia" w:ascii="方正书宋_GBK" w:eastAsia="方正书宋_GBK"/>
              </w:rPr>
              <w:t>≥80%</w:t>
            </w:r>
          </w:p>
        </w:tc>
        <w:tc>
          <w:tcPr>
            <w:tcW w:w="737" w:type="dxa"/>
            <w:shd w:val="clear" w:color="auto" w:fill="auto"/>
            <w:vAlign w:val="center"/>
          </w:tcPr>
          <w:p w14:paraId="4847B77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737" w:type="dxa"/>
            <w:shd w:val="clear" w:color="auto" w:fill="auto"/>
            <w:vAlign w:val="center"/>
          </w:tcPr>
          <w:p w14:paraId="7CA1727F">
            <w:pPr>
              <w:spacing w:line="300" w:lineRule="exact"/>
              <w:jc w:val="left"/>
              <w:rPr>
                <w:rFonts w:ascii="方正书宋_GBK" w:eastAsia="方正书宋_GBK"/>
              </w:rPr>
            </w:pPr>
            <w:r>
              <w:rPr>
                <w:rFonts w:hint="eastAsia" w:ascii="方正书宋_GBK" w:eastAsia="方正书宋_GBK"/>
              </w:rPr>
              <w:t>＜6</w:t>
            </w:r>
            <w:r>
              <w:rPr>
                <w:rFonts w:ascii="方正书宋_GBK" w:eastAsia="方正书宋_GBK"/>
              </w:rPr>
              <w:t>0</w:t>
            </w:r>
            <w:r>
              <w:rPr>
                <w:rFonts w:hint="eastAsia" w:ascii="方正书宋_GBK" w:eastAsia="方正书宋_GBK"/>
              </w:rPr>
              <w:t>%</w:t>
            </w:r>
          </w:p>
        </w:tc>
      </w:tr>
    </w:tbl>
    <w:p w14:paraId="77A10CE5">
      <w:pPr>
        <w:widowControl/>
        <w:spacing w:line="360" w:lineRule="auto"/>
        <w:ind w:firstLine="640" w:firstLineChars="200"/>
        <w:jc w:val="left"/>
        <w:rPr>
          <w:rFonts w:ascii="黑体" w:hAnsi="黑体" w:eastAsia="黑体" w:cs="Calibri"/>
          <w:b/>
          <w:kern w:val="0"/>
          <w:sz w:val="32"/>
          <w:szCs w:val="32"/>
        </w:rPr>
      </w:pPr>
    </w:p>
    <w:p w14:paraId="600164B9">
      <w:pPr>
        <w:widowControl/>
        <w:spacing w:line="360" w:lineRule="auto"/>
        <w:ind w:firstLine="640" w:firstLineChars="200"/>
        <w:jc w:val="left"/>
        <w:rPr>
          <w:rFonts w:ascii="黑体" w:hAnsi="黑体" w:eastAsia="黑体" w:cs="Calibri"/>
          <w:b/>
          <w:kern w:val="0"/>
          <w:sz w:val="32"/>
          <w:szCs w:val="32"/>
        </w:rPr>
      </w:pPr>
      <w:r>
        <w:rPr>
          <w:rFonts w:hint="eastAsia" w:ascii="黑体" w:hAnsi="黑体" w:eastAsia="黑体" w:cs="Calibri"/>
          <w:b/>
          <w:kern w:val="0"/>
          <w:sz w:val="32"/>
          <w:szCs w:val="32"/>
        </w:rPr>
        <w:t>六、政府采购预算情况</w:t>
      </w:r>
    </w:p>
    <w:p w14:paraId="20463282">
      <w:pPr>
        <w:widowControl/>
        <w:spacing w:line="360" w:lineRule="auto"/>
        <w:ind w:firstLine="640" w:firstLineChars="200"/>
        <w:jc w:val="left"/>
        <w:rPr>
          <w:rFonts w:ascii="仿宋" w:hAnsi="仿宋" w:eastAsia="仿宋" w:cs="Times New Roman"/>
          <w:sz w:val="32"/>
          <w:szCs w:val="32"/>
        </w:rPr>
      </w:pPr>
      <w:r>
        <w:rPr>
          <w:rFonts w:ascii="仿宋_GB2312" w:hAnsi="微软雅黑" w:eastAsia="仿宋_GB2312" w:cs="仿宋_GB2312"/>
          <w:kern w:val="0"/>
          <w:sz w:val="32"/>
          <w:szCs w:val="32"/>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按照政府采购相关法律法规要求，结合我局实际，202</w:t>
      </w:r>
      <w:r>
        <w:rPr>
          <w:rFonts w:hint="eastAsia" w:ascii="仿宋_GB2312" w:hAnsi="微软雅黑" w:eastAsia="仿宋_GB2312" w:cs="仿宋_GB2312"/>
          <w:kern w:val="0"/>
          <w:sz w:val="32"/>
          <w:szCs w:val="32"/>
        </w:rPr>
        <w:t>1</w:t>
      </w:r>
      <w:r>
        <w:rPr>
          <w:rFonts w:ascii="仿宋_GB2312" w:hAnsi="微软雅黑" w:eastAsia="仿宋_GB2312" w:cs="仿宋_GB2312"/>
          <w:kern w:val="0"/>
          <w:sz w:val="32"/>
          <w:szCs w:val="32"/>
        </w:rPr>
        <w:t>年我局政府采购事项</w:t>
      </w:r>
      <w:r>
        <w:rPr>
          <w:rFonts w:hint="eastAsia" w:ascii="仿宋_GB2312" w:hAnsi="微软雅黑" w:eastAsia="仿宋_GB2312" w:cs="仿宋_GB2312"/>
          <w:kern w:val="0"/>
          <w:sz w:val="32"/>
          <w:szCs w:val="32"/>
        </w:rPr>
        <w:t>3万元，</w:t>
      </w:r>
      <w:r>
        <w:rPr>
          <w:rFonts w:ascii="仿宋_GB2312" w:hAnsi="Calibri" w:eastAsia="仿宋_GB2312" w:cs="仿宋_GB2312"/>
          <w:kern w:val="0"/>
          <w:sz w:val="32"/>
          <w:szCs w:val="32"/>
        </w:rPr>
        <w:t>本年拟用于政府采购微机等办公设备</w:t>
      </w:r>
      <w:r>
        <w:rPr>
          <w:rFonts w:hint="eastAsia" w:ascii="仿宋_GB2312" w:hAnsi="Calibri" w:eastAsia="仿宋_GB2312" w:cs="仿宋_GB2312"/>
          <w:kern w:val="0"/>
          <w:sz w:val="32"/>
          <w:szCs w:val="32"/>
        </w:rPr>
        <w:t>3</w:t>
      </w:r>
      <w:r>
        <w:rPr>
          <w:rFonts w:ascii="仿宋_GB2312" w:hAnsi="Calibri" w:eastAsia="仿宋_GB2312" w:cs="仿宋_GB2312"/>
          <w:kern w:val="0"/>
          <w:sz w:val="32"/>
          <w:szCs w:val="32"/>
        </w:rPr>
        <w:t>万元</w:t>
      </w:r>
      <w:r>
        <w:rPr>
          <w:rFonts w:hint="eastAsia" w:ascii="仿宋_GB2312" w:hAnsi="Calibri" w:eastAsia="仿宋_GB2312" w:cs="仿宋_GB2312"/>
          <w:kern w:val="0"/>
          <w:sz w:val="32"/>
          <w:szCs w:val="32"/>
        </w:rPr>
        <w:t>,其中空调设备1万元；电脑3台1.2万元；办公桌椅0.8万元</w:t>
      </w:r>
      <w:r>
        <w:rPr>
          <w:rFonts w:ascii="仿宋_GB2312" w:hAnsi="Calibri" w:eastAsia="仿宋_GB2312" w:cs="仿宋_GB2312"/>
          <w:kern w:val="0"/>
          <w:sz w:val="32"/>
          <w:szCs w:val="32"/>
        </w:rPr>
        <w:t>。</w:t>
      </w:r>
      <w:r>
        <w:rPr>
          <w:rFonts w:ascii="仿宋" w:hAnsi="仿宋" w:eastAsia="仿宋" w:cs="Times New Roman"/>
          <w:sz w:val="32"/>
          <w:szCs w:val="32"/>
        </w:rPr>
        <w:t>202</w:t>
      </w:r>
      <w:r>
        <w:rPr>
          <w:rFonts w:hint="eastAsia" w:ascii="仿宋" w:hAnsi="仿宋" w:eastAsia="仿宋" w:cs="Times New Roman"/>
          <w:sz w:val="32"/>
          <w:szCs w:val="32"/>
        </w:rPr>
        <w:t>1</w:t>
      </w:r>
      <w:r>
        <w:rPr>
          <w:rFonts w:hint="eastAsia" w:ascii="仿宋" w:hAnsi="仿宋" w:eastAsia="仿宋" w:cs="方正仿宋_GBK"/>
          <w:sz w:val="32"/>
          <w:szCs w:val="32"/>
        </w:rPr>
        <w:t>年，我单位安排政府采购预算3万元。具体内容见下表。</w:t>
      </w:r>
    </w:p>
    <w:p w14:paraId="4948768E">
      <w:pPr>
        <w:spacing w:line="560" w:lineRule="exact"/>
        <w:jc w:val="center"/>
        <w:outlineLvl w:val="0"/>
        <w:rPr>
          <w:rFonts w:ascii="宋体" w:hAnsi="宋体" w:eastAsia="宋体" w:cs="Times New Roman"/>
          <w:sz w:val="32"/>
          <w:szCs w:val="32"/>
        </w:rPr>
      </w:pPr>
      <w:r>
        <w:rPr>
          <w:rFonts w:hint="eastAsia" w:ascii="宋体" w:hAnsi="宋体" w:eastAsia="宋体" w:cs="方正小标宋_GBK"/>
          <w:sz w:val="32"/>
          <w:szCs w:val="32"/>
        </w:rPr>
        <w:t>部门政府采购预算</w:t>
      </w:r>
    </w:p>
    <w:tbl>
      <w:tblPr>
        <w:tblStyle w:val="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364"/>
        <w:gridCol w:w="1054"/>
        <w:gridCol w:w="869"/>
        <w:gridCol w:w="1382"/>
        <w:gridCol w:w="869"/>
        <w:gridCol w:w="869"/>
        <w:gridCol w:w="892"/>
        <w:gridCol w:w="889"/>
        <w:gridCol w:w="889"/>
        <w:gridCol w:w="889"/>
        <w:gridCol w:w="808"/>
        <w:gridCol w:w="871"/>
        <w:gridCol w:w="871"/>
        <w:gridCol w:w="817"/>
      </w:tblGrid>
      <w:tr w14:paraId="73E04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895" w:type="pct"/>
            <w:gridSpan w:val="7"/>
            <w:tcBorders>
              <w:top w:val="single" w:color="FFFFFF" w:sz="6" w:space="0"/>
              <w:left w:val="single" w:color="FFFFFF" w:sz="6" w:space="0"/>
              <w:right w:val="single" w:color="FFFFFF" w:sz="6" w:space="0"/>
            </w:tcBorders>
            <w:vAlign w:val="center"/>
          </w:tcPr>
          <w:p w14:paraId="6591EE69">
            <w:pPr>
              <w:spacing w:line="560" w:lineRule="exact"/>
              <w:jc w:val="left"/>
              <w:rPr>
                <w:rFonts w:ascii="宋体" w:hAnsi="宋体" w:eastAsia="宋体" w:cs="Times New Roman"/>
                <w:sz w:val="24"/>
                <w:szCs w:val="24"/>
              </w:rPr>
            </w:pPr>
            <w:r>
              <w:rPr>
                <w:rFonts w:hint="eastAsia" w:ascii="宋体" w:hAnsi="宋体" w:eastAsia="宋体" w:cs="方正小标宋_GBK"/>
                <w:sz w:val="24"/>
                <w:szCs w:val="24"/>
              </w:rPr>
              <w:t>部门（单位）名称:成安县发展和改革局</w:t>
            </w:r>
          </w:p>
        </w:tc>
        <w:tc>
          <w:tcPr>
            <w:tcW w:w="2105" w:type="pct"/>
            <w:gridSpan w:val="7"/>
            <w:tcBorders>
              <w:top w:val="single" w:color="FFFFFF" w:sz="6" w:space="0"/>
              <w:left w:val="single" w:color="FFFFFF" w:sz="6" w:space="0"/>
              <w:right w:val="single" w:color="FFFFFF" w:sz="6" w:space="0"/>
            </w:tcBorders>
            <w:vAlign w:val="center"/>
          </w:tcPr>
          <w:p w14:paraId="72140E42">
            <w:pPr>
              <w:spacing w:line="560" w:lineRule="exact"/>
              <w:jc w:val="right"/>
              <w:rPr>
                <w:rFonts w:ascii="宋体" w:hAnsi="宋体" w:eastAsia="宋体" w:cs="Times New Roman"/>
                <w:sz w:val="24"/>
                <w:szCs w:val="24"/>
              </w:rPr>
            </w:pPr>
            <w:r>
              <w:rPr>
                <w:rFonts w:hint="eastAsia" w:ascii="宋体" w:hAnsi="宋体" w:eastAsia="宋体" w:cs="方正书宋_GBK"/>
                <w:sz w:val="24"/>
                <w:szCs w:val="24"/>
              </w:rPr>
              <w:t>单位：万元</w:t>
            </w:r>
          </w:p>
        </w:tc>
      </w:tr>
      <w:tr w14:paraId="652EF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192" w:type="pct"/>
            <w:gridSpan w:val="2"/>
            <w:vAlign w:val="center"/>
          </w:tcPr>
          <w:p w14:paraId="35E8ED09">
            <w:pPr>
              <w:spacing w:line="560" w:lineRule="exact"/>
              <w:jc w:val="center"/>
              <w:rPr>
                <w:rFonts w:ascii="宋体" w:hAnsi="宋体" w:eastAsia="宋体" w:cs="Times New Roman"/>
                <w:b/>
                <w:bCs/>
              </w:rPr>
            </w:pPr>
            <w:r>
              <w:rPr>
                <w:rFonts w:hint="eastAsia" w:ascii="宋体" w:hAnsi="宋体" w:eastAsia="宋体" w:cs="方正书宋_GBK"/>
                <w:b/>
                <w:bCs/>
              </w:rPr>
              <w:t>政府采购项目来源</w:t>
            </w:r>
          </w:p>
        </w:tc>
        <w:tc>
          <w:tcPr>
            <w:tcW w:w="303" w:type="pct"/>
            <w:vMerge w:val="restart"/>
            <w:vAlign w:val="center"/>
          </w:tcPr>
          <w:p w14:paraId="004B7A7E">
            <w:pPr>
              <w:spacing w:line="400" w:lineRule="exact"/>
              <w:jc w:val="center"/>
              <w:rPr>
                <w:rFonts w:ascii="宋体" w:hAnsi="宋体" w:eastAsia="宋体" w:cs="Times New Roman"/>
                <w:b/>
                <w:bCs/>
              </w:rPr>
            </w:pPr>
            <w:r>
              <w:rPr>
                <w:rFonts w:hint="eastAsia" w:ascii="宋体" w:hAnsi="宋体" w:eastAsia="宋体" w:cs="方正书宋_GBK"/>
                <w:b/>
                <w:bCs/>
              </w:rPr>
              <w:t>采购物品名称</w:t>
            </w:r>
          </w:p>
        </w:tc>
        <w:tc>
          <w:tcPr>
            <w:tcW w:w="482" w:type="pct"/>
            <w:vMerge w:val="restart"/>
            <w:vAlign w:val="center"/>
          </w:tcPr>
          <w:p w14:paraId="3AAB0E81">
            <w:pPr>
              <w:spacing w:line="400" w:lineRule="exact"/>
              <w:jc w:val="center"/>
              <w:rPr>
                <w:rFonts w:ascii="宋体" w:hAnsi="宋体" w:eastAsia="宋体" w:cs="Times New Roman"/>
                <w:b/>
                <w:bCs/>
              </w:rPr>
            </w:pPr>
            <w:r>
              <w:rPr>
                <w:rFonts w:hint="eastAsia" w:ascii="宋体" w:hAnsi="宋体" w:eastAsia="宋体" w:cs="方正书宋_GBK"/>
                <w:b/>
                <w:bCs/>
              </w:rPr>
              <w:t>政府采购目录序号</w:t>
            </w:r>
          </w:p>
        </w:tc>
        <w:tc>
          <w:tcPr>
            <w:tcW w:w="303" w:type="pct"/>
            <w:vMerge w:val="restart"/>
            <w:vAlign w:val="center"/>
          </w:tcPr>
          <w:p w14:paraId="372E2C1F">
            <w:pPr>
              <w:spacing w:line="560" w:lineRule="exact"/>
              <w:jc w:val="center"/>
              <w:rPr>
                <w:rFonts w:ascii="宋体" w:hAnsi="宋体" w:eastAsia="宋体" w:cs="Times New Roman"/>
                <w:b/>
                <w:bCs/>
              </w:rPr>
            </w:pPr>
            <w:r>
              <w:rPr>
                <w:rFonts w:hint="eastAsia" w:ascii="宋体" w:hAnsi="宋体" w:eastAsia="宋体" w:cs="方正书宋_GBK"/>
                <w:b/>
                <w:bCs/>
              </w:rPr>
              <w:t>数量单位</w:t>
            </w:r>
          </w:p>
        </w:tc>
        <w:tc>
          <w:tcPr>
            <w:tcW w:w="303" w:type="pct"/>
            <w:vMerge w:val="restart"/>
            <w:vAlign w:val="center"/>
          </w:tcPr>
          <w:p w14:paraId="09A3FE62">
            <w:pPr>
              <w:spacing w:line="560" w:lineRule="exact"/>
              <w:jc w:val="center"/>
              <w:rPr>
                <w:rFonts w:ascii="宋体" w:hAnsi="宋体" w:eastAsia="宋体" w:cs="Times New Roman"/>
                <w:b/>
                <w:bCs/>
              </w:rPr>
            </w:pPr>
            <w:r>
              <w:rPr>
                <w:rFonts w:hint="eastAsia" w:ascii="宋体" w:hAnsi="宋体" w:eastAsia="宋体" w:cs="方正书宋_GBK"/>
                <w:b/>
                <w:bCs/>
              </w:rPr>
              <w:t>数量</w:t>
            </w:r>
          </w:p>
        </w:tc>
        <w:tc>
          <w:tcPr>
            <w:tcW w:w="311" w:type="pct"/>
            <w:vMerge w:val="restart"/>
            <w:vAlign w:val="center"/>
          </w:tcPr>
          <w:p w14:paraId="3335D09B">
            <w:pPr>
              <w:spacing w:line="560" w:lineRule="exact"/>
              <w:jc w:val="center"/>
              <w:rPr>
                <w:rFonts w:ascii="宋体" w:hAnsi="宋体" w:eastAsia="宋体" w:cs="Times New Roman"/>
                <w:b/>
                <w:bCs/>
              </w:rPr>
            </w:pPr>
            <w:r>
              <w:rPr>
                <w:rFonts w:hint="eastAsia" w:ascii="宋体" w:hAnsi="宋体" w:eastAsia="宋体" w:cs="方正书宋_GBK"/>
                <w:b/>
                <w:bCs/>
              </w:rPr>
              <w:t>单价</w:t>
            </w:r>
          </w:p>
        </w:tc>
        <w:tc>
          <w:tcPr>
            <w:tcW w:w="2105" w:type="pct"/>
            <w:gridSpan w:val="7"/>
            <w:vAlign w:val="center"/>
          </w:tcPr>
          <w:p w14:paraId="4F50C287">
            <w:pPr>
              <w:spacing w:line="560" w:lineRule="exact"/>
              <w:jc w:val="center"/>
              <w:rPr>
                <w:rFonts w:ascii="宋体" w:hAnsi="宋体" w:eastAsia="宋体" w:cs="Times New Roman"/>
                <w:b/>
                <w:bCs/>
              </w:rPr>
            </w:pPr>
            <w:r>
              <w:rPr>
                <w:rFonts w:hint="eastAsia" w:ascii="宋体" w:hAnsi="宋体" w:eastAsia="宋体" w:cs="方正书宋_GBK"/>
                <w:b/>
                <w:bCs/>
              </w:rPr>
              <w:t>政府采购金额</w:t>
            </w:r>
          </w:p>
        </w:tc>
      </w:tr>
      <w:tr w14:paraId="55559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5" w:type="pct"/>
            <w:vMerge w:val="restart"/>
            <w:vAlign w:val="center"/>
          </w:tcPr>
          <w:p w14:paraId="4A423E78">
            <w:pPr>
              <w:spacing w:line="560" w:lineRule="exact"/>
              <w:jc w:val="center"/>
              <w:rPr>
                <w:rFonts w:ascii="宋体" w:hAnsi="宋体" w:eastAsia="宋体" w:cs="Times New Roman"/>
                <w:b/>
                <w:bCs/>
              </w:rPr>
            </w:pPr>
            <w:r>
              <w:rPr>
                <w:rFonts w:hint="eastAsia" w:ascii="宋体" w:hAnsi="宋体" w:eastAsia="宋体" w:cs="方正书宋_GBK"/>
                <w:b/>
                <w:bCs/>
              </w:rPr>
              <w:t>项目名称</w:t>
            </w:r>
          </w:p>
        </w:tc>
        <w:tc>
          <w:tcPr>
            <w:tcW w:w="368" w:type="pct"/>
            <w:vMerge w:val="restart"/>
            <w:vAlign w:val="center"/>
          </w:tcPr>
          <w:p w14:paraId="021907EF">
            <w:pPr>
              <w:spacing w:line="560" w:lineRule="exact"/>
              <w:jc w:val="center"/>
              <w:rPr>
                <w:rFonts w:ascii="宋体" w:hAnsi="宋体" w:eastAsia="宋体" w:cs="Times New Roman"/>
                <w:b/>
                <w:bCs/>
              </w:rPr>
            </w:pPr>
            <w:r>
              <w:rPr>
                <w:rFonts w:hint="eastAsia" w:ascii="宋体" w:hAnsi="宋体" w:eastAsia="宋体" w:cs="方正书宋_GBK"/>
                <w:b/>
                <w:bCs/>
              </w:rPr>
              <w:t>预算资金</w:t>
            </w:r>
          </w:p>
        </w:tc>
        <w:tc>
          <w:tcPr>
            <w:tcW w:w="303" w:type="pct"/>
            <w:vMerge w:val="continue"/>
            <w:vAlign w:val="center"/>
          </w:tcPr>
          <w:p w14:paraId="44162336">
            <w:pPr>
              <w:spacing w:line="560" w:lineRule="exact"/>
              <w:jc w:val="left"/>
              <w:outlineLvl w:val="0"/>
              <w:rPr>
                <w:rFonts w:ascii="宋体" w:hAnsi="宋体" w:eastAsia="宋体" w:cs="Times New Roman"/>
              </w:rPr>
            </w:pPr>
          </w:p>
        </w:tc>
        <w:tc>
          <w:tcPr>
            <w:tcW w:w="482" w:type="pct"/>
            <w:vMerge w:val="continue"/>
            <w:vAlign w:val="center"/>
          </w:tcPr>
          <w:p w14:paraId="6076D7FF">
            <w:pPr>
              <w:spacing w:line="560" w:lineRule="exact"/>
              <w:jc w:val="left"/>
              <w:outlineLvl w:val="0"/>
              <w:rPr>
                <w:rFonts w:ascii="宋体" w:hAnsi="宋体" w:eastAsia="宋体" w:cs="Times New Roman"/>
              </w:rPr>
            </w:pPr>
          </w:p>
        </w:tc>
        <w:tc>
          <w:tcPr>
            <w:tcW w:w="303" w:type="pct"/>
            <w:vMerge w:val="continue"/>
            <w:vAlign w:val="center"/>
          </w:tcPr>
          <w:p w14:paraId="2B1C22D6">
            <w:pPr>
              <w:spacing w:line="560" w:lineRule="exact"/>
              <w:jc w:val="left"/>
              <w:outlineLvl w:val="0"/>
              <w:rPr>
                <w:rFonts w:ascii="宋体" w:hAnsi="宋体" w:eastAsia="宋体" w:cs="Times New Roman"/>
              </w:rPr>
            </w:pPr>
          </w:p>
        </w:tc>
        <w:tc>
          <w:tcPr>
            <w:tcW w:w="303" w:type="pct"/>
            <w:vMerge w:val="continue"/>
            <w:vAlign w:val="center"/>
          </w:tcPr>
          <w:p w14:paraId="40F2A9FF">
            <w:pPr>
              <w:spacing w:line="560" w:lineRule="exact"/>
              <w:jc w:val="left"/>
              <w:outlineLvl w:val="0"/>
              <w:rPr>
                <w:rFonts w:ascii="宋体" w:hAnsi="宋体" w:eastAsia="宋体" w:cs="Times New Roman"/>
              </w:rPr>
            </w:pPr>
          </w:p>
        </w:tc>
        <w:tc>
          <w:tcPr>
            <w:tcW w:w="311" w:type="pct"/>
            <w:vMerge w:val="continue"/>
            <w:vAlign w:val="center"/>
          </w:tcPr>
          <w:p w14:paraId="04A4B6E7">
            <w:pPr>
              <w:spacing w:line="560" w:lineRule="exact"/>
              <w:jc w:val="left"/>
              <w:outlineLvl w:val="0"/>
              <w:rPr>
                <w:rFonts w:ascii="宋体" w:hAnsi="宋体" w:eastAsia="宋体" w:cs="Times New Roman"/>
              </w:rPr>
            </w:pPr>
          </w:p>
        </w:tc>
        <w:tc>
          <w:tcPr>
            <w:tcW w:w="310" w:type="pct"/>
            <w:vMerge w:val="restart"/>
            <w:vAlign w:val="center"/>
          </w:tcPr>
          <w:p w14:paraId="215044D3">
            <w:pPr>
              <w:spacing w:line="560" w:lineRule="exact"/>
              <w:jc w:val="center"/>
              <w:rPr>
                <w:rFonts w:ascii="宋体" w:hAnsi="宋体" w:eastAsia="宋体" w:cs="Times New Roman"/>
                <w:b/>
                <w:bCs/>
              </w:rPr>
            </w:pPr>
            <w:r>
              <w:rPr>
                <w:rFonts w:hint="eastAsia" w:ascii="宋体" w:hAnsi="宋体" w:eastAsia="宋体" w:cs="方正书宋_GBK"/>
                <w:b/>
                <w:bCs/>
              </w:rPr>
              <w:t>总计</w:t>
            </w:r>
          </w:p>
        </w:tc>
        <w:tc>
          <w:tcPr>
            <w:tcW w:w="1510" w:type="pct"/>
            <w:gridSpan w:val="5"/>
            <w:vAlign w:val="center"/>
          </w:tcPr>
          <w:p w14:paraId="76B3358A">
            <w:pPr>
              <w:spacing w:line="560" w:lineRule="exact"/>
              <w:jc w:val="center"/>
              <w:rPr>
                <w:rFonts w:ascii="宋体" w:hAnsi="宋体" w:eastAsia="宋体" w:cs="Times New Roman"/>
                <w:b/>
                <w:bCs/>
              </w:rPr>
            </w:pPr>
            <w:r>
              <w:rPr>
                <w:rFonts w:hint="eastAsia" w:ascii="宋体" w:hAnsi="宋体" w:eastAsia="宋体" w:cs="方正书宋_GBK"/>
                <w:b/>
                <w:bCs/>
              </w:rPr>
              <w:t>当年部门预算安排资金</w:t>
            </w:r>
          </w:p>
        </w:tc>
        <w:tc>
          <w:tcPr>
            <w:tcW w:w="285" w:type="pct"/>
            <w:vMerge w:val="restart"/>
            <w:vAlign w:val="center"/>
          </w:tcPr>
          <w:p w14:paraId="08F71CCE">
            <w:pPr>
              <w:spacing w:line="400" w:lineRule="exact"/>
              <w:jc w:val="center"/>
              <w:rPr>
                <w:rFonts w:ascii="宋体" w:hAnsi="宋体" w:eastAsia="宋体" w:cs="Times New Roman"/>
                <w:b/>
                <w:bCs/>
              </w:rPr>
            </w:pPr>
            <w:r>
              <w:rPr>
                <w:rFonts w:hint="eastAsia" w:ascii="宋体" w:hAnsi="宋体" w:eastAsia="宋体" w:cs="方正书宋_GBK"/>
                <w:b/>
                <w:bCs/>
              </w:rPr>
              <w:t>其他渠道资金</w:t>
            </w:r>
          </w:p>
        </w:tc>
      </w:tr>
      <w:tr w14:paraId="757A0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5" w:type="pct"/>
            <w:vMerge w:val="continue"/>
            <w:vAlign w:val="center"/>
          </w:tcPr>
          <w:p w14:paraId="13C9080C">
            <w:pPr>
              <w:spacing w:line="560" w:lineRule="exact"/>
              <w:jc w:val="left"/>
              <w:outlineLvl w:val="0"/>
              <w:rPr>
                <w:rFonts w:ascii="宋体" w:hAnsi="宋体" w:eastAsia="宋体" w:cs="Times New Roman"/>
              </w:rPr>
            </w:pPr>
          </w:p>
        </w:tc>
        <w:tc>
          <w:tcPr>
            <w:tcW w:w="368" w:type="pct"/>
            <w:vMerge w:val="continue"/>
            <w:vAlign w:val="center"/>
          </w:tcPr>
          <w:p w14:paraId="2FD8C3E1">
            <w:pPr>
              <w:spacing w:line="560" w:lineRule="exact"/>
              <w:jc w:val="left"/>
              <w:outlineLvl w:val="0"/>
              <w:rPr>
                <w:rFonts w:ascii="宋体" w:hAnsi="宋体" w:eastAsia="宋体" w:cs="Times New Roman"/>
              </w:rPr>
            </w:pPr>
          </w:p>
        </w:tc>
        <w:tc>
          <w:tcPr>
            <w:tcW w:w="303" w:type="pct"/>
            <w:vMerge w:val="continue"/>
            <w:vAlign w:val="center"/>
          </w:tcPr>
          <w:p w14:paraId="01D87F39">
            <w:pPr>
              <w:spacing w:line="560" w:lineRule="exact"/>
              <w:jc w:val="left"/>
              <w:outlineLvl w:val="0"/>
              <w:rPr>
                <w:rFonts w:ascii="宋体" w:hAnsi="宋体" w:eastAsia="宋体" w:cs="Times New Roman"/>
              </w:rPr>
            </w:pPr>
          </w:p>
        </w:tc>
        <w:tc>
          <w:tcPr>
            <w:tcW w:w="482" w:type="pct"/>
            <w:vMerge w:val="continue"/>
            <w:vAlign w:val="center"/>
          </w:tcPr>
          <w:p w14:paraId="19ABFE85">
            <w:pPr>
              <w:spacing w:line="560" w:lineRule="exact"/>
              <w:jc w:val="left"/>
              <w:outlineLvl w:val="0"/>
              <w:rPr>
                <w:rFonts w:ascii="宋体" w:hAnsi="宋体" w:eastAsia="宋体" w:cs="Times New Roman"/>
              </w:rPr>
            </w:pPr>
          </w:p>
        </w:tc>
        <w:tc>
          <w:tcPr>
            <w:tcW w:w="303" w:type="pct"/>
            <w:vMerge w:val="continue"/>
            <w:vAlign w:val="center"/>
          </w:tcPr>
          <w:p w14:paraId="4AD4E1B2">
            <w:pPr>
              <w:spacing w:line="560" w:lineRule="exact"/>
              <w:jc w:val="left"/>
              <w:outlineLvl w:val="0"/>
              <w:rPr>
                <w:rFonts w:ascii="宋体" w:hAnsi="宋体" w:eastAsia="宋体" w:cs="Times New Roman"/>
              </w:rPr>
            </w:pPr>
          </w:p>
        </w:tc>
        <w:tc>
          <w:tcPr>
            <w:tcW w:w="303" w:type="pct"/>
            <w:vMerge w:val="continue"/>
            <w:vAlign w:val="center"/>
          </w:tcPr>
          <w:p w14:paraId="24881A4F">
            <w:pPr>
              <w:spacing w:line="560" w:lineRule="exact"/>
              <w:jc w:val="left"/>
              <w:outlineLvl w:val="0"/>
              <w:rPr>
                <w:rFonts w:ascii="宋体" w:hAnsi="宋体" w:eastAsia="宋体" w:cs="Times New Roman"/>
              </w:rPr>
            </w:pPr>
          </w:p>
        </w:tc>
        <w:tc>
          <w:tcPr>
            <w:tcW w:w="311" w:type="pct"/>
            <w:vMerge w:val="continue"/>
            <w:vAlign w:val="center"/>
          </w:tcPr>
          <w:p w14:paraId="0CE46C98">
            <w:pPr>
              <w:spacing w:line="560" w:lineRule="exact"/>
              <w:jc w:val="left"/>
              <w:outlineLvl w:val="0"/>
              <w:rPr>
                <w:rFonts w:ascii="宋体" w:hAnsi="宋体" w:eastAsia="宋体" w:cs="Times New Roman"/>
              </w:rPr>
            </w:pPr>
          </w:p>
        </w:tc>
        <w:tc>
          <w:tcPr>
            <w:tcW w:w="310" w:type="pct"/>
            <w:vMerge w:val="continue"/>
            <w:vAlign w:val="center"/>
          </w:tcPr>
          <w:p w14:paraId="159AA42C">
            <w:pPr>
              <w:spacing w:line="560" w:lineRule="exact"/>
              <w:jc w:val="left"/>
              <w:outlineLvl w:val="0"/>
              <w:rPr>
                <w:rFonts w:ascii="宋体" w:hAnsi="宋体" w:eastAsia="宋体" w:cs="Times New Roman"/>
              </w:rPr>
            </w:pPr>
          </w:p>
        </w:tc>
        <w:tc>
          <w:tcPr>
            <w:tcW w:w="310" w:type="pct"/>
            <w:vAlign w:val="center"/>
          </w:tcPr>
          <w:p w14:paraId="3636B92C">
            <w:pPr>
              <w:spacing w:line="560" w:lineRule="exact"/>
              <w:jc w:val="center"/>
              <w:rPr>
                <w:rFonts w:ascii="宋体" w:hAnsi="宋体" w:eastAsia="宋体" w:cs="Times New Roman"/>
                <w:b/>
                <w:bCs/>
              </w:rPr>
            </w:pPr>
            <w:r>
              <w:rPr>
                <w:rFonts w:hint="eastAsia" w:ascii="宋体" w:hAnsi="宋体" w:eastAsia="宋体" w:cs="方正书宋_GBK"/>
                <w:b/>
                <w:bCs/>
              </w:rPr>
              <w:t>合计</w:t>
            </w:r>
          </w:p>
        </w:tc>
        <w:tc>
          <w:tcPr>
            <w:tcW w:w="310" w:type="pct"/>
            <w:vAlign w:val="center"/>
          </w:tcPr>
          <w:p w14:paraId="309223E4">
            <w:pPr>
              <w:spacing w:line="360" w:lineRule="exact"/>
              <w:jc w:val="center"/>
              <w:rPr>
                <w:rFonts w:ascii="宋体" w:hAnsi="宋体" w:eastAsia="宋体" w:cs="Times New Roman"/>
                <w:b/>
                <w:bCs/>
              </w:rPr>
            </w:pPr>
            <w:r>
              <w:rPr>
                <w:rFonts w:hint="eastAsia" w:ascii="宋体" w:hAnsi="宋体" w:eastAsia="宋体" w:cs="方正书宋_GBK"/>
                <w:b/>
                <w:bCs/>
              </w:rPr>
              <w:t>一般公共预算拨款</w:t>
            </w:r>
          </w:p>
        </w:tc>
        <w:tc>
          <w:tcPr>
            <w:tcW w:w="282" w:type="pct"/>
            <w:vAlign w:val="center"/>
          </w:tcPr>
          <w:p w14:paraId="2E7C6D40">
            <w:pPr>
              <w:spacing w:line="360" w:lineRule="exact"/>
              <w:jc w:val="center"/>
              <w:rPr>
                <w:rFonts w:ascii="宋体" w:hAnsi="宋体" w:eastAsia="宋体" w:cs="Times New Roman"/>
                <w:b/>
                <w:bCs/>
              </w:rPr>
            </w:pPr>
            <w:r>
              <w:rPr>
                <w:rFonts w:hint="eastAsia" w:ascii="宋体" w:hAnsi="宋体" w:eastAsia="宋体" w:cs="方正书宋_GBK"/>
                <w:b/>
                <w:bCs/>
              </w:rPr>
              <w:t>基金预算拨款</w:t>
            </w:r>
          </w:p>
        </w:tc>
        <w:tc>
          <w:tcPr>
            <w:tcW w:w="304" w:type="pct"/>
            <w:vAlign w:val="center"/>
          </w:tcPr>
          <w:p w14:paraId="17D44C8C">
            <w:pPr>
              <w:spacing w:line="360" w:lineRule="exact"/>
              <w:jc w:val="center"/>
              <w:rPr>
                <w:rFonts w:ascii="宋体" w:hAnsi="宋体" w:eastAsia="宋体" w:cs="Times New Roman"/>
                <w:b/>
                <w:bCs/>
              </w:rPr>
            </w:pPr>
            <w:r>
              <w:rPr>
                <w:rFonts w:hint="eastAsia" w:ascii="宋体" w:hAnsi="宋体" w:eastAsia="宋体" w:cs="方正书宋_GBK"/>
                <w:b/>
                <w:bCs/>
              </w:rPr>
              <w:t>财政专户核拨</w:t>
            </w:r>
          </w:p>
        </w:tc>
        <w:tc>
          <w:tcPr>
            <w:tcW w:w="304" w:type="pct"/>
            <w:vAlign w:val="center"/>
          </w:tcPr>
          <w:p w14:paraId="3460AB5D">
            <w:pPr>
              <w:spacing w:line="360" w:lineRule="exact"/>
              <w:jc w:val="center"/>
              <w:rPr>
                <w:rFonts w:ascii="宋体" w:hAnsi="宋体" w:eastAsia="宋体" w:cs="Times New Roman"/>
                <w:b/>
                <w:bCs/>
              </w:rPr>
            </w:pPr>
            <w:r>
              <w:rPr>
                <w:rFonts w:hint="eastAsia" w:ascii="宋体" w:hAnsi="宋体" w:eastAsia="宋体" w:cs="方正书宋_GBK"/>
                <w:b/>
                <w:bCs/>
              </w:rPr>
              <w:t>其他来源收入</w:t>
            </w:r>
          </w:p>
        </w:tc>
        <w:tc>
          <w:tcPr>
            <w:tcW w:w="285" w:type="pct"/>
            <w:vMerge w:val="continue"/>
            <w:vAlign w:val="center"/>
          </w:tcPr>
          <w:p w14:paraId="5323077F">
            <w:pPr>
              <w:spacing w:line="560" w:lineRule="exact"/>
              <w:jc w:val="left"/>
              <w:outlineLvl w:val="0"/>
              <w:rPr>
                <w:rFonts w:ascii="宋体" w:hAnsi="宋体" w:eastAsia="宋体" w:cs="Times New Roman"/>
              </w:rPr>
            </w:pPr>
          </w:p>
        </w:tc>
      </w:tr>
      <w:tr w14:paraId="48DC1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5" w:type="pct"/>
            <w:vAlign w:val="center"/>
          </w:tcPr>
          <w:p w14:paraId="3BDA7E24">
            <w:pPr>
              <w:spacing w:line="560" w:lineRule="exact"/>
              <w:jc w:val="center"/>
              <w:rPr>
                <w:rFonts w:ascii="宋体" w:hAnsi="宋体" w:eastAsia="宋体" w:cs="Times New Roman"/>
                <w:b/>
                <w:bCs/>
              </w:rPr>
            </w:pPr>
            <w:r>
              <w:rPr>
                <w:rFonts w:hint="eastAsia" w:ascii="宋体" w:hAnsi="宋体" w:eastAsia="宋体" w:cs="方正书宋_GBK"/>
                <w:b/>
                <w:bCs/>
              </w:rPr>
              <w:t>合　计</w:t>
            </w:r>
          </w:p>
        </w:tc>
        <w:tc>
          <w:tcPr>
            <w:tcW w:w="368" w:type="pct"/>
            <w:vAlign w:val="center"/>
          </w:tcPr>
          <w:p w14:paraId="622BF2AD">
            <w:pPr>
              <w:spacing w:line="560" w:lineRule="exact"/>
              <w:jc w:val="center"/>
              <w:rPr>
                <w:rFonts w:ascii="宋体" w:hAnsi="宋体" w:eastAsia="宋体" w:cs="Times New Roman"/>
                <w:b/>
                <w:bCs/>
              </w:rPr>
            </w:pPr>
            <w:r>
              <w:rPr>
                <w:rFonts w:hint="eastAsia" w:ascii="宋体" w:hAnsi="宋体" w:eastAsia="宋体" w:cs="Times New Roman"/>
                <w:b/>
                <w:bCs/>
              </w:rPr>
              <w:t>3</w:t>
            </w:r>
          </w:p>
        </w:tc>
        <w:tc>
          <w:tcPr>
            <w:tcW w:w="303" w:type="pct"/>
            <w:vAlign w:val="center"/>
          </w:tcPr>
          <w:p w14:paraId="2690E0A9">
            <w:pPr>
              <w:spacing w:line="560" w:lineRule="exact"/>
              <w:jc w:val="center"/>
              <w:rPr>
                <w:rFonts w:ascii="宋体" w:hAnsi="宋体" w:eastAsia="宋体" w:cs="Times New Roman"/>
                <w:b/>
                <w:bCs/>
              </w:rPr>
            </w:pPr>
          </w:p>
        </w:tc>
        <w:tc>
          <w:tcPr>
            <w:tcW w:w="482" w:type="pct"/>
            <w:vAlign w:val="center"/>
          </w:tcPr>
          <w:p w14:paraId="5868A588">
            <w:pPr>
              <w:spacing w:line="560" w:lineRule="exact"/>
              <w:jc w:val="center"/>
              <w:rPr>
                <w:rFonts w:ascii="宋体" w:hAnsi="宋体" w:eastAsia="宋体" w:cs="Times New Roman"/>
                <w:b/>
                <w:bCs/>
              </w:rPr>
            </w:pPr>
          </w:p>
        </w:tc>
        <w:tc>
          <w:tcPr>
            <w:tcW w:w="303" w:type="pct"/>
            <w:vAlign w:val="center"/>
          </w:tcPr>
          <w:p w14:paraId="5FC907FA">
            <w:pPr>
              <w:spacing w:line="560" w:lineRule="exact"/>
              <w:jc w:val="center"/>
              <w:rPr>
                <w:rFonts w:ascii="宋体" w:hAnsi="宋体" w:eastAsia="宋体" w:cs="Times New Roman"/>
                <w:b/>
                <w:bCs/>
              </w:rPr>
            </w:pPr>
          </w:p>
        </w:tc>
        <w:tc>
          <w:tcPr>
            <w:tcW w:w="303" w:type="pct"/>
            <w:vAlign w:val="center"/>
          </w:tcPr>
          <w:p w14:paraId="0956396A">
            <w:pPr>
              <w:spacing w:line="560" w:lineRule="exact"/>
              <w:jc w:val="center"/>
              <w:rPr>
                <w:rFonts w:ascii="宋体" w:hAnsi="宋体" w:eastAsia="宋体" w:cs="Times New Roman"/>
                <w:b/>
                <w:bCs/>
              </w:rPr>
            </w:pPr>
            <w:r>
              <w:rPr>
                <w:rFonts w:hint="eastAsia" w:ascii="宋体" w:hAnsi="宋体" w:eastAsia="宋体" w:cs="Times New Roman"/>
                <w:b/>
                <w:bCs/>
              </w:rPr>
              <w:t>24</w:t>
            </w:r>
          </w:p>
        </w:tc>
        <w:tc>
          <w:tcPr>
            <w:tcW w:w="311" w:type="pct"/>
            <w:vAlign w:val="center"/>
          </w:tcPr>
          <w:p w14:paraId="263E2A2C">
            <w:pPr>
              <w:spacing w:line="560" w:lineRule="exact"/>
              <w:jc w:val="center"/>
              <w:rPr>
                <w:rFonts w:ascii="宋体" w:hAnsi="宋体" w:eastAsia="宋体" w:cs="Times New Roman"/>
                <w:b/>
                <w:bCs/>
              </w:rPr>
            </w:pPr>
          </w:p>
        </w:tc>
        <w:tc>
          <w:tcPr>
            <w:tcW w:w="310" w:type="pct"/>
            <w:vAlign w:val="center"/>
          </w:tcPr>
          <w:p w14:paraId="574B88EE">
            <w:pPr>
              <w:spacing w:line="560" w:lineRule="exact"/>
              <w:jc w:val="center"/>
              <w:rPr>
                <w:rFonts w:ascii="宋体" w:hAnsi="宋体" w:eastAsia="宋体" w:cs="Times New Roman"/>
                <w:b/>
                <w:bCs/>
              </w:rPr>
            </w:pPr>
            <w:r>
              <w:rPr>
                <w:rFonts w:hint="eastAsia" w:ascii="宋体" w:hAnsi="宋体" w:eastAsia="宋体" w:cs="Times New Roman"/>
                <w:b/>
                <w:bCs/>
              </w:rPr>
              <w:t>3</w:t>
            </w:r>
          </w:p>
        </w:tc>
        <w:tc>
          <w:tcPr>
            <w:tcW w:w="310" w:type="pct"/>
            <w:vAlign w:val="center"/>
          </w:tcPr>
          <w:p w14:paraId="6DCA7A9F">
            <w:pPr>
              <w:spacing w:line="560" w:lineRule="exact"/>
              <w:jc w:val="center"/>
              <w:rPr>
                <w:rFonts w:ascii="宋体" w:hAnsi="宋体" w:eastAsia="宋体" w:cs="Times New Roman"/>
                <w:b/>
                <w:bCs/>
              </w:rPr>
            </w:pPr>
            <w:r>
              <w:rPr>
                <w:rFonts w:hint="eastAsia" w:ascii="宋体" w:hAnsi="宋体" w:eastAsia="宋体" w:cs="Times New Roman"/>
                <w:b/>
                <w:bCs/>
              </w:rPr>
              <w:t>3</w:t>
            </w:r>
          </w:p>
        </w:tc>
        <w:tc>
          <w:tcPr>
            <w:tcW w:w="310" w:type="pct"/>
            <w:vAlign w:val="center"/>
          </w:tcPr>
          <w:p w14:paraId="280D25B4">
            <w:pPr>
              <w:spacing w:line="560" w:lineRule="exact"/>
              <w:jc w:val="center"/>
              <w:rPr>
                <w:rFonts w:ascii="宋体" w:hAnsi="宋体" w:eastAsia="宋体" w:cs="Times New Roman"/>
                <w:b/>
                <w:bCs/>
              </w:rPr>
            </w:pPr>
            <w:r>
              <w:rPr>
                <w:rFonts w:hint="eastAsia" w:ascii="宋体" w:hAnsi="宋体" w:eastAsia="宋体" w:cs="Times New Roman"/>
                <w:b/>
                <w:bCs/>
              </w:rPr>
              <w:t>3</w:t>
            </w:r>
          </w:p>
        </w:tc>
        <w:tc>
          <w:tcPr>
            <w:tcW w:w="282" w:type="pct"/>
            <w:vAlign w:val="center"/>
          </w:tcPr>
          <w:p w14:paraId="398F2F41">
            <w:pPr>
              <w:spacing w:line="560" w:lineRule="exact"/>
              <w:jc w:val="center"/>
              <w:rPr>
                <w:rFonts w:ascii="宋体" w:hAnsi="宋体" w:eastAsia="宋体" w:cs="Times New Roman"/>
                <w:b/>
                <w:bCs/>
              </w:rPr>
            </w:pPr>
          </w:p>
        </w:tc>
        <w:tc>
          <w:tcPr>
            <w:tcW w:w="304" w:type="pct"/>
            <w:vAlign w:val="center"/>
          </w:tcPr>
          <w:p w14:paraId="042E17BA">
            <w:pPr>
              <w:spacing w:line="560" w:lineRule="exact"/>
              <w:jc w:val="center"/>
              <w:rPr>
                <w:rFonts w:ascii="宋体" w:hAnsi="宋体" w:eastAsia="宋体" w:cs="Times New Roman"/>
                <w:b/>
                <w:bCs/>
              </w:rPr>
            </w:pPr>
          </w:p>
        </w:tc>
        <w:tc>
          <w:tcPr>
            <w:tcW w:w="304" w:type="pct"/>
            <w:vAlign w:val="center"/>
          </w:tcPr>
          <w:p w14:paraId="6EFD8B22">
            <w:pPr>
              <w:spacing w:line="560" w:lineRule="exact"/>
              <w:jc w:val="center"/>
              <w:rPr>
                <w:rFonts w:ascii="宋体" w:hAnsi="宋体" w:eastAsia="宋体" w:cs="Times New Roman"/>
                <w:b/>
                <w:bCs/>
              </w:rPr>
            </w:pPr>
          </w:p>
        </w:tc>
        <w:tc>
          <w:tcPr>
            <w:tcW w:w="285" w:type="pct"/>
            <w:vAlign w:val="center"/>
          </w:tcPr>
          <w:p w14:paraId="56088790">
            <w:pPr>
              <w:spacing w:line="560" w:lineRule="exact"/>
              <w:jc w:val="center"/>
              <w:rPr>
                <w:rFonts w:ascii="宋体" w:hAnsi="宋体" w:eastAsia="宋体" w:cs="Times New Roman"/>
                <w:b/>
                <w:bCs/>
              </w:rPr>
            </w:pPr>
          </w:p>
        </w:tc>
      </w:tr>
      <w:tr w14:paraId="53EF2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825" w:type="pct"/>
            <w:vAlign w:val="center"/>
          </w:tcPr>
          <w:p w14:paraId="47CCA96D">
            <w:pPr>
              <w:spacing w:line="560" w:lineRule="exact"/>
              <w:jc w:val="center"/>
              <w:rPr>
                <w:rFonts w:ascii="宋体" w:hAnsi="宋体" w:eastAsia="宋体" w:cs="Times New Roman"/>
                <w:bCs/>
              </w:rPr>
            </w:pPr>
            <w:r>
              <w:rPr>
                <w:rFonts w:hint="eastAsia" w:ascii="宋体" w:hAnsi="宋体" w:eastAsia="宋体" w:cs="Times New Roman"/>
                <w:bCs/>
              </w:rPr>
              <w:t>日常公用</w:t>
            </w:r>
          </w:p>
        </w:tc>
        <w:tc>
          <w:tcPr>
            <w:tcW w:w="368" w:type="pct"/>
            <w:vAlign w:val="center"/>
          </w:tcPr>
          <w:p w14:paraId="5F8FF687">
            <w:pPr>
              <w:spacing w:line="560" w:lineRule="exact"/>
              <w:jc w:val="center"/>
              <w:rPr>
                <w:rFonts w:ascii="宋体" w:hAnsi="宋体" w:eastAsia="宋体" w:cs="Times New Roman"/>
                <w:bCs/>
              </w:rPr>
            </w:pPr>
            <w:r>
              <w:rPr>
                <w:rFonts w:hint="eastAsia" w:ascii="宋体" w:hAnsi="宋体" w:eastAsia="宋体" w:cs="Times New Roman"/>
                <w:bCs/>
              </w:rPr>
              <w:t>1</w:t>
            </w:r>
          </w:p>
        </w:tc>
        <w:tc>
          <w:tcPr>
            <w:tcW w:w="303" w:type="pct"/>
            <w:vAlign w:val="center"/>
          </w:tcPr>
          <w:p w14:paraId="7A606F4F">
            <w:pPr>
              <w:spacing w:line="560" w:lineRule="exact"/>
              <w:jc w:val="center"/>
              <w:rPr>
                <w:rFonts w:ascii="宋体" w:hAnsi="宋体" w:eastAsia="宋体" w:cs="Times New Roman"/>
                <w:bCs/>
              </w:rPr>
            </w:pPr>
            <w:r>
              <w:rPr>
                <w:rFonts w:hint="eastAsia" w:ascii="宋体" w:hAnsi="宋体" w:eastAsia="宋体" w:cs="Times New Roman"/>
                <w:bCs/>
              </w:rPr>
              <w:t>空调</w:t>
            </w:r>
          </w:p>
        </w:tc>
        <w:tc>
          <w:tcPr>
            <w:tcW w:w="482" w:type="pct"/>
            <w:vAlign w:val="center"/>
          </w:tcPr>
          <w:p w14:paraId="494B21BA">
            <w:pPr>
              <w:spacing w:line="560" w:lineRule="exact"/>
              <w:jc w:val="center"/>
              <w:rPr>
                <w:rFonts w:ascii="宋体" w:hAnsi="宋体" w:eastAsia="宋体" w:cs="Times New Roman"/>
                <w:bCs/>
              </w:rPr>
            </w:pPr>
            <w:r>
              <w:rPr>
                <w:rFonts w:hint="eastAsia" w:ascii="宋体" w:hAnsi="宋体" w:eastAsia="宋体" w:cs="Times New Roman"/>
                <w:bCs/>
              </w:rPr>
              <w:t>A020199</w:t>
            </w:r>
          </w:p>
        </w:tc>
        <w:tc>
          <w:tcPr>
            <w:tcW w:w="303" w:type="pct"/>
            <w:vAlign w:val="center"/>
          </w:tcPr>
          <w:p w14:paraId="02300305">
            <w:pPr>
              <w:spacing w:line="560" w:lineRule="exact"/>
              <w:jc w:val="center"/>
              <w:rPr>
                <w:rFonts w:ascii="宋体" w:hAnsi="宋体" w:eastAsia="宋体" w:cs="Times New Roman"/>
                <w:bCs/>
              </w:rPr>
            </w:pPr>
            <w:r>
              <w:rPr>
                <w:rFonts w:hint="eastAsia" w:ascii="宋体" w:hAnsi="宋体" w:eastAsia="宋体" w:cs="Times New Roman"/>
                <w:bCs/>
              </w:rPr>
              <w:t>台</w:t>
            </w:r>
          </w:p>
        </w:tc>
        <w:tc>
          <w:tcPr>
            <w:tcW w:w="303" w:type="pct"/>
            <w:vAlign w:val="center"/>
          </w:tcPr>
          <w:p w14:paraId="1819A06C">
            <w:pPr>
              <w:spacing w:line="560" w:lineRule="exact"/>
              <w:jc w:val="center"/>
              <w:rPr>
                <w:rFonts w:ascii="宋体" w:hAnsi="宋体" w:eastAsia="宋体" w:cs="Times New Roman"/>
                <w:bCs/>
              </w:rPr>
            </w:pPr>
            <w:r>
              <w:rPr>
                <w:rFonts w:hint="eastAsia" w:ascii="宋体" w:hAnsi="宋体" w:eastAsia="宋体" w:cs="Times New Roman"/>
                <w:bCs/>
              </w:rPr>
              <w:t>1</w:t>
            </w:r>
          </w:p>
        </w:tc>
        <w:tc>
          <w:tcPr>
            <w:tcW w:w="311" w:type="pct"/>
            <w:vAlign w:val="center"/>
          </w:tcPr>
          <w:p w14:paraId="6F52585D">
            <w:pPr>
              <w:spacing w:line="560" w:lineRule="exact"/>
              <w:jc w:val="center"/>
              <w:rPr>
                <w:rFonts w:ascii="宋体" w:hAnsi="宋体" w:eastAsia="宋体" w:cs="Times New Roman"/>
                <w:bCs/>
              </w:rPr>
            </w:pPr>
            <w:r>
              <w:rPr>
                <w:rFonts w:hint="eastAsia" w:ascii="宋体" w:hAnsi="宋体" w:eastAsia="宋体" w:cs="Times New Roman"/>
                <w:bCs/>
              </w:rPr>
              <w:t>1</w:t>
            </w:r>
          </w:p>
        </w:tc>
        <w:tc>
          <w:tcPr>
            <w:tcW w:w="310" w:type="pct"/>
            <w:vAlign w:val="center"/>
          </w:tcPr>
          <w:p w14:paraId="420C0491">
            <w:pPr>
              <w:spacing w:line="560" w:lineRule="exact"/>
              <w:jc w:val="center"/>
              <w:rPr>
                <w:rFonts w:ascii="宋体" w:hAnsi="宋体" w:eastAsia="宋体" w:cs="Times New Roman"/>
                <w:bCs/>
              </w:rPr>
            </w:pPr>
            <w:r>
              <w:rPr>
                <w:rFonts w:hint="eastAsia" w:ascii="宋体" w:hAnsi="宋体" w:eastAsia="宋体" w:cs="Times New Roman"/>
                <w:bCs/>
              </w:rPr>
              <w:t>1</w:t>
            </w:r>
          </w:p>
        </w:tc>
        <w:tc>
          <w:tcPr>
            <w:tcW w:w="310" w:type="pct"/>
            <w:vAlign w:val="center"/>
          </w:tcPr>
          <w:p w14:paraId="6C537CEB">
            <w:pPr>
              <w:spacing w:line="560" w:lineRule="exact"/>
              <w:jc w:val="center"/>
              <w:rPr>
                <w:rFonts w:ascii="宋体" w:hAnsi="宋体" w:eastAsia="宋体" w:cs="Times New Roman"/>
                <w:bCs/>
              </w:rPr>
            </w:pPr>
            <w:r>
              <w:rPr>
                <w:rFonts w:hint="eastAsia" w:ascii="宋体" w:hAnsi="宋体" w:eastAsia="宋体" w:cs="Times New Roman"/>
                <w:bCs/>
              </w:rPr>
              <w:t>1</w:t>
            </w:r>
          </w:p>
        </w:tc>
        <w:tc>
          <w:tcPr>
            <w:tcW w:w="310" w:type="pct"/>
            <w:vAlign w:val="center"/>
          </w:tcPr>
          <w:p w14:paraId="5027FB78">
            <w:pPr>
              <w:spacing w:line="560" w:lineRule="exact"/>
              <w:jc w:val="center"/>
              <w:rPr>
                <w:rFonts w:ascii="宋体" w:hAnsi="宋体" w:eastAsia="宋体" w:cs="Times New Roman"/>
                <w:bCs/>
              </w:rPr>
            </w:pPr>
            <w:r>
              <w:rPr>
                <w:rFonts w:hint="eastAsia" w:ascii="宋体" w:hAnsi="宋体" w:eastAsia="宋体" w:cs="Times New Roman"/>
                <w:bCs/>
              </w:rPr>
              <w:t>1</w:t>
            </w:r>
          </w:p>
        </w:tc>
        <w:tc>
          <w:tcPr>
            <w:tcW w:w="282" w:type="pct"/>
            <w:vAlign w:val="center"/>
          </w:tcPr>
          <w:p w14:paraId="708E9A95">
            <w:pPr>
              <w:spacing w:line="560" w:lineRule="exact"/>
              <w:jc w:val="center"/>
              <w:rPr>
                <w:rFonts w:ascii="宋体" w:hAnsi="宋体" w:eastAsia="宋体" w:cs="Times New Roman"/>
                <w:bCs/>
              </w:rPr>
            </w:pPr>
          </w:p>
        </w:tc>
        <w:tc>
          <w:tcPr>
            <w:tcW w:w="304" w:type="pct"/>
            <w:vAlign w:val="center"/>
          </w:tcPr>
          <w:p w14:paraId="1F90E208">
            <w:pPr>
              <w:spacing w:line="560" w:lineRule="exact"/>
              <w:jc w:val="center"/>
              <w:rPr>
                <w:rFonts w:ascii="宋体" w:hAnsi="宋体" w:eastAsia="宋体" w:cs="Times New Roman"/>
                <w:b/>
                <w:bCs/>
              </w:rPr>
            </w:pPr>
          </w:p>
        </w:tc>
        <w:tc>
          <w:tcPr>
            <w:tcW w:w="304" w:type="pct"/>
            <w:vAlign w:val="center"/>
          </w:tcPr>
          <w:p w14:paraId="016BCB78">
            <w:pPr>
              <w:spacing w:line="560" w:lineRule="exact"/>
              <w:jc w:val="center"/>
              <w:rPr>
                <w:rFonts w:ascii="宋体" w:hAnsi="宋体" w:eastAsia="宋体" w:cs="Times New Roman"/>
                <w:b/>
                <w:bCs/>
              </w:rPr>
            </w:pPr>
          </w:p>
        </w:tc>
        <w:tc>
          <w:tcPr>
            <w:tcW w:w="285" w:type="pct"/>
            <w:vAlign w:val="center"/>
          </w:tcPr>
          <w:p w14:paraId="0CF01CF0">
            <w:pPr>
              <w:spacing w:line="560" w:lineRule="exact"/>
              <w:jc w:val="center"/>
              <w:rPr>
                <w:rFonts w:ascii="宋体" w:hAnsi="宋体" w:eastAsia="宋体" w:cs="Times New Roman"/>
                <w:b/>
                <w:bCs/>
              </w:rPr>
            </w:pPr>
          </w:p>
        </w:tc>
      </w:tr>
      <w:tr w14:paraId="30AC0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5" w:type="pct"/>
            <w:vAlign w:val="center"/>
          </w:tcPr>
          <w:p w14:paraId="4D0853F7">
            <w:pPr>
              <w:spacing w:line="560" w:lineRule="exact"/>
              <w:jc w:val="center"/>
              <w:rPr>
                <w:rFonts w:ascii="宋体" w:hAnsi="宋体" w:eastAsia="宋体" w:cs="Times New Roman"/>
              </w:rPr>
            </w:pPr>
            <w:r>
              <w:rPr>
                <w:rFonts w:hint="eastAsia" w:ascii="宋体" w:hAnsi="宋体" w:eastAsia="宋体" w:cs="Times New Roman"/>
                <w:bCs/>
              </w:rPr>
              <w:t>日常公用</w:t>
            </w:r>
          </w:p>
        </w:tc>
        <w:tc>
          <w:tcPr>
            <w:tcW w:w="368" w:type="pct"/>
            <w:vAlign w:val="center"/>
          </w:tcPr>
          <w:p w14:paraId="4F8E705D">
            <w:pPr>
              <w:spacing w:line="560" w:lineRule="exact"/>
              <w:jc w:val="center"/>
              <w:rPr>
                <w:rFonts w:ascii="宋体" w:hAnsi="宋体" w:eastAsia="宋体" w:cs="Times New Roman"/>
              </w:rPr>
            </w:pPr>
            <w:r>
              <w:rPr>
                <w:rFonts w:hint="eastAsia" w:ascii="宋体" w:hAnsi="宋体" w:eastAsia="宋体" w:cs="Times New Roman"/>
              </w:rPr>
              <w:t>0.8</w:t>
            </w:r>
          </w:p>
        </w:tc>
        <w:tc>
          <w:tcPr>
            <w:tcW w:w="303" w:type="pct"/>
            <w:vAlign w:val="center"/>
          </w:tcPr>
          <w:p w14:paraId="26A93CBE">
            <w:pPr>
              <w:spacing w:line="560" w:lineRule="exact"/>
              <w:jc w:val="center"/>
              <w:rPr>
                <w:rFonts w:ascii="宋体" w:hAnsi="宋体" w:eastAsia="宋体" w:cs="Times New Roman"/>
              </w:rPr>
            </w:pPr>
            <w:r>
              <w:rPr>
                <w:rFonts w:hint="eastAsia" w:ascii="宋体" w:hAnsi="宋体" w:eastAsia="宋体" w:cs="Times New Roman"/>
              </w:rPr>
              <w:t>桌椅</w:t>
            </w:r>
          </w:p>
        </w:tc>
        <w:tc>
          <w:tcPr>
            <w:tcW w:w="482" w:type="pct"/>
            <w:vAlign w:val="center"/>
          </w:tcPr>
          <w:p w14:paraId="0FF5F393">
            <w:pPr>
              <w:spacing w:line="560" w:lineRule="exact"/>
              <w:jc w:val="center"/>
              <w:rPr>
                <w:rFonts w:ascii="宋体" w:hAnsi="宋体" w:eastAsia="宋体" w:cs="Times New Roman"/>
              </w:rPr>
            </w:pPr>
            <w:r>
              <w:rPr>
                <w:rFonts w:hint="eastAsia" w:ascii="宋体" w:hAnsi="宋体" w:eastAsia="宋体" w:cs="Times New Roman"/>
                <w:bCs/>
              </w:rPr>
              <w:t>A020199</w:t>
            </w:r>
          </w:p>
        </w:tc>
        <w:tc>
          <w:tcPr>
            <w:tcW w:w="303" w:type="pct"/>
            <w:vAlign w:val="center"/>
          </w:tcPr>
          <w:p w14:paraId="13C4865C">
            <w:pPr>
              <w:spacing w:line="560" w:lineRule="exact"/>
              <w:jc w:val="center"/>
              <w:rPr>
                <w:rFonts w:ascii="宋体" w:hAnsi="宋体" w:eastAsia="宋体" w:cs="Times New Roman"/>
              </w:rPr>
            </w:pPr>
            <w:r>
              <w:rPr>
                <w:rFonts w:hint="eastAsia" w:ascii="宋体" w:hAnsi="宋体" w:eastAsia="宋体" w:cs="Times New Roman"/>
              </w:rPr>
              <w:t>套</w:t>
            </w:r>
          </w:p>
        </w:tc>
        <w:tc>
          <w:tcPr>
            <w:tcW w:w="303" w:type="pct"/>
            <w:vAlign w:val="center"/>
          </w:tcPr>
          <w:p w14:paraId="72474FD3">
            <w:pPr>
              <w:spacing w:line="560" w:lineRule="exact"/>
              <w:jc w:val="center"/>
              <w:rPr>
                <w:rFonts w:ascii="宋体" w:hAnsi="宋体" w:eastAsia="宋体" w:cs="Times New Roman"/>
              </w:rPr>
            </w:pPr>
            <w:r>
              <w:rPr>
                <w:rFonts w:hint="eastAsia" w:ascii="宋体" w:hAnsi="宋体" w:eastAsia="宋体" w:cs="Times New Roman"/>
              </w:rPr>
              <w:t>20</w:t>
            </w:r>
          </w:p>
        </w:tc>
        <w:tc>
          <w:tcPr>
            <w:tcW w:w="311" w:type="pct"/>
            <w:vAlign w:val="center"/>
          </w:tcPr>
          <w:p w14:paraId="1EBF6C63">
            <w:pPr>
              <w:spacing w:line="560" w:lineRule="exact"/>
              <w:jc w:val="center"/>
              <w:rPr>
                <w:rFonts w:ascii="宋体" w:hAnsi="宋体" w:eastAsia="宋体" w:cs="Times New Roman"/>
              </w:rPr>
            </w:pPr>
            <w:r>
              <w:rPr>
                <w:rFonts w:hint="eastAsia" w:ascii="宋体" w:hAnsi="宋体" w:eastAsia="宋体" w:cs="Times New Roman"/>
              </w:rPr>
              <w:t>0.04</w:t>
            </w:r>
          </w:p>
        </w:tc>
        <w:tc>
          <w:tcPr>
            <w:tcW w:w="310" w:type="pct"/>
            <w:vAlign w:val="center"/>
          </w:tcPr>
          <w:p w14:paraId="119962E8">
            <w:pPr>
              <w:spacing w:line="560" w:lineRule="exact"/>
              <w:jc w:val="center"/>
              <w:rPr>
                <w:rFonts w:ascii="宋体" w:hAnsi="宋体" w:eastAsia="宋体" w:cs="Times New Roman"/>
              </w:rPr>
            </w:pPr>
            <w:r>
              <w:rPr>
                <w:rFonts w:hint="eastAsia" w:ascii="宋体" w:hAnsi="宋体" w:eastAsia="宋体" w:cs="Times New Roman"/>
              </w:rPr>
              <w:t>0.8</w:t>
            </w:r>
          </w:p>
        </w:tc>
        <w:tc>
          <w:tcPr>
            <w:tcW w:w="310" w:type="pct"/>
            <w:vAlign w:val="center"/>
          </w:tcPr>
          <w:p w14:paraId="3D380DE6">
            <w:pPr>
              <w:spacing w:line="560" w:lineRule="exact"/>
              <w:jc w:val="center"/>
              <w:rPr>
                <w:rFonts w:ascii="宋体" w:hAnsi="宋体" w:eastAsia="宋体" w:cs="Times New Roman"/>
              </w:rPr>
            </w:pPr>
            <w:r>
              <w:rPr>
                <w:rFonts w:hint="eastAsia" w:ascii="宋体" w:hAnsi="宋体" w:eastAsia="宋体" w:cs="Times New Roman"/>
              </w:rPr>
              <w:t>0.8</w:t>
            </w:r>
          </w:p>
        </w:tc>
        <w:tc>
          <w:tcPr>
            <w:tcW w:w="310" w:type="pct"/>
            <w:vAlign w:val="center"/>
          </w:tcPr>
          <w:p w14:paraId="71B67F2E">
            <w:pPr>
              <w:spacing w:line="560" w:lineRule="exact"/>
              <w:jc w:val="center"/>
              <w:rPr>
                <w:rFonts w:ascii="宋体" w:hAnsi="宋体" w:eastAsia="宋体" w:cs="Times New Roman"/>
              </w:rPr>
            </w:pPr>
            <w:r>
              <w:rPr>
                <w:rFonts w:hint="eastAsia" w:ascii="宋体" w:hAnsi="宋体" w:eastAsia="宋体" w:cs="Times New Roman"/>
              </w:rPr>
              <w:t>0.8</w:t>
            </w:r>
          </w:p>
        </w:tc>
        <w:tc>
          <w:tcPr>
            <w:tcW w:w="282" w:type="pct"/>
            <w:vAlign w:val="center"/>
          </w:tcPr>
          <w:p w14:paraId="4D2907F1">
            <w:pPr>
              <w:spacing w:line="560" w:lineRule="exact"/>
              <w:jc w:val="center"/>
              <w:rPr>
                <w:rFonts w:ascii="宋体" w:hAnsi="宋体" w:eastAsia="宋体" w:cs="Times New Roman"/>
              </w:rPr>
            </w:pPr>
          </w:p>
        </w:tc>
        <w:tc>
          <w:tcPr>
            <w:tcW w:w="304" w:type="pct"/>
            <w:vAlign w:val="center"/>
          </w:tcPr>
          <w:p w14:paraId="3D782821">
            <w:pPr>
              <w:spacing w:line="560" w:lineRule="exact"/>
              <w:jc w:val="center"/>
              <w:rPr>
                <w:rFonts w:ascii="宋体" w:hAnsi="宋体" w:eastAsia="宋体" w:cs="Times New Roman"/>
              </w:rPr>
            </w:pPr>
          </w:p>
        </w:tc>
        <w:tc>
          <w:tcPr>
            <w:tcW w:w="304" w:type="pct"/>
            <w:vAlign w:val="center"/>
          </w:tcPr>
          <w:p w14:paraId="697899A9">
            <w:pPr>
              <w:spacing w:line="560" w:lineRule="exact"/>
              <w:jc w:val="center"/>
              <w:rPr>
                <w:rFonts w:ascii="宋体" w:hAnsi="宋体" w:eastAsia="宋体" w:cs="Times New Roman"/>
              </w:rPr>
            </w:pPr>
          </w:p>
        </w:tc>
        <w:tc>
          <w:tcPr>
            <w:tcW w:w="285" w:type="pct"/>
            <w:vAlign w:val="center"/>
          </w:tcPr>
          <w:p w14:paraId="0F0F52E4">
            <w:pPr>
              <w:spacing w:line="560" w:lineRule="exact"/>
              <w:jc w:val="center"/>
              <w:rPr>
                <w:rFonts w:ascii="宋体" w:hAnsi="宋体" w:eastAsia="宋体" w:cs="Times New Roman"/>
              </w:rPr>
            </w:pPr>
          </w:p>
        </w:tc>
      </w:tr>
      <w:tr w14:paraId="298C6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825" w:type="pct"/>
            <w:vAlign w:val="center"/>
          </w:tcPr>
          <w:p w14:paraId="21A678EC">
            <w:pPr>
              <w:spacing w:line="560" w:lineRule="exact"/>
              <w:jc w:val="center"/>
              <w:rPr>
                <w:rFonts w:ascii="宋体" w:hAnsi="宋体" w:eastAsia="宋体" w:cs="Times New Roman"/>
              </w:rPr>
            </w:pPr>
            <w:r>
              <w:rPr>
                <w:rFonts w:hint="eastAsia" w:ascii="宋体" w:hAnsi="宋体" w:eastAsia="宋体" w:cs="Times New Roman"/>
                <w:bCs/>
              </w:rPr>
              <w:t>日常公用</w:t>
            </w:r>
          </w:p>
        </w:tc>
        <w:tc>
          <w:tcPr>
            <w:tcW w:w="368" w:type="pct"/>
            <w:vAlign w:val="center"/>
          </w:tcPr>
          <w:p w14:paraId="6E0C79F8">
            <w:pPr>
              <w:spacing w:line="560" w:lineRule="exact"/>
              <w:jc w:val="center"/>
              <w:rPr>
                <w:rFonts w:ascii="宋体" w:hAnsi="宋体" w:eastAsia="宋体" w:cs="Times New Roman"/>
              </w:rPr>
            </w:pPr>
            <w:r>
              <w:rPr>
                <w:rFonts w:hint="eastAsia" w:ascii="宋体" w:hAnsi="宋体" w:eastAsia="宋体" w:cs="Times New Roman"/>
              </w:rPr>
              <w:t>1.2</w:t>
            </w:r>
          </w:p>
        </w:tc>
        <w:tc>
          <w:tcPr>
            <w:tcW w:w="303" w:type="pct"/>
            <w:vAlign w:val="center"/>
          </w:tcPr>
          <w:p w14:paraId="3FCDEBE7">
            <w:pPr>
              <w:spacing w:line="560" w:lineRule="exact"/>
              <w:jc w:val="center"/>
              <w:rPr>
                <w:rFonts w:ascii="宋体" w:hAnsi="宋体" w:eastAsia="宋体" w:cs="Times New Roman"/>
              </w:rPr>
            </w:pPr>
            <w:r>
              <w:rPr>
                <w:rFonts w:hint="eastAsia" w:ascii="宋体" w:hAnsi="宋体" w:eastAsia="宋体" w:cs="Times New Roman"/>
              </w:rPr>
              <w:t>电脑</w:t>
            </w:r>
          </w:p>
        </w:tc>
        <w:tc>
          <w:tcPr>
            <w:tcW w:w="482" w:type="pct"/>
            <w:vAlign w:val="center"/>
          </w:tcPr>
          <w:p w14:paraId="079B9CFA">
            <w:pPr>
              <w:spacing w:line="560" w:lineRule="exact"/>
              <w:jc w:val="center"/>
              <w:rPr>
                <w:rFonts w:ascii="宋体" w:hAnsi="宋体" w:eastAsia="宋体" w:cs="Times New Roman"/>
              </w:rPr>
            </w:pPr>
            <w:r>
              <w:rPr>
                <w:rFonts w:hint="eastAsia" w:ascii="宋体" w:hAnsi="宋体" w:eastAsia="宋体" w:cs="Times New Roman"/>
                <w:bCs/>
              </w:rPr>
              <w:t>A020199</w:t>
            </w:r>
          </w:p>
        </w:tc>
        <w:tc>
          <w:tcPr>
            <w:tcW w:w="303" w:type="pct"/>
            <w:vAlign w:val="center"/>
          </w:tcPr>
          <w:p w14:paraId="59B31F03">
            <w:pPr>
              <w:spacing w:line="560" w:lineRule="exact"/>
              <w:jc w:val="center"/>
              <w:rPr>
                <w:rFonts w:ascii="宋体" w:hAnsi="宋体" w:eastAsia="宋体" w:cs="Times New Roman"/>
              </w:rPr>
            </w:pPr>
            <w:r>
              <w:rPr>
                <w:rFonts w:hint="eastAsia" w:ascii="宋体" w:hAnsi="宋体" w:eastAsia="宋体" w:cs="Times New Roman"/>
              </w:rPr>
              <w:t>台</w:t>
            </w:r>
          </w:p>
        </w:tc>
        <w:tc>
          <w:tcPr>
            <w:tcW w:w="303" w:type="pct"/>
            <w:vAlign w:val="center"/>
          </w:tcPr>
          <w:p w14:paraId="3FE5FE4F">
            <w:pPr>
              <w:spacing w:line="560" w:lineRule="exact"/>
              <w:jc w:val="center"/>
              <w:rPr>
                <w:rFonts w:ascii="宋体" w:hAnsi="宋体" w:eastAsia="宋体" w:cs="Times New Roman"/>
              </w:rPr>
            </w:pPr>
            <w:r>
              <w:rPr>
                <w:rFonts w:hint="eastAsia" w:ascii="宋体" w:hAnsi="宋体" w:eastAsia="宋体" w:cs="Times New Roman"/>
              </w:rPr>
              <w:t>3</w:t>
            </w:r>
          </w:p>
        </w:tc>
        <w:tc>
          <w:tcPr>
            <w:tcW w:w="311" w:type="pct"/>
            <w:vAlign w:val="center"/>
          </w:tcPr>
          <w:p w14:paraId="1D334579">
            <w:pPr>
              <w:spacing w:line="560" w:lineRule="exact"/>
              <w:jc w:val="center"/>
              <w:rPr>
                <w:rFonts w:ascii="宋体" w:hAnsi="宋体" w:eastAsia="宋体" w:cs="Times New Roman"/>
              </w:rPr>
            </w:pPr>
            <w:r>
              <w:rPr>
                <w:rFonts w:hint="eastAsia" w:ascii="宋体" w:hAnsi="宋体" w:eastAsia="宋体" w:cs="Times New Roman"/>
              </w:rPr>
              <w:t>0.4</w:t>
            </w:r>
          </w:p>
        </w:tc>
        <w:tc>
          <w:tcPr>
            <w:tcW w:w="310" w:type="pct"/>
            <w:vAlign w:val="center"/>
          </w:tcPr>
          <w:p w14:paraId="1EF0B390">
            <w:pPr>
              <w:spacing w:line="560" w:lineRule="exact"/>
              <w:jc w:val="center"/>
              <w:rPr>
                <w:rFonts w:ascii="宋体" w:hAnsi="宋体" w:eastAsia="宋体" w:cs="Times New Roman"/>
              </w:rPr>
            </w:pPr>
            <w:r>
              <w:rPr>
                <w:rFonts w:hint="eastAsia" w:ascii="宋体" w:hAnsi="宋体" w:eastAsia="宋体" w:cs="Times New Roman"/>
              </w:rPr>
              <w:t>1.2</w:t>
            </w:r>
          </w:p>
        </w:tc>
        <w:tc>
          <w:tcPr>
            <w:tcW w:w="310" w:type="pct"/>
            <w:vAlign w:val="center"/>
          </w:tcPr>
          <w:p w14:paraId="71EE6D1B">
            <w:pPr>
              <w:spacing w:line="560" w:lineRule="exact"/>
              <w:jc w:val="center"/>
              <w:rPr>
                <w:rFonts w:ascii="宋体" w:hAnsi="宋体" w:eastAsia="宋体" w:cs="Times New Roman"/>
              </w:rPr>
            </w:pPr>
            <w:r>
              <w:rPr>
                <w:rFonts w:hint="eastAsia" w:ascii="宋体" w:hAnsi="宋体" w:eastAsia="宋体" w:cs="Times New Roman"/>
              </w:rPr>
              <w:t>1.2</w:t>
            </w:r>
          </w:p>
        </w:tc>
        <w:tc>
          <w:tcPr>
            <w:tcW w:w="310" w:type="pct"/>
            <w:vAlign w:val="center"/>
          </w:tcPr>
          <w:p w14:paraId="33F3D84F">
            <w:pPr>
              <w:spacing w:line="560" w:lineRule="exact"/>
              <w:jc w:val="center"/>
              <w:rPr>
                <w:rFonts w:ascii="宋体" w:hAnsi="宋体" w:eastAsia="宋体" w:cs="Times New Roman"/>
              </w:rPr>
            </w:pPr>
            <w:r>
              <w:rPr>
                <w:rFonts w:hint="eastAsia" w:ascii="宋体" w:hAnsi="宋体" w:eastAsia="宋体" w:cs="Times New Roman"/>
              </w:rPr>
              <w:t>1.2</w:t>
            </w:r>
          </w:p>
        </w:tc>
        <w:tc>
          <w:tcPr>
            <w:tcW w:w="282" w:type="pct"/>
            <w:vAlign w:val="center"/>
          </w:tcPr>
          <w:p w14:paraId="6BB3E842">
            <w:pPr>
              <w:spacing w:line="560" w:lineRule="exact"/>
              <w:jc w:val="center"/>
              <w:rPr>
                <w:rFonts w:ascii="宋体" w:hAnsi="宋体" w:eastAsia="宋体" w:cs="Times New Roman"/>
              </w:rPr>
            </w:pPr>
          </w:p>
        </w:tc>
        <w:tc>
          <w:tcPr>
            <w:tcW w:w="304" w:type="pct"/>
            <w:vAlign w:val="center"/>
          </w:tcPr>
          <w:p w14:paraId="504978A3">
            <w:pPr>
              <w:spacing w:line="560" w:lineRule="exact"/>
              <w:jc w:val="center"/>
              <w:rPr>
                <w:rFonts w:ascii="宋体" w:hAnsi="宋体" w:eastAsia="宋体" w:cs="Times New Roman"/>
              </w:rPr>
            </w:pPr>
          </w:p>
        </w:tc>
        <w:tc>
          <w:tcPr>
            <w:tcW w:w="304" w:type="pct"/>
            <w:vAlign w:val="center"/>
          </w:tcPr>
          <w:p w14:paraId="3C7919E1">
            <w:pPr>
              <w:spacing w:line="560" w:lineRule="exact"/>
              <w:jc w:val="center"/>
              <w:rPr>
                <w:rFonts w:ascii="宋体" w:hAnsi="宋体" w:eastAsia="宋体" w:cs="Times New Roman"/>
              </w:rPr>
            </w:pPr>
          </w:p>
        </w:tc>
        <w:tc>
          <w:tcPr>
            <w:tcW w:w="285" w:type="pct"/>
            <w:vAlign w:val="center"/>
          </w:tcPr>
          <w:p w14:paraId="61F0C608">
            <w:pPr>
              <w:spacing w:line="560" w:lineRule="exact"/>
              <w:jc w:val="center"/>
              <w:rPr>
                <w:rFonts w:ascii="宋体" w:hAnsi="宋体" w:eastAsia="宋体" w:cs="Times New Roman"/>
              </w:rPr>
            </w:pPr>
          </w:p>
        </w:tc>
      </w:tr>
    </w:tbl>
    <w:p w14:paraId="19BAAD3D">
      <w:pPr>
        <w:widowControl/>
        <w:spacing w:line="360" w:lineRule="auto"/>
        <w:ind w:firstLine="640" w:firstLineChars="200"/>
        <w:jc w:val="left"/>
        <w:rPr>
          <w:rFonts w:ascii="Calibri" w:hAnsi="Calibri" w:eastAsia="仿宋_GB2312" w:cs="Calibri"/>
          <w:b/>
          <w:kern w:val="0"/>
          <w:sz w:val="32"/>
          <w:szCs w:val="32"/>
        </w:rPr>
      </w:pPr>
    </w:p>
    <w:p w14:paraId="31E167EA">
      <w:pPr>
        <w:autoSpaceDE w:val="0"/>
        <w:autoSpaceDN w:val="0"/>
        <w:adjustRightInd w:val="0"/>
        <w:spacing w:line="560" w:lineRule="exact"/>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七、国有资产信息</w:t>
      </w:r>
    </w:p>
    <w:p w14:paraId="43ECD500">
      <w:pPr>
        <w:spacing w:line="560" w:lineRule="exact"/>
        <w:ind w:firstLine="640"/>
        <w:rPr>
          <w:rFonts w:ascii="仿宋_GB2312" w:hAnsi="黑体" w:eastAsia="仿宋_GB2312" w:cs="仿宋_GB2312"/>
          <w:sz w:val="32"/>
          <w:szCs w:val="32"/>
        </w:rPr>
      </w:pPr>
    </w:p>
    <w:p w14:paraId="75D89ACB">
      <w:pPr>
        <w:spacing w:line="560" w:lineRule="exact"/>
        <w:ind w:firstLine="640"/>
        <w:rPr>
          <w:rFonts w:ascii="仿宋_GB2312" w:hAnsi="黑体" w:eastAsia="仿宋_GB2312" w:cs="Times New Roman"/>
          <w:sz w:val="32"/>
          <w:szCs w:val="32"/>
        </w:rPr>
      </w:pPr>
    </w:p>
    <w:tbl>
      <w:tblPr>
        <w:tblStyle w:val="6"/>
        <w:tblW w:w="3956" w:type="pct"/>
        <w:tblInd w:w="1526" w:type="dxa"/>
        <w:tblLayout w:type="autofit"/>
        <w:tblCellMar>
          <w:top w:w="0" w:type="dxa"/>
          <w:left w:w="108" w:type="dxa"/>
          <w:bottom w:w="0" w:type="dxa"/>
          <w:right w:w="108" w:type="dxa"/>
        </w:tblCellMar>
      </w:tblPr>
      <w:tblGrid>
        <w:gridCol w:w="4917"/>
        <w:gridCol w:w="1354"/>
        <w:gridCol w:w="5069"/>
      </w:tblGrid>
      <w:tr w14:paraId="7ACEEAFF">
        <w:tblPrEx>
          <w:tblCellMar>
            <w:top w:w="0" w:type="dxa"/>
            <w:left w:w="108" w:type="dxa"/>
            <w:bottom w:w="0" w:type="dxa"/>
            <w:right w:w="108" w:type="dxa"/>
          </w:tblCellMar>
        </w:tblPrEx>
        <w:trPr>
          <w:trHeight w:val="705" w:hRule="atLeast"/>
        </w:trPr>
        <w:tc>
          <w:tcPr>
            <w:tcW w:w="5000" w:type="pct"/>
            <w:gridSpan w:val="3"/>
            <w:tcBorders>
              <w:top w:val="nil"/>
              <w:left w:val="nil"/>
              <w:bottom w:val="nil"/>
              <w:right w:val="nil"/>
            </w:tcBorders>
            <w:noWrap/>
            <w:vAlign w:val="center"/>
          </w:tcPr>
          <w:p w14:paraId="75F7E1BD">
            <w:pPr>
              <w:widowControl/>
              <w:rPr>
                <w:rFonts w:ascii="宋体" w:hAnsi="宋体" w:eastAsia="宋体" w:cs="Times New Roman"/>
                <w:b/>
                <w:bCs/>
                <w:kern w:val="0"/>
                <w:sz w:val="32"/>
                <w:szCs w:val="32"/>
              </w:rPr>
            </w:pPr>
          </w:p>
          <w:p w14:paraId="52449357">
            <w:pPr>
              <w:widowControl/>
              <w:jc w:val="center"/>
              <w:rPr>
                <w:rFonts w:ascii="宋体" w:hAnsi="宋体" w:eastAsia="宋体" w:cs="Times New Roman"/>
                <w:b/>
                <w:bCs/>
                <w:kern w:val="0"/>
                <w:sz w:val="32"/>
                <w:szCs w:val="32"/>
              </w:rPr>
            </w:pPr>
            <w:r>
              <w:rPr>
                <w:rFonts w:hint="eastAsia" w:ascii="宋体" w:hAnsi="宋体" w:eastAsia="宋体" w:cs="宋体"/>
                <w:b/>
                <w:bCs/>
                <w:kern w:val="0"/>
                <w:sz w:val="32"/>
                <w:szCs w:val="32"/>
              </w:rPr>
              <w:t>部门固定资产占用情况表</w:t>
            </w:r>
          </w:p>
        </w:tc>
      </w:tr>
      <w:tr w14:paraId="7E5559E3">
        <w:tblPrEx>
          <w:tblCellMar>
            <w:top w:w="0" w:type="dxa"/>
            <w:left w:w="108" w:type="dxa"/>
            <w:bottom w:w="0" w:type="dxa"/>
            <w:right w:w="108" w:type="dxa"/>
          </w:tblCellMar>
        </w:tblPrEx>
        <w:trPr>
          <w:trHeight w:val="510" w:hRule="atLeast"/>
        </w:trPr>
        <w:tc>
          <w:tcPr>
            <w:tcW w:w="2765" w:type="pct"/>
            <w:gridSpan w:val="2"/>
            <w:tcBorders>
              <w:top w:val="nil"/>
              <w:left w:val="nil"/>
              <w:bottom w:val="nil"/>
              <w:right w:val="nil"/>
            </w:tcBorders>
            <w:noWrap/>
            <w:vAlign w:val="center"/>
          </w:tcPr>
          <w:p w14:paraId="4AC2B8B8">
            <w:pPr>
              <w:widowControl/>
              <w:jc w:val="left"/>
              <w:rPr>
                <w:rFonts w:ascii="宋体" w:hAnsi="宋体" w:eastAsia="宋体" w:cs="Times New Roman"/>
                <w:kern w:val="0"/>
                <w:sz w:val="22"/>
              </w:rPr>
            </w:pPr>
            <w:r>
              <w:rPr>
                <w:rFonts w:hint="eastAsia" w:ascii="宋体" w:hAnsi="宋体" w:eastAsia="宋体" w:cs="宋体"/>
                <w:kern w:val="0"/>
                <w:sz w:val="22"/>
              </w:rPr>
              <w:t>编制部门：成安县发展和改革局</w:t>
            </w:r>
          </w:p>
        </w:tc>
        <w:tc>
          <w:tcPr>
            <w:tcW w:w="2235" w:type="pct"/>
            <w:tcBorders>
              <w:top w:val="nil"/>
              <w:left w:val="nil"/>
              <w:bottom w:val="nil"/>
              <w:right w:val="nil"/>
            </w:tcBorders>
            <w:noWrap/>
            <w:vAlign w:val="center"/>
          </w:tcPr>
          <w:p w14:paraId="2EB98341">
            <w:pPr>
              <w:widowControl/>
              <w:ind w:firstLine="550" w:firstLineChars="250"/>
              <w:jc w:val="left"/>
              <w:rPr>
                <w:rFonts w:ascii="宋体" w:hAnsi="宋体" w:eastAsia="宋体" w:cs="宋体"/>
                <w:kern w:val="0"/>
                <w:sz w:val="22"/>
              </w:rPr>
            </w:pPr>
            <w:r>
              <w:rPr>
                <w:rFonts w:hint="eastAsia" w:ascii="宋体" w:hAnsi="宋体" w:eastAsia="宋体" w:cs="宋体"/>
                <w:kern w:val="0"/>
                <w:sz w:val="22"/>
              </w:rPr>
              <w:t>截止时间：</w:t>
            </w:r>
            <w:r>
              <w:rPr>
                <w:rFonts w:ascii="宋体" w:hAnsi="宋体" w:eastAsia="宋体" w:cs="宋体"/>
                <w:kern w:val="0"/>
                <w:sz w:val="22"/>
              </w:rPr>
              <w:t>20</w:t>
            </w:r>
            <w:r>
              <w:rPr>
                <w:rFonts w:hint="eastAsia" w:ascii="宋体" w:hAnsi="宋体" w:eastAsia="宋体" w:cs="宋体"/>
                <w:kern w:val="0"/>
                <w:sz w:val="22"/>
              </w:rPr>
              <w:t>20年</w:t>
            </w:r>
            <w:r>
              <w:rPr>
                <w:rFonts w:ascii="宋体" w:hAnsi="宋体" w:eastAsia="宋体" w:cs="宋体"/>
                <w:kern w:val="0"/>
                <w:sz w:val="22"/>
              </w:rPr>
              <w:t>12</w:t>
            </w:r>
            <w:r>
              <w:rPr>
                <w:rFonts w:hint="eastAsia" w:ascii="宋体" w:hAnsi="宋体" w:eastAsia="宋体" w:cs="宋体"/>
                <w:kern w:val="0"/>
                <w:sz w:val="22"/>
              </w:rPr>
              <w:t>月</w:t>
            </w:r>
            <w:r>
              <w:rPr>
                <w:rFonts w:ascii="宋体" w:hAnsi="宋体" w:eastAsia="宋体" w:cs="宋体"/>
                <w:kern w:val="0"/>
                <w:sz w:val="22"/>
              </w:rPr>
              <w:t>3</w:t>
            </w:r>
            <w:r>
              <w:rPr>
                <w:rFonts w:hint="eastAsia" w:ascii="宋体" w:hAnsi="宋体" w:eastAsia="宋体" w:cs="宋体"/>
                <w:kern w:val="0"/>
                <w:sz w:val="22"/>
              </w:rPr>
              <w:t>0日</w:t>
            </w:r>
          </w:p>
        </w:tc>
      </w:tr>
      <w:tr w14:paraId="030E0A96">
        <w:tblPrEx>
          <w:tblCellMar>
            <w:top w:w="0" w:type="dxa"/>
            <w:left w:w="108" w:type="dxa"/>
            <w:bottom w:w="0" w:type="dxa"/>
            <w:right w:w="108" w:type="dxa"/>
          </w:tblCellMar>
        </w:tblPrEx>
        <w:trPr>
          <w:trHeight w:val="645" w:hRule="atLeast"/>
        </w:trPr>
        <w:tc>
          <w:tcPr>
            <w:tcW w:w="2168" w:type="pct"/>
            <w:tcBorders>
              <w:top w:val="single" w:color="auto" w:sz="4" w:space="0"/>
              <w:left w:val="single" w:color="auto" w:sz="4" w:space="0"/>
              <w:bottom w:val="single" w:color="auto" w:sz="4" w:space="0"/>
              <w:right w:val="single" w:color="auto" w:sz="4" w:space="0"/>
            </w:tcBorders>
            <w:noWrap/>
            <w:vAlign w:val="center"/>
          </w:tcPr>
          <w:p w14:paraId="6C5B3FDA">
            <w:pPr>
              <w:widowControl/>
              <w:jc w:val="center"/>
              <w:rPr>
                <w:rFonts w:ascii="宋体" w:hAnsi="宋体" w:eastAsia="宋体" w:cs="Times New Roman"/>
                <w:b/>
                <w:bCs/>
                <w:kern w:val="0"/>
                <w:sz w:val="22"/>
              </w:rPr>
            </w:pPr>
            <w:r>
              <w:rPr>
                <w:rFonts w:hint="eastAsia" w:ascii="宋体" w:hAnsi="宋体" w:eastAsia="宋体" w:cs="宋体"/>
                <w:b/>
                <w:bCs/>
                <w:kern w:val="0"/>
                <w:sz w:val="22"/>
              </w:rPr>
              <w:t>项目</w:t>
            </w:r>
          </w:p>
        </w:tc>
        <w:tc>
          <w:tcPr>
            <w:tcW w:w="597" w:type="pct"/>
            <w:tcBorders>
              <w:top w:val="single" w:color="auto" w:sz="4" w:space="0"/>
              <w:left w:val="nil"/>
              <w:bottom w:val="single" w:color="auto" w:sz="4" w:space="0"/>
              <w:right w:val="single" w:color="auto" w:sz="4" w:space="0"/>
            </w:tcBorders>
            <w:noWrap/>
            <w:vAlign w:val="center"/>
          </w:tcPr>
          <w:p w14:paraId="55A0EEE3">
            <w:pPr>
              <w:widowControl/>
              <w:jc w:val="center"/>
              <w:rPr>
                <w:rFonts w:ascii="宋体" w:hAnsi="宋体" w:eastAsia="宋体" w:cs="Times New Roman"/>
                <w:b/>
                <w:bCs/>
                <w:kern w:val="0"/>
                <w:sz w:val="22"/>
              </w:rPr>
            </w:pPr>
            <w:r>
              <w:rPr>
                <w:rFonts w:hint="eastAsia" w:ascii="宋体" w:hAnsi="宋体" w:eastAsia="宋体" w:cs="宋体"/>
                <w:b/>
                <w:bCs/>
                <w:kern w:val="0"/>
                <w:sz w:val="22"/>
              </w:rPr>
              <w:t>数量</w:t>
            </w:r>
          </w:p>
        </w:tc>
        <w:tc>
          <w:tcPr>
            <w:tcW w:w="2235" w:type="pct"/>
            <w:tcBorders>
              <w:top w:val="single" w:color="auto" w:sz="4" w:space="0"/>
              <w:left w:val="nil"/>
              <w:bottom w:val="single" w:color="auto" w:sz="4" w:space="0"/>
              <w:right w:val="single" w:color="auto" w:sz="4" w:space="0"/>
            </w:tcBorders>
            <w:noWrap/>
            <w:vAlign w:val="center"/>
          </w:tcPr>
          <w:p w14:paraId="224CF94C">
            <w:pPr>
              <w:widowControl/>
              <w:jc w:val="center"/>
              <w:rPr>
                <w:rFonts w:ascii="宋体" w:hAnsi="宋体" w:eastAsia="宋体" w:cs="Times New Roman"/>
                <w:b/>
                <w:bCs/>
                <w:kern w:val="0"/>
                <w:sz w:val="22"/>
              </w:rPr>
            </w:pPr>
            <w:r>
              <w:rPr>
                <w:rFonts w:hint="eastAsia" w:ascii="宋体" w:hAnsi="宋体" w:eastAsia="宋体" w:cs="宋体"/>
                <w:b/>
                <w:bCs/>
                <w:kern w:val="0"/>
                <w:sz w:val="22"/>
              </w:rPr>
              <w:t>价值（金额单位：万元）</w:t>
            </w:r>
          </w:p>
        </w:tc>
      </w:tr>
      <w:tr w14:paraId="58E86A47">
        <w:tblPrEx>
          <w:tblCellMar>
            <w:top w:w="0" w:type="dxa"/>
            <w:left w:w="108" w:type="dxa"/>
            <w:bottom w:w="0" w:type="dxa"/>
            <w:right w:w="108" w:type="dxa"/>
          </w:tblCellMar>
        </w:tblPrEx>
        <w:trPr>
          <w:trHeight w:val="645" w:hRule="atLeast"/>
        </w:trPr>
        <w:tc>
          <w:tcPr>
            <w:tcW w:w="2168" w:type="pct"/>
            <w:tcBorders>
              <w:top w:val="nil"/>
              <w:left w:val="single" w:color="auto" w:sz="4" w:space="0"/>
              <w:bottom w:val="single" w:color="auto" w:sz="4" w:space="0"/>
              <w:right w:val="single" w:color="auto" w:sz="4" w:space="0"/>
            </w:tcBorders>
            <w:noWrap/>
            <w:vAlign w:val="center"/>
          </w:tcPr>
          <w:p w14:paraId="0114E0E4">
            <w:pPr>
              <w:widowControl/>
              <w:jc w:val="center"/>
              <w:rPr>
                <w:rFonts w:ascii="宋体" w:hAnsi="宋体" w:eastAsia="宋体" w:cs="Times New Roman"/>
                <w:kern w:val="0"/>
                <w:sz w:val="22"/>
              </w:rPr>
            </w:pPr>
            <w:r>
              <w:rPr>
                <w:rFonts w:hint="eastAsia" w:ascii="宋体" w:hAnsi="宋体" w:eastAsia="宋体" w:cs="宋体"/>
                <w:kern w:val="0"/>
                <w:sz w:val="22"/>
              </w:rPr>
              <w:t>资产总额</w:t>
            </w:r>
          </w:p>
        </w:tc>
        <w:tc>
          <w:tcPr>
            <w:tcW w:w="597" w:type="pct"/>
            <w:tcBorders>
              <w:top w:val="nil"/>
              <w:left w:val="nil"/>
              <w:bottom w:val="single" w:color="auto" w:sz="4" w:space="0"/>
              <w:right w:val="single" w:color="auto" w:sz="4" w:space="0"/>
            </w:tcBorders>
            <w:noWrap/>
            <w:vAlign w:val="center"/>
          </w:tcPr>
          <w:p w14:paraId="4FF36902">
            <w:pPr>
              <w:widowControl/>
              <w:jc w:val="center"/>
              <w:rPr>
                <w:rFonts w:ascii="宋体" w:hAnsi="宋体" w:eastAsia="宋体" w:cs="宋体"/>
                <w:kern w:val="0"/>
                <w:sz w:val="22"/>
              </w:rPr>
            </w:pPr>
            <w:r>
              <w:rPr>
                <w:rFonts w:ascii="宋体" w:hAnsi="宋体" w:eastAsia="宋体" w:cs="宋体"/>
                <w:kern w:val="0"/>
                <w:sz w:val="22"/>
              </w:rPr>
              <w:t>——</w:t>
            </w:r>
          </w:p>
        </w:tc>
        <w:tc>
          <w:tcPr>
            <w:tcW w:w="2235" w:type="pct"/>
            <w:tcBorders>
              <w:top w:val="nil"/>
              <w:left w:val="nil"/>
              <w:bottom w:val="single" w:color="auto" w:sz="4" w:space="0"/>
              <w:right w:val="single" w:color="auto" w:sz="4" w:space="0"/>
            </w:tcBorders>
            <w:noWrap/>
            <w:vAlign w:val="center"/>
          </w:tcPr>
          <w:p w14:paraId="2A6F4149">
            <w:pPr>
              <w:widowControl/>
              <w:jc w:val="center"/>
              <w:rPr>
                <w:rFonts w:ascii="宋体" w:hAnsi="宋体" w:eastAsia="宋体" w:cs="宋体"/>
                <w:kern w:val="0"/>
                <w:sz w:val="22"/>
              </w:rPr>
            </w:pPr>
            <w:r>
              <w:rPr>
                <w:rFonts w:hint="eastAsia" w:ascii="宋体" w:hAnsi="宋体" w:eastAsia="宋体" w:cs="宋体"/>
                <w:kern w:val="0"/>
                <w:sz w:val="22"/>
              </w:rPr>
              <w:t>144</w:t>
            </w:r>
          </w:p>
        </w:tc>
      </w:tr>
      <w:tr w14:paraId="4D066B75">
        <w:tblPrEx>
          <w:tblCellMar>
            <w:top w:w="0" w:type="dxa"/>
            <w:left w:w="108" w:type="dxa"/>
            <w:bottom w:w="0" w:type="dxa"/>
            <w:right w:w="108" w:type="dxa"/>
          </w:tblCellMar>
        </w:tblPrEx>
        <w:trPr>
          <w:trHeight w:val="645" w:hRule="atLeast"/>
        </w:trPr>
        <w:tc>
          <w:tcPr>
            <w:tcW w:w="2168" w:type="pct"/>
            <w:tcBorders>
              <w:top w:val="nil"/>
              <w:left w:val="single" w:color="auto" w:sz="4" w:space="0"/>
              <w:bottom w:val="single" w:color="auto" w:sz="4" w:space="0"/>
              <w:right w:val="single" w:color="auto" w:sz="4" w:space="0"/>
            </w:tcBorders>
            <w:noWrap/>
            <w:vAlign w:val="center"/>
          </w:tcPr>
          <w:p w14:paraId="4C55C626">
            <w:pPr>
              <w:widowControl/>
              <w:jc w:val="left"/>
              <w:rPr>
                <w:rFonts w:ascii="宋体" w:hAnsi="宋体" w:eastAsia="宋体" w:cs="Times New Roman"/>
                <w:kern w:val="0"/>
                <w:sz w:val="22"/>
              </w:rPr>
            </w:pPr>
            <w:r>
              <w:rPr>
                <w:rFonts w:ascii="宋体" w:hAnsi="宋体" w:eastAsia="宋体" w:cs="宋体"/>
                <w:kern w:val="0"/>
                <w:sz w:val="22"/>
              </w:rPr>
              <w:t>1</w:t>
            </w:r>
            <w:r>
              <w:rPr>
                <w:rFonts w:hint="eastAsia" w:ascii="宋体" w:hAnsi="宋体" w:eastAsia="宋体" w:cs="宋体"/>
                <w:kern w:val="0"/>
                <w:sz w:val="22"/>
              </w:rPr>
              <w:t>、房屋（平方米）</w:t>
            </w:r>
          </w:p>
        </w:tc>
        <w:tc>
          <w:tcPr>
            <w:tcW w:w="597" w:type="pct"/>
            <w:tcBorders>
              <w:top w:val="nil"/>
              <w:left w:val="nil"/>
              <w:bottom w:val="single" w:color="auto" w:sz="4" w:space="0"/>
              <w:right w:val="single" w:color="auto" w:sz="4" w:space="0"/>
            </w:tcBorders>
            <w:noWrap/>
            <w:vAlign w:val="center"/>
          </w:tcPr>
          <w:p w14:paraId="26166FE4">
            <w:pPr>
              <w:widowControl/>
              <w:jc w:val="center"/>
              <w:rPr>
                <w:rFonts w:ascii="宋体" w:hAnsi="宋体" w:eastAsia="宋体" w:cs="Times New Roman"/>
                <w:kern w:val="0"/>
                <w:sz w:val="22"/>
              </w:rPr>
            </w:pPr>
            <w:r>
              <w:rPr>
                <w:rFonts w:hint="eastAsia" w:ascii="宋体" w:hAnsi="宋体" w:eastAsia="宋体" w:cs="Times New Roman"/>
                <w:kern w:val="0"/>
                <w:sz w:val="22"/>
              </w:rPr>
              <w:t>260平方米</w:t>
            </w:r>
          </w:p>
        </w:tc>
        <w:tc>
          <w:tcPr>
            <w:tcW w:w="2235" w:type="pct"/>
            <w:tcBorders>
              <w:top w:val="nil"/>
              <w:left w:val="nil"/>
              <w:bottom w:val="single" w:color="auto" w:sz="4" w:space="0"/>
              <w:right w:val="single" w:color="auto" w:sz="4" w:space="0"/>
            </w:tcBorders>
            <w:noWrap/>
            <w:vAlign w:val="center"/>
          </w:tcPr>
          <w:p w14:paraId="337F67BC">
            <w:pPr>
              <w:widowControl/>
              <w:jc w:val="center"/>
              <w:rPr>
                <w:rFonts w:ascii="宋体" w:hAnsi="宋体" w:eastAsia="宋体" w:cs="Times New Roman"/>
                <w:kern w:val="0"/>
                <w:sz w:val="22"/>
              </w:rPr>
            </w:pPr>
            <w:r>
              <w:rPr>
                <w:rFonts w:hint="eastAsia" w:ascii="宋体" w:hAnsi="宋体" w:eastAsia="宋体" w:cs="Times New Roman"/>
                <w:kern w:val="0"/>
                <w:sz w:val="22"/>
              </w:rPr>
              <w:t>在政府办公</w:t>
            </w:r>
          </w:p>
        </w:tc>
      </w:tr>
      <w:tr w14:paraId="2D232076">
        <w:tblPrEx>
          <w:tblCellMar>
            <w:top w:w="0" w:type="dxa"/>
            <w:left w:w="108" w:type="dxa"/>
            <w:bottom w:w="0" w:type="dxa"/>
            <w:right w:w="108" w:type="dxa"/>
          </w:tblCellMar>
        </w:tblPrEx>
        <w:trPr>
          <w:trHeight w:val="645" w:hRule="atLeast"/>
        </w:trPr>
        <w:tc>
          <w:tcPr>
            <w:tcW w:w="2168" w:type="pct"/>
            <w:tcBorders>
              <w:top w:val="nil"/>
              <w:left w:val="single" w:color="auto" w:sz="4" w:space="0"/>
              <w:bottom w:val="single" w:color="auto" w:sz="4" w:space="0"/>
              <w:right w:val="single" w:color="auto" w:sz="4" w:space="0"/>
            </w:tcBorders>
            <w:noWrap/>
            <w:vAlign w:val="center"/>
          </w:tcPr>
          <w:p w14:paraId="6DC6245E">
            <w:pPr>
              <w:widowControl/>
              <w:jc w:val="left"/>
              <w:rPr>
                <w:rFonts w:ascii="宋体" w:hAnsi="宋体" w:eastAsia="宋体" w:cs="Times New Roman"/>
                <w:kern w:val="0"/>
                <w:sz w:val="22"/>
              </w:rPr>
            </w:pPr>
            <w:r>
              <w:rPr>
                <w:rFonts w:hint="eastAsia" w:ascii="宋体" w:hAnsi="宋体" w:eastAsia="宋体" w:cs="宋体"/>
                <w:kern w:val="0"/>
                <w:sz w:val="22"/>
              </w:rPr>
              <w:t>其中：办公用房（平方米）</w:t>
            </w:r>
          </w:p>
        </w:tc>
        <w:tc>
          <w:tcPr>
            <w:tcW w:w="597" w:type="pct"/>
            <w:tcBorders>
              <w:top w:val="nil"/>
              <w:left w:val="nil"/>
              <w:bottom w:val="single" w:color="auto" w:sz="4" w:space="0"/>
              <w:right w:val="single" w:color="auto" w:sz="4" w:space="0"/>
            </w:tcBorders>
            <w:noWrap/>
            <w:vAlign w:val="center"/>
          </w:tcPr>
          <w:p w14:paraId="3029A813">
            <w:pPr>
              <w:widowControl/>
              <w:jc w:val="center"/>
              <w:rPr>
                <w:rFonts w:ascii="宋体" w:hAnsi="宋体" w:eastAsia="宋体" w:cs="Times New Roman"/>
                <w:kern w:val="0"/>
                <w:sz w:val="22"/>
              </w:rPr>
            </w:pPr>
            <w:r>
              <w:rPr>
                <w:rFonts w:hint="eastAsia" w:ascii="宋体" w:hAnsi="宋体" w:eastAsia="宋体" w:cs="Times New Roman"/>
                <w:kern w:val="0"/>
                <w:sz w:val="22"/>
              </w:rPr>
              <w:t>260平方米</w:t>
            </w:r>
          </w:p>
        </w:tc>
        <w:tc>
          <w:tcPr>
            <w:tcW w:w="2235" w:type="pct"/>
            <w:tcBorders>
              <w:top w:val="nil"/>
              <w:left w:val="nil"/>
              <w:bottom w:val="single" w:color="auto" w:sz="4" w:space="0"/>
              <w:right w:val="single" w:color="auto" w:sz="4" w:space="0"/>
            </w:tcBorders>
            <w:noWrap/>
            <w:vAlign w:val="center"/>
          </w:tcPr>
          <w:p w14:paraId="490AEE7B">
            <w:pPr>
              <w:widowControl/>
              <w:jc w:val="center"/>
              <w:rPr>
                <w:rFonts w:ascii="宋体" w:hAnsi="宋体" w:eastAsia="宋体" w:cs="Times New Roman"/>
                <w:kern w:val="0"/>
                <w:sz w:val="22"/>
              </w:rPr>
            </w:pPr>
            <w:r>
              <w:rPr>
                <w:rFonts w:hint="eastAsia" w:ascii="宋体" w:hAnsi="宋体" w:eastAsia="宋体" w:cs="Times New Roman"/>
                <w:kern w:val="0"/>
                <w:sz w:val="22"/>
              </w:rPr>
              <w:t>260平方米</w:t>
            </w:r>
          </w:p>
        </w:tc>
      </w:tr>
      <w:tr w14:paraId="7F8F1681">
        <w:tblPrEx>
          <w:tblCellMar>
            <w:top w:w="0" w:type="dxa"/>
            <w:left w:w="108" w:type="dxa"/>
            <w:bottom w:w="0" w:type="dxa"/>
            <w:right w:w="108" w:type="dxa"/>
          </w:tblCellMar>
        </w:tblPrEx>
        <w:trPr>
          <w:trHeight w:val="645" w:hRule="atLeast"/>
        </w:trPr>
        <w:tc>
          <w:tcPr>
            <w:tcW w:w="2168" w:type="pct"/>
            <w:tcBorders>
              <w:top w:val="nil"/>
              <w:left w:val="single" w:color="auto" w:sz="4" w:space="0"/>
              <w:bottom w:val="single" w:color="auto" w:sz="4" w:space="0"/>
              <w:right w:val="single" w:color="auto" w:sz="4" w:space="0"/>
            </w:tcBorders>
            <w:noWrap/>
            <w:vAlign w:val="center"/>
          </w:tcPr>
          <w:p w14:paraId="4CB1F298">
            <w:pPr>
              <w:widowControl/>
              <w:jc w:val="left"/>
              <w:rPr>
                <w:rFonts w:ascii="宋体" w:hAnsi="宋体" w:eastAsia="宋体" w:cs="Times New Roman"/>
                <w:kern w:val="0"/>
                <w:sz w:val="22"/>
              </w:rPr>
            </w:pPr>
            <w:r>
              <w:rPr>
                <w:rFonts w:ascii="宋体" w:hAnsi="宋体" w:eastAsia="宋体" w:cs="宋体"/>
                <w:kern w:val="0"/>
                <w:sz w:val="22"/>
              </w:rPr>
              <w:t>2</w:t>
            </w:r>
            <w:r>
              <w:rPr>
                <w:rFonts w:hint="eastAsia" w:ascii="宋体" w:hAnsi="宋体" w:eastAsia="宋体" w:cs="宋体"/>
                <w:kern w:val="0"/>
                <w:sz w:val="22"/>
              </w:rPr>
              <w:t>、车辆（台、辆）</w:t>
            </w:r>
          </w:p>
        </w:tc>
        <w:tc>
          <w:tcPr>
            <w:tcW w:w="597" w:type="pct"/>
            <w:tcBorders>
              <w:top w:val="nil"/>
              <w:left w:val="nil"/>
              <w:bottom w:val="single" w:color="auto" w:sz="4" w:space="0"/>
              <w:right w:val="single" w:color="auto" w:sz="4" w:space="0"/>
            </w:tcBorders>
            <w:noWrap/>
            <w:vAlign w:val="center"/>
          </w:tcPr>
          <w:p w14:paraId="2CEA50A9">
            <w:pPr>
              <w:widowControl/>
              <w:jc w:val="center"/>
              <w:rPr>
                <w:rFonts w:ascii="宋体" w:hAnsi="宋体" w:eastAsia="宋体" w:cs="Times New Roman"/>
                <w:kern w:val="0"/>
                <w:sz w:val="22"/>
              </w:rPr>
            </w:pPr>
            <w:r>
              <w:rPr>
                <w:rFonts w:hint="eastAsia" w:ascii="宋体" w:hAnsi="宋体" w:eastAsia="宋体" w:cs="Times New Roman"/>
                <w:kern w:val="0"/>
                <w:sz w:val="22"/>
              </w:rPr>
              <w:t>1</w:t>
            </w:r>
          </w:p>
        </w:tc>
        <w:tc>
          <w:tcPr>
            <w:tcW w:w="2235" w:type="pct"/>
            <w:tcBorders>
              <w:top w:val="nil"/>
              <w:left w:val="nil"/>
              <w:bottom w:val="single" w:color="auto" w:sz="4" w:space="0"/>
              <w:right w:val="single" w:color="auto" w:sz="4" w:space="0"/>
            </w:tcBorders>
            <w:noWrap/>
            <w:vAlign w:val="center"/>
          </w:tcPr>
          <w:p w14:paraId="4C0DE7C5">
            <w:pPr>
              <w:widowControl/>
              <w:jc w:val="center"/>
              <w:rPr>
                <w:rFonts w:ascii="宋体" w:hAnsi="宋体" w:eastAsia="宋体" w:cs="Times New Roman"/>
                <w:kern w:val="0"/>
                <w:sz w:val="22"/>
              </w:rPr>
            </w:pPr>
            <w:r>
              <w:rPr>
                <w:rFonts w:hint="eastAsia" w:ascii="宋体" w:hAnsi="宋体" w:eastAsia="宋体" w:cs="Times New Roman"/>
                <w:kern w:val="0"/>
                <w:sz w:val="22"/>
              </w:rPr>
              <w:t>18</w:t>
            </w:r>
          </w:p>
        </w:tc>
      </w:tr>
      <w:tr w14:paraId="11F7E05C">
        <w:tblPrEx>
          <w:tblCellMar>
            <w:top w:w="0" w:type="dxa"/>
            <w:left w:w="108" w:type="dxa"/>
            <w:bottom w:w="0" w:type="dxa"/>
            <w:right w:w="108" w:type="dxa"/>
          </w:tblCellMar>
        </w:tblPrEx>
        <w:trPr>
          <w:trHeight w:val="645" w:hRule="atLeast"/>
        </w:trPr>
        <w:tc>
          <w:tcPr>
            <w:tcW w:w="2168" w:type="pct"/>
            <w:tcBorders>
              <w:top w:val="nil"/>
              <w:left w:val="single" w:color="auto" w:sz="4" w:space="0"/>
              <w:bottom w:val="single" w:color="auto" w:sz="4" w:space="0"/>
              <w:right w:val="single" w:color="auto" w:sz="4" w:space="0"/>
            </w:tcBorders>
            <w:vAlign w:val="center"/>
          </w:tcPr>
          <w:p w14:paraId="0CD00AE6">
            <w:pPr>
              <w:widowControl/>
              <w:jc w:val="left"/>
              <w:rPr>
                <w:rFonts w:ascii="宋体" w:hAnsi="宋体" w:eastAsia="宋体" w:cs="Times New Roman"/>
                <w:kern w:val="0"/>
                <w:sz w:val="22"/>
              </w:rPr>
            </w:pPr>
            <w:r>
              <w:rPr>
                <w:rFonts w:ascii="宋体" w:hAnsi="宋体" w:eastAsia="宋体" w:cs="宋体"/>
                <w:kern w:val="0"/>
                <w:sz w:val="22"/>
              </w:rPr>
              <w:t>3</w:t>
            </w:r>
            <w:r>
              <w:rPr>
                <w:rFonts w:hint="eastAsia" w:ascii="宋体" w:hAnsi="宋体" w:eastAsia="宋体" w:cs="宋体"/>
                <w:kern w:val="0"/>
                <w:sz w:val="22"/>
              </w:rPr>
              <w:t>、单价在</w:t>
            </w:r>
            <w:r>
              <w:rPr>
                <w:rFonts w:ascii="宋体" w:hAnsi="宋体" w:eastAsia="宋体" w:cs="宋体"/>
                <w:kern w:val="0"/>
                <w:sz w:val="22"/>
              </w:rPr>
              <w:t>50</w:t>
            </w:r>
            <w:r>
              <w:rPr>
                <w:rFonts w:hint="eastAsia" w:ascii="宋体" w:hAnsi="宋体" w:eastAsia="宋体" w:cs="宋体"/>
                <w:kern w:val="0"/>
                <w:sz w:val="22"/>
              </w:rPr>
              <w:t>万元以上的设备</w:t>
            </w:r>
          </w:p>
        </w:tc>
        <w:tc>
          <w:tcPr>
            <w:tcW w:w="597" w:type="pct"/>
            <w:tcBorders>
              <w:top w:val="nil"/>
              <w:left w:val="nil"/>
              <w:bottom w:val="single" w:color="auto" w:sz="4" w:space="0"/>
              <w:right w:val="single" w:color="auto" w:sz="4" w:space="0"/>
            </w:tcBorders>
            <w:noWrap/>
            <w:vAlign w:val="center"/>
          </w:tcPr>
          <w:p w14:paraId="322AE5FB">
            <w:pPr>
              <w:widowControl/>
              <w:jc w:val="center"/>
              <w:rPr>
                <w:rFonts w:ascii="宋体" w:hAnsi="宋体" w:eastAsia="宋体" w:cs="Times New Roman"/>
                <w:kern w:val="0"/>
                <w:sz w:val="22"/>
              </w:rPr>
            </w:pPr>
          </w:p>
        </w:tc>
        <w:tc>
          <w:tcPr>
            <w:tcW w:w="2235" w:type="pct"/>
            <w:tcBorders>
              <w:top w:val="nil"/>
              <w:left w:val="nil"/>
              <w:bottom w:val="single" w:color="auto" w:sz="4" w:space="0"/>
              <w:right w:val="single" w:color="auto" w:sz="4" w:space="0"/>
            </w:tcBorders>
            <w:noWrap/>
            <w:vAlign w:val="center"/>
          </w:tcPr>
          <w:p w14:paraId="43D1960C">
            <w:pPr>
              <w:widowControl/>
              <w:jc w:val="center"/>
              <w:rPr>
                <w:rFonts w:ascii="宋体" w:hAnsi="宋体" w:eastAsia="宋体" w:cs="Times New Roman"/>
                <w:kern w:val="0"/>
                <w:sz w:val="22"/>
              </w:rPr>
            </w:pPr>
          </w:p>
        </w:tc>
      </w:tr>
      <w:tr w14:paraId="211FFD27">
        <w:tblPrEx>
          <w:tblCellMar>
            <w:top w:w="0" w:type="dxa"/>
            <w:left w:w="108" w:type="dxa"/>
            <w:bottom w:w="0" w:type="dxa"/>
            <w:right w:w="108" w:type="dxa"/>
          </w:tblCellMar>
        </w:tblPrEx>
        <w:trPr>
          <w:trHeight w:val="645" w:hRule="atLeast"/>
        </w:trPr>
        <w:tc>
          <w:tcPr>
            <w:tcW w:w="2168" w:type="pct"/>
            <w:tcBorders>
              <w:top w:val="nil"/>
              <w:left w:val="single" w:color="auto" w:sz="4" w:space="0"/>
              <w:bottom w:val="single" w:color="auto" w:sz="4" w:space="0"/>
              <w:right w:val="single" w:color="auto" w:sz="4" w:space="0"/>
            </w:tcBorders>
            <w:noWrap/>
            <w:vAlign w:val="center"/>
          </w:tcPr>
          <w:p w14:paraId="478AF626">
            <w:pPr>
              <w:widowControl/>
              <w:jc w:val="left"/>
              <w:rPr>
                <w:rFonts w:ascii="宋体" w:hAnsi="宋体" w:eastAsia="宋体" w:cs="Times New Roman"/>
                <w:kern w:val="0"/>
                <w:sz w:val="22"/>
              </w:rPr>
            </w:pPr>
            <w:r>
              <w:rPr>
                <w:rFonts w:ascii="宋体" w:hAnsi="宋体" w:eastAsia="宋体" w:cs="宋体"/>
                <w:kern w:val="0"/>
                <w:sz w:val="22"/>
              </w:rPr>
              <w:t>4</w:t>
            </w:r>
            <w:r>
              <w:rPr>
                <w:rFonts w:hint="eastAsia" w:ascii="宋体" w:hAnsi="宋体" w:eastAsia="宋体" w:cs="宋体"/>
                <w:kern w:val="0"/>
                <w:sz w:val="22"/>
              </w:rPr>
              <w:t>、其他固定资产</w:t>
            </w:r>
          </w:p>
        </w:tc>
        <w:tc>
          <w:tcPr>
            <w:tcW w:w="597" w:type="pct"/>
            <w:tcBorders>
              <w:top w:val="nil"/>
              <w:left w:val="nil"/>
              <w:bottom w:val="single" w:color="auto" w:sz="4" w:space="0"/>
              <w:right w:val="single" w:color="auto" w:sz="4" w:space="0"/>
            </w:tcBorders>
            <w:noWrap/>
            <w:vAlign w:val="center"/>
          </w:tcPr>
          <w:p w14:paraId="6DAE7660">
            <w:pPr>
              <w:widowControl/>
              <w:jc w:val="center"/>
              <w:rPr>
                <w:rFonts w:ascii="宋体" w:hAnsi="宋体" w:eastAsia="宋体" w:cs="Times New Roman"/>
                <w:kern w:val="0"/>
                <w:sz w:val="22"/>
              </w:rPr>
            </w:pPr>
            <w:r>
              <w:rPr>
                <w:rFonts w:hint="eastAsia" w:ascii="宋体" w:hAnsi="宋体" w:eastAsia="宋体" w:cs="Times New Roman"/>
                <w:kern w:val="0"/>
                <w:sz w:val="22"/>
              </w:rPr>
              <w:t>52</w:t>
            </w:r>
          </w:p>
        </w:tc>
        <w:tc>
          <w:tcPr>
            <w:tcW w:w="2235" w:type="pct"/>
            <w:tcBorders>
              <w:top w:val="nil"/>
              <w:left w:val="nil"/>
              <w:bottom w:val="single" w:color="auto" w:sz="4" w:space="0"/>
              <w:right w:val="single" w:color="auto" w:sz="4" w:space="0"/>
            </w:tcBorders>
            <w:noWrap/>
            <w:vAlign w:val="center"/>
          </w:tcPr>
          <w:p w14:paraId="6F86C196">
            <w:pPr>
              <w:widowControl/>
              <w:jc w:val="center"/>
              <w:rPr>
                <w:rFonts w:ascii="宋体" w:hAnsi="宋体" w:eastAsia="宋体" w:cs="Times New Roman"/>
                <w:kern w:val="0"/>
                <w:sz w:val="22"/>
              </w:rPr>
            </w:pPr>
            <w:r>
              <w:rPr>
                <w:rFonts w:hint="eastAsia" w:ascii="宋体" w:hAnsi="宋体" w:eastAsia="宋体" w:cs="Times New Roman"/>
                <w:kern w:val="0"/>
                <w:sz w:val="22"/>
              </w:rPr>
              <w:t>126万元</w:t>
            </w:r>
          </w:p>
        </w:tc>
      </w:tr>
    </w:tbl>
    <w:p w14:paraId="0C553A9A">
      <w:pPr>
        <w:widowControl/>
        <w:spacing w:line="360" w:lineRule="auto"/>
        <w:jc w:val="left"/>
        <w:rPr>
          <w:rFonts w:ascii="Calibri" w:hAnsi="Calibri" w:eastAsia="仿宋_GB2312" w:cs="Calibri"/>
          <w:b/>
          <w:kern w:val="0"/>
          <w:sz w:val="32"/>
          <w:szCs w:val="32"/>
        </w:rPr>
      </w:pPr>
    </w:p>
    <w:p w14:paraId="74745A0E">
      <w:pPr>
        <w:widowControl/>
        <w:spacing w:line="360" w:lineRule="auto"/>
        <w:ind w:firstLine="640" w:firstLineChars="200"/>
        <w:jc w:val="left"/>
        <w:rPr>
          <w:rFonts w:ascii="仿宋_GB2312" w:hAnsi="Calibri" w:eastAsia="仿宋_GB2312" w:cs="仿宋_GB2312"/>
          <w:kern w:val="0"/>
          <w:sz w:val="32"/>
          <w:szCs w:val="32"/>
        </w:rPr>
      </w:pPr>
      <w:r>
        <w:rPr>
          <w:rFonts w:ascii="仿宋_GB2312" w:hAnsi="宋体" w:eastAsia="仿宋_GB2312" w:cs="宋体"/>
          <w:color w:val="333333"/>
          <w:kern w:val="0"/>
          <w:sz w:val="32"/>
          <w:szCs w:val="32"/>
        </w:rPr>
        <w:t>截止上年</w:t>
      </w:r>
      <w:r>
        <w:rPr>
          <w:rFonts w:ascii="仿宋_GB2312" w:hAnsi="Calibri" w:eastAsia="仿宋_GB2312" w:cs="仿宋_GB2312"/>
          <w:kern w:val="0"/>
          <w:sz w:val="32"/>
          <w:szCs w:val="32"/>
        </w:rPr>
        <w:t>末固定资产</w:t>
      </w:r>
      <w:r>
        <w:rPr>
          <w:rFonts w:hint="eastAsia" w:ascii="仿宋_GB2312" w:hAnsi="Calibri" w:eastAsia="仿宋_GB2312" w:cs="仿宋_GB2312"/>
          <w:kern w:val="0"/>
          <w:sz w:val="32"/>
          <w:szCs w:val="32"/>
          <w:lang w:eastAsia="zh-CN"/>
        </w:rPr>
        <w:t>账</w:t>
      </w:r>
      <w:r>
        <w:rPr>
          <w:rFonts w:ascii="仿宋_GB2312" w:hAnsi="Calibri" w:eastAsia="仿宋_GB2312" w:cs="仿宋_GB2312"/>
          <w:kern w:val="0"/>
          <w:sz w:val="32"/>
          <w:szCs w:val="32"/>
        </w:rPr>
        <w:t>面结余</w:t>
      </w:r>
      <w:r>
        <w:rPr>
          <w:rFonts w:hint="eastAsia" w:ascii="仿宋_GB2312" w:hAnsi="Calibri" w:eastAsia="仿宋_GB2312" w:cs="仿宋_GB2312"/>
          <w:kern w:val="0"/>
          <w:sz w:val="32"/>
          <w:szCs w:val="32"/>
        </w:rPr>
        <w:t>144</w:t>
      </w:r>
      <w:r>
        <w:rPr>
          <w:rFonts w:ascii="仿宋_GB2312" w:hAnsi="Calibri" w:eastAsia="仿宋_GB2312" w:cs="仿宋_GB2312"/>
          <w:kern w:val="0"/>
          <w:sz w:val="32"/>
          <w:szCs w:val="32"/>
        </w:rPr>
        <w:t>万元。</w:t>
      </w:r>
      <w:r>
        <w:rPr>
          <w:rFonts w:hint="eastAsia" w:ascii="仿宋_GB2312" w:hAnsi="Calibri" w:eastAsia="仿宋_GB2312" w:cs="仿宋_GB2312"/>
          <w:kern w:val="0"/>
          <w:sz w:val="32"/>
          <w:szCs w:val="32"/>
        </w:rPr>
        <w:t>其中：房屋价值0万元（政府综合大楼），车辆原价值18万元，其它资产办公用电脑、办公家具。2021年我单位拟购置3万元。</w:t>
      </w:r>
    </w:p>
    <w:p w14:paraId="18EB90BD">
      <w:pPr>
        <w:widowControl/>
        <w:spacing w:line="360" w:lineRule="auto"/>
        <w:ind w:firstLine="640" w:firstLineChars="200"/>
        <w:jc w:val="left"/>
        <w:rPr>
          <w:rFonts w:ascii="仿宋" w:hAnsi="仿宋" w:eastAsia="仿宋" w:cs="仿宋"/>
          <w:kern w:val="0"/>
          <w:sz w:val="32"/>
          <w:szCs w:val="32"/>
        </w:rPr>
      </w:pPr>
      <w:r>
        <w:rPr>
          <w:rFonts w:hint="eastAsia" w:ascii="黑体" w:hAnsi="黑体" w:eastAsia="黑体" w:cs="仿宋_GB2312"/>
          <w:kern w:val="0"/>
          <w:sz w:val="32"/>
          <w:szCs w:val="32"/>
        </w:rPr>
        <w:t>八、</w:t>
      </w:r>
      <w:r>
        <w:rPr>
          <w:rFonts w:hint="eastAsia" w:ascii="黑体" w:hAnsi="黑体" w:eastAsia="黑体" w:cs="仿宋"/>
          <w:kern w:val="0"/>
          <w:sz w:val="32"/>
          <w:szCs w:val="32"/>
        </w:rPr>
        <w:t>名词解释</w:t>
      </w:r>
      <w:r>
        <w:rPr>
          <w:rFonts w:hint="eastAsia" w:ascii="仿宋" w:hAnsi="仿宋" w:eastAsia="仿宋" w:cs="仿宋"/>
          <w:kern w:val="0"/>
          <w:sz w:val="32"/>
          <w:szCs w:val="32"/>
        </w:rPr>
        <w:t> </w:t>
      </w:r>
    </w:p>
    <w:p w14:paraId="6C11590D">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1、财政拨款收入：指</w:t>
      </w:r>
      <w:r>
        <w:rPr>
          <w:rFonts w:hint="eastAsia" w:ascii="仿宋" w:hAnsi="仿宋" w:eastAsia="仿宋" w:cs="仿宋"/>
          <w:kern w:val="0"/>
          <w:sz w:val="32"/>
          <w:szCs w:val="32"/>
        </w:rPr>
        <w:t>财政当年拨付的资金。</w:t>
      </w:r>
    </w:p>
    <w:p w14:paraId="5FC42FE3">
      <w:pPr>
        <w:widowControl/>
        <w:spacing w:line="360" w:lineRule="auto"/>
        <w:ind w:firstLine="640" w:firstLineChars="200"/>
        <w:jc w:val="left"/>
        <w:rPr>
          <w:rFonts w:ascii="微软雅黑" w:hAnsi="微软雅黑" w:eastAsia="微软雅黑" w:cs="微软雅黑"/>
          <w:kern w:val="0"/>
          <w:sz w:val="24"/>
          <w:szCs w:val="24"/>
        </w:rPr>
      </w:pPr>
      <w:r>
        <w:rPr>
          <w:rFonts w:hint="eastAsia" w:ascii="仿宋" w:hAnsi="仿宋" w:eastAsia="仿宋" w:cs="仿宋"/>
          <w:kern w:val="0"/>
          <w:sz w:val="32"/>
          <w:szCs w:val="32"/>
        </w:rPr>
        <w:t>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w:t>
      </w:r>
    </w:p>
    <w:p w14:paraId="3DB51D81">
      <w:pPr>
        <w:widowControl/>
        <w:spacing w:line="360" w:lineRule="auto"/>
        <w:ind w:firstLine="720" w:firstLineChars="300"/>
        <w:jc w:val="left"/>
        <w:rPr>
          <w:rFonts w:ascii="仿宋" w:hAnsi="仿宋" w:eastAsia="仿宋" w:cs="仿宋"/>
          <w:kern w:val="0"/>
          <w:sz w:val="32"/>
          <w:szCs w:val="32"/>
        </w:rPr>
      </w:pPr>
      <w:r>
        <w:rPr>
          <w:rFonts w:hint="eastAsia" w:ascii="微软雅黑" w:hAnsi="微软雅黑" w:eastAsia="微软雅黑" w:cs="微软雅黑"/>
          <w:kern w:val="0"/>
          <w:sz w:val="24"/>
          <w:szCs w:val="24"/>
        </w:rPr>
        <w:t>3</w:t>
      </w:r>
      <w:r>
        <w:rPr>
          <w:rFonts w:hint="eastAsia" w:ascii="仿宋" w:hAnsi="仿宋" w:eastAsia="仿宋" w:cs="仿宋"/>
          <w:kern w:val="0"/>
          <w:sz w:val="32"/>
          <w:szCs w:val="32"/>
        </w:rPr>
        <w:t>、年初结转和结余：指以前年度尚未完成，结转到本年仍按照原规定用途继续使用的资金，或项目已完成等产生的结余资金。 </w:t>
      </w:r>
    </w:p>
    <w:p w14:paraId="0B13B145">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4、基本支出：指单位为了保障其正常运转、完成日常工作任务而发生的人员支出和公用支出。 </w:t>
      </w:r>
    </w:p>
    <w:p w14:paraId="0FFEE2A1">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5、项目支出：指单位为了特定的工作任务和事业发展目标，在基本支出之外所发生的支出。</w:t>
      </w:r>
    </w:p>
    <w:p w14:paraId="098CA55C">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
          <w:kern w:val="0"/>
          <w:sz w:val="32"/>
          <w:szCs w:val="32"/>
        </w:rPr>
        <w:t>九、其他需要说明的事项</w:t>
      </w:r>
    </w:p>
    <w:p w14:paraId="5454BA51">
      <w:pPr>
        <w:widowControl/>
        <w:spacing w:line="360" w:lineRule="auto"/>
        <w:ind w:firstLine="640" w:firstLineChars="200"/>
        <w:jc w:val="left"/>
        <w:rPr>
          <w:rFonts w:ascii="仿宋" w:hAnsi="仿宋" w:eastAsia="仿宋"/>
        </w:rPr>
      </w:pPr>
      <w:r>
        <w:rPr>
          <w:rFonts w:hint="eastAsia" w:ascii="仿宋" w:hAnsi="仿宋" w:eastAsia="仿宋" w:cs="方正仿宋_GBK"/>
          <w:bCs/>
          <w:sz w:val="32"/>
          <w:szCs w:val="32"/>
        </w:rPr>
        <w:t>无其它需要说明的事项。</w:t>
      </w:r>
    </w:p>
    <w:sectPr>
      <w:pgSz w:w="16839" w:h="11907" w:orient="landscape"/>
      <w:pgMar w:top="1021" w:right="1361" w:bottom="1021" w:left="136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小标宋_GBK">
    <w:panose1 w:val="02000000000000000000"/>
    <w:charset w:val="86"/>
    <w:family w:val="roman"/>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华文楷体">
    <w:altName w:val="方正楷体_GBK"/>
    <w:panose1 w:val="00000000000000000000"/>
    <w:charset w:val="86"/>
    <w:family w:val="auto"/>
    <w:pitch w:val="default"/>
    <w:sig w:usb0="00000000" w:usb1="00000000" w:usb2="00000010" w:usb3="00000000" w:csb0="0004009F" w:csb1="00000000"/>
  </w:font>
  <w:font w:name="微软雅黑">
    <w:altName w:val="方正黑体_GBK"/>
    <w:panose1 w:val="020B0503020204020204"/>
    <w:charset w:val="86"/>
    <w:family w:val="swiss"/>
    <w:pitch w:val="default"/>
    <w:sig w:usb0="00000000" w:usb1="00000000" w:usb2="00000016" w:usb3="00000000" w:csb0="0004001F" w:csb1="00000000"/>
  </w:font>
  <w:font w:name="文泉驿微米黑">
    <w:panose1 w:val="020B0606030804020204"/>
    <w:charset w:val="86"/>
    <w:family w:val="auto"/>
    <w:pitch w:val="default"/>
    <w:sig w:usb0="E10002EF" w:usb1="6BDFFCFB" w:usb2="00800036" w:usb3="00000000" w:csb0="603E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12DE9"/>
    <w:multiLevelType w:val="singleLevel"/>
    <w:tmpl w:val="58512DE9"/>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810D6"/>
    <w:rsid w:val="00024AFE"/>
    <w:rsid w:val="00070B38"/>
    <w:rsid w:val="00074640"/>
    <w:rsid w:val="000905CA"/>
    <w:rsid w:val="000A09E8"/>
    <w:rsid w:val="000A144B"/>
    <w:rsid w:val="000C6FE1"/>
    <w:rsid w:val="000F20FD"/>
    <w:rsid w:val="000F39A9"/>
    <w:rsid w:val="00111AD3"/>
    <w:rsid w:val="0012613C"/>
    <w:rsid w:val="001715C1"/>
    <w:rsid w:val="00191986"/>
    <w:rsid w:val="001B417B"/>
    <w:rsid w:val="002410A3"/>
    <w:rsid w:val="00247EF6"/>
    <w:rsid w:val="0026214B"/>
    <w:rsid w:val="00267F2B"/>
    <w:rsid w:val="002D7560"/>
    <w:rsid w:val="002E3A95"/>
    <w:rsid w:val="002F2B71"/>
    <w:rsid w:val="00311FD2"/>
    <w:rsid w:val="00313EA3"/>
    <w:rsid w:val="00382467"/>
    <w:rsid w:val="003B5B60"/>
    <w:rsid w:val="00466C27"/>
    <w:rsid w:val="00484F9C"/>
    <w:rsid w:val="00495A11"/>
    <w:rsid w:val="0049692C"/>
    <w:rsid w:val="004A0B0C"/>
    <w:rsid w:val="004C1CF1"/>
    <w:rsid w:val="004E077B"/>
    <w:rsid w:val="004E5867"/>
    <w:rsid w:val="00507012"/>
    <w:rsid w:val="00541E77"/>
    <w:rsid w:val="005526AF"/>
    <w:rsid w:val="00596255"/>
    <w:rsid w:val="005A7C3A"/>
    <w:rsid w:val="005D136A"/>
    <w:rsid w:val="005D3F75"/>
    <w:rsid w:val="0062621A"/>
    <w:rsid w:val="00674FDF"/>
    <w:rsid w:val="00685811"/>
    <w:rsid w:val="006B2D64"/>
    <w:rsid w:val="006D1C5B"/>
    <w:rsid w:val="00702CB4"/>
    <w:rsid w:val="00746CBE"/>
    <w:rsid w:val="00777EAA"/>
    <w:rsid w:val="00785707"/>
    <w:rsid w:val="007A1691"/>
    <w:rsid w:val="007A507B"/>
    <w:rsid w:val="007B1B10"/>
    <w:rsid w:val="007B2FC8"/>
    <w:rsid w:val="007B7171"/>
    <w:rsid w:val="007C109C"/>
    <w:rsid w:val="007C2AC4"/>
    <w:rsid w:val="007D6BF0"/>
    <w:rsid w:val="007F0E99"/>
    <w:rsid w:val="008058DC"/>
    <w:rsid w:val="00810D35"/>
    <w:rsid w:val="008407C0"/>
    <w:rsid w:val="00840B74"/>
    <w:rsid w:val="008B6EFA"/>
    <w:rsid w:val="008C16CF"/>
    <w:rsid w:val="008C7744"/>
    <w:rsid w:val="008D5286"/>
    <w:rsid w:val="008E6041"/>
    <w:rsid w:val="0093124F"/>
    <w:rsid w:val="0094710D"/>
    <w:rsid w:val="009812D4"/>
    <w:rsid w:val="009966E0"/>
    <w:rsid w:val="00997C0C"/>
    <w:rsid w:val="009C0832"/>
    <w:rsid w:val="009C5C91"/>
    <w:rsid w:val="009D2540"/>
    <w:rsid w:val="009F2DF1"/>
    <w:rsid w:val="00A07D70"/>
    <w:rsid w:val="00A14D67"/>
    <w:rsid w:val="00A43C65"/>
    <w:rsid w:val="00A44449"/>
    <w:rsid w:val="00A667BA"/>
    <w:rsid w:val="00A763BC"/>
    <w:rsid w:val="00AB1D2B"/>
    <w:rsid w:val="00AF3F6B"/>
    <w:rsid w:val="00B05951"/>
    <w:rsid w:val="00B14C5A"/>
    <w:rsid w:val="00B16629"/>
    <w:rsid w:val="00B564CF"/>
    <w:rsid w:val="00B64A25"/>
    <w:rsid w:val="00B904D6"/>
    <w:rsid w:val="00B9100D"/>
    <w:rsid w:val="00BA709F"/>
    <w:rsid w:val="00C027EF"/>
    <w:rsid w:val="00C07935"/>
    <w:rsid w:val="00C566AB"/>
    <w:rsid w:val="00C6227E"/>
    <w:rsid w:val="00CA4E4F"/>
    <w:rsid w:val="00CE7463"/>
    <w:rsid w:val="00CF516B"/>
    <w:rsid w:val="00D03F68"/>
    <w:rsid w:val="00D04B72"/>
    <w:rsid w:val="00D42541"/>
    <w:rsid w:val="00D53D97"/>
    <w:rsid w:val="00D70571"/>
    <w:rsid w:val="00D8460A"/>
    <w:rsid w:val="00D9448E"/>
    <w:rsid w:val="00DA089B"/>
    <w:rsid w:val="00DA59FE"/>
    <w:rsid w:val="00DD7FB8"/>
    <w:rsid w:val="00DF550A"/>
    <w:rsid w:val="00E20971"/>
    <w:rsid w:val="00E27429"/>
    <w:rsid w:val="00E32C07"/>
    <w:rsid w:val="00E810D6"/>
    <w:rsid w:val="00E83088"/>
    <w:rsid w:val="00E95C95"/>
    <w:rsid w:val="00EA340D"/>
    <w:rsid w:val="00EA69D1"/>
    <w:rsid w:val="00EC40FF"/>
    <w:rsid w:val="00EE2648"/>
    <w:rsid w:val="00EF4B73"/>
    <w:rsid w:val="00F212CE"/>
    <w:rsid w:val="00F32402"/>
    <w:rsid w:val="00F33B04"/>
    <w:rsid w:val="00F47032"/>
    <w:rsid w:val="00F5181F"/>
    <w:rsid w:val="00F5552E"/>
    <w:rsid w:val="00F56D45"/>
    <w:rsid w:val="00F61CD9"/>
    <w:rsid w:val="00FA3D3F"/>
    <w:rsid w:val="00FB5D80"/>
    <w:rsid w:val="013B67CD"/>
    <w:rsid w:val="0143370B"/>
    <w:rsid w:val="01CA412B"/>
    <w:rsid w:val="037D399A"/>
    <w:rsid w:val="03B213E5"/>
    <w:rsid w:val="06096D52"/>
    <w:rsid w:val="06550E5D"/>
    <w:rsid w:val="06F74C86"/>
    <w:rsid w:val="0726741C"/>
    <w:rsid w:val="08D34D69"/>
    <w:rsid w:val="08EB4082"/>
    <w:rsid w:val="09E50DB9"/>
    <w:rsid w:val="0BB759F9"/>
    <w:rsid w:val="0CBF7A43"/>
    <w:rsid w:val="0DD4180B"/>
    <w:rsid w:val="130B706D"/>
    <w:rsid w:val="139106CF"/>
    <w:rsid w:val="13DE0FA8"/>
    <w:rsid w:val="163506CD"/>
    <w:rsid w:val="17252863"/>
    <w:rsid w:val="175940C0"/>
    <w:rsid w:val="17C16AC9"/>
    <w:rsid w:val="180D78B9"/>
    <w:rsid w:val="1AEF7278"/>
    <w:rsid w:val="1B2A5EA4"/>
    <w:rsid w:val="1CAD1EB8"/>
    <w:rsid w:val="1CC97251"/>
    <w:rsid w:val="1CEB0A1C"/>
    <w:rsid w:val="1E8167C1"/>
    <w:rsid w:val="1EAA0AE1"/>
    <w:rsid w:val="21B66276"/>
    <w:rsid w:val="223B41FA"/>
    <w:rsid w:val="228819EE"/>
    <w:rsid w:val="24782867"/>
    <w:rsid w:val="2716314B"/>
    <w:rsid w:val="288A4B30"/>
    <w:rsid w:val="28E516DB"/>
    <w:rsid w:val="299267B6"/>
    <w:rsid w:val="2AD57C75"/>
    <w:rsid w:val="2BAA47A7"/>
    <w:rsid w:val="2C9E77EC"/>
    <w:rsid w:val="2CDC28D4"/>
    <w:rsid w:val="2DCE40BA"/>
    <w:rsid w:val="2E066AE5"/>
    <w:rsid w:val="2E2777CE"/>
    <w:rsid w:val="2EE04A84"/>
    <w:rsid w:val="31D059F4"/>
    <w:rsid w:val="332A0BBD"/>
    <w:rsid w:val="3387759D"/>
    <w:rsid w:val="351C5D1D"/>
    <w:rsid w:val="36DF5EE5"/>
    <w:rsid w:val="37C93C55"/>
    <w:rsid w:val="38963AA1"/>
    <w:rsid w:val="39461E7C"/>
    <w:rsid w:val="39A75722"/>
    <w:rsid w:val="3B6E7B6E"/>
    <w:rsid w:val="3C580018"/>
    <w:rsid w:val="3C712CD5"/>
    <w:rsid w:val="3CEC5D53"/>
    <w:rsid w:val="3D99549C"/>
    <w:rsid w:val="3ECE5FDA"/>
    <w:rsid w:val="441C57E9"/>
    <w:rsid w:val="44240E6E"/>
    <w:rsid w:val="44986D47"/>
    <w:rsid w:val="44996141"/>
    <w:rsid w:val="456A5D0D"/>
    <w:rsid w:val="457C0C14"/>
    <w:rsid w:val="45B90BF3"/>
    <w:rsid w:val="460143F1"/>
    <w:rsid w:val="475B18CD"/>
    <w:rsid w:val="4A4F1F05"/>
    <w:rsid w:val="4A933BC2"/>
    <w:rsid w:val="4AB87DE3"/>
    <w:rsid w:val="4B7040C7"/>
    <w:rsid w:val="4C6705AF"/>
    <w:rsid w:val="4CA957E7"/>
    <w:rsid w:val="4D9730D4"/>
    <w:rsid w:val="4E4335D2"/>
    <w:rsid w:val="4ECF4C05"/>
    <w:rsid w:val="574F0649"/>
    <w:rsid w:val="59AF56D7"/>
    <w:rsid w:val="5B2B3FCD"/>
    <w:rsid w:val="5BAE356C"/>
    <w:rsid w:val="5CB07A05"/>
    <w:rsid w:val="5D644189"/>
    <w:rsid w:val="5ED17601"/>
    <w:rsid w:val="612F2391"/>
    <w:rsid w:val="61897173"/>
    <w:rsid w:val="61A9272A"/>
    <w:rsid w:val="63742E27"/>
    <w:rsid w:val="63F21B1B"/>
    <w:rsid w:val="64877C4F"/>
    <w:rsid w:val="65493192"/>
    <w:rsid w:val="666C26EF"/>
    <w:rsid w:val="6B511389"/>
    <w:rsid w:val="6D5763C1"/>
    <w:rsid w:val="6D81148F"/>
    <w:rsid w:val="6D9C3C5F"/>
    <w:rsid w:val="6DAF4413"/>
    <w:rsid w:val="6E8006EE"/>
    <w:rsid w:val="6ECC4D84"/>
    <w:rsid w:val="70BA2DA1"/>
    <w:rsid w:val="71B87B2B"/>
    <w:rsid w:val="729B4F6A"/>
    <w:rsid w:val="72B347AB"/>
    <w:rsid w:val="72EF3FF6"/>
    <w:rsid w:val="733E01F4"/>
    <w:rsid w:val="7424079F"/>
    <w:rsid w:val="74D4598A"/>
    <w:rsid w:val="75A20EFB"/>
    <w:rsid w:val="76FD3FC3"/>
    <w:rsid w:val="7AA5545A"/>
    <w:rsid w:val="7ABE3B1E"/>
    <w:rsid w:val="7BAA5900"/>
    <w:rsid w:val="7D751DBE"/>
    <w:rsid w:val="7D9A3104"/>
    <w:rsid w:val="7DB949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 w:type="paragraph" w:customStyle="1" w:styleId="10">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 SelectedStyle=""/>
</file>

<file path=customXml/itemProps1.xml><?xml version="1.0" encoding="utf-8"?>
<ds:datastoreItem xmlns:ds="http://schemas.openxmlformats.org/officeDocument/2006/customXml" ds:itemID="{2E8F3293-19E7-4656-9AD7-C3E48F76448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Pages>
  <Words>1034</Words>
  <Characters>5897</Characters>
  <Lines>49</Lines>
  <Paragraphs>13</Paragraphs>
  <TotalTime>308</TotalTime>
  <ScaleCrop>false</ScaleCrop>
  <LinksUpToDate>false</LinksUpToDate>
  <CharactersWithSpaces>6918</CharactersWithSpaces>
  <Application>WPS Office_12.8.2.1118_F1E327BC-269C-435d-A152-05C5408002CA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2016-04-01T10:15:00Z</dcterms:created>
  <dc:creator>lenovo</dc:creator>
  <cp:lastModifiedBy>user</cp:lastModifiedBy>
  <cp:lastPrinted>2017-05-27T09:36:00Z</cp:lastPrinted>
  <dcterms:modified xsi:type="dcterms:W3CDTF">2025-10-23T16:19:02Z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2052-12.8.2.1118</vt:lpwstr>
  </property>
  <property fmtid="{D5CDD505-2E9C-101B-9397-08002B2CF9AE}" pid="3" name="ICV">
    <vt:lpwstr>69F1F0A7FB56967FF6E4F968F9F760E2_42</vt:lpwstr>
  </property>
</Properties>
</file>