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6DBF2">
      <w:pPr>
        <w:jc w:val="center"/>
        <w:rPr>
          <w:rFonts w:ascii="黑体" w:hAnsi="黑体" w:eastAsia="黑体"/>
          <w:sz w:val="44"/>
          <w:szCs w:val="44"/>
        </w:rPr>
      </w:pPr>
      <w:r>
        <w:rPr>
          <w:rFonts w:hint="eastAsia" w:ascii="黑体" w:hAnsi="黑体" w:eastAsia="黑体"/>
          <w:sz w:val="44"/>
          <w:szCs w:val="44"/>
        </w:rPr>
        <w:t>成安县柏寺营乡人民政府</w:t>
      </w:r>
    </w:p>
    <w:p w14:paraId="72DD6147">
      <w:pPr>
        <w:jc w:val="center"/>
        <w:rPr>
          <w:rFonts w:ascii="黑体" w:hAnsi="黑体" w:eastAsia="黑体"/>
          <w:sz w:val="44"/>
          <w:szCs w:val="44"/>
        </w:rPr>
      </w:pPr>
      <w:r>
        <w:rPr>
          <w:rFonts w:hint="eastAsia" w:ascii="黑体" w:hAnsi="黑体" w:eastAsia="黑体"/>
          <w:sz w:val="44"/>
          <w:szCs w:val="44"/>
        </w:rPr>
        <w:t>2020年部门预算公开情况说明</w:t>
      </w:r>
    </w:p>
    <w:p w14:paraId="0D4D0FAA">
      <w:pPr>
        <w:rPr>
          <w:rFonts w:ascii="仿宋" w:hAnsi="仿宋" w:eastAsia="仿宋" w:cs="仿宋_GB2312"/>
          <w:sz w:val="32"/>
          <w:szCs w:val="32"/>
        </w:rPr>
      </w:pPr>
    </w:p>
    <w:p w14:paraId="23DD1FF1">
      <w:pPr>
        <w:ind w:firstLine="640" w:firstLineChars="200"/>
        <w:rPr>
          <w:rFonts w:ascii="仿宋" w:hAnsi="仿宋" w:eastAsia="仿宋" w:cs="仿宋_GB2312"/>
          <w:kern w:val="0"/>
          <w:sz w:val="32"/>
          <w:szCs w:val="32"/>
        </w:rPr>
      </w:pPr>
      <w:r>
        <w:rPr>
          <w:rFonts w:hint="eastAsia" w:ascii="仿宋" w:hAnsi="仿宋" w:eastAsia="仿宋" w:cs="仿宋_GB2312"/>
          <w:sz w:val="32"/>
          <w:szCs w:val="32"/>
        </w:rPr>
        <w:t>按照《</w:t>
      </w:r>
      <w:r>
        <w:rPr>
          <w:rFonts w:hint="eastAsia" w:ascii="仿宋" w:hAnsi="仿宋" w:eastAsia="仿宋" w:cs="仿宋_GB2312"/>
          <w:sz w:val="32"/>
          <w:szCs w:val="32"/>
          <w:lang w:val="en-US" w:eastAsia="zh-CN"/>
        </w:rPr>
        <w:t>中华人民共和国</w:t>
      </w:r>
      <w:r>
        <w:rPr>
          <w:rFonts w:hint="eastAsia" w:ascii="仿宋" w:hAnsi="仿宋" w:eastAsia="仿宋" w:cs="仿宋_GB2312"/>
          <w:sz w:val="32"/>
          <w:szCs w:val="32"/>
        </w:rPr>
        <w:t>预算法》有关规定和财政部关于印发《地方预决算公开操作规程》的通知，</w:t>
      </w:r>
      <w:r>
        <w:rPr>
          <w:rFonts w:hint="eastAsia" w:ascii="仿宋" w:hAnsi="仿宋" w:eastAsia="仿宋" w:cs="仿宋_GB2312"/>
          <w:kern w:val="0"/>
          <w:sz w:val="32"/>
          <w:szCs w:val="32"/>
        </w:rPr>
        <w:t>现将成安县柏寺营乡人民政府2020年部门预算公开如下：</w:t>
      </w:r>
    </w:p>
    <w:p w14:paraId="25AD46B1">
      <w:pPr>
        <w:widowControl/>
        <w:spacing w:line="360" w:lineRule="auto"/>
        <w:ind w:left="640"/>
        <w:jc w:val="left"/>
        <w:rPr>
          <w:rFonts w:ascii="楷体" w:hAnsi="楷体" w:eastAsia="楷体" w:cs="黑体"/>
          <w:b/>
          <w:bCs/>
          <w:kern w:val="0"/>
          <w:sz w:val="32"/>
          <w:szCs w:val="32"/>
        </w:rPr>
      </w:pPr>
      <w:r>
        <w:rPr>
          <w:rFonts w:hint="eastAsia" w:ascii="楷体" w:hAnsi="楷体" w:eastAsia="楷体" w:cs="黑体"/>
          <w:b/>
          <w:bCs/>
          <w:kern w:val="0"/>
          <w:sz w:val="32"/>
          <w:szCs w:val="32"/>
        </w:rPr>
        <w:t>一、主要职责及机构设置情况</w:t>
      </w:r>
    </w:p>
    <w:p w14:paraId="39236A25">
      <w:pPr>
        <w:widowControl/>
        <w:spacing w:line="360" w:lineRule="auto"/>
        <w:ind w:firstLine="630" w:firstLineChars="196"/>
        <w:jc w:val="left"/>
        <w:rPr>
          <w:rFonts w:ascii="仿宋" w:hAnsi="仿宋" w:eastAsia="仿宋" w:cs="仿宋_GB2312"/>
          <w:kern w:val="0"/>
          <w:sz w:val="32"/>
          <w:szCs w:val="32"/>
        </w:rPr>
      </w:pPr>
      <w:r>
        <w:rPr>
          <w:rFonts w:hint="eastAsia" w:ascii="仿宋" w:hAnsi="仿宋" w:eastAsia="仿宋" w:cs="楷体"/>
          <w:b/>
          <w:bCs/>
          <w:kern w:val="0"/>
          <w:sz w:val="32"/>
          <w:szCs w:val="32"/>
        </w:rPr>
        <w:t>部门职责</w:t>
      </w:r>
    </w:p>
    <w:p w14:paraId="15A78135">
      <w:pPr>
        <w:ind w:firstLine="640" w:firstLineChars="200"/>
        <w:rPr>
          <w:rFonts w:ascii="仿宋" w:hAnsi="仿宋" w:eastAsia="仿宋"/>
          <w:sz w:val="32"/>
          <w:szCs w:val="32"/>
        </w:rPr>
      </w:pPr>
      <w:r>
        <w:rPr>
          <w:rFonts w:hint="eastAsia" w:ascii="仿宋" w:hAnsi="仿宋" w:eastAsia="仿宋"/>
          <w:sz w:val="32"/>
          <w:szCs w:val="32"/>
        </w:rPr>
        <w:t>1、宣传、贯彻党的路线、方针、政策和上级党组织的指示、决定，执行乡党员代表大会（党员大会）决议，讨论决定本乡重大问题。</w:t>
      </w:r>
    </w:p>
    <w:p w14:paraId="63ABB6AE">
      <w:pPr>
        <w:ind w:firstLine="640" w:firstLineChars="200"/>
        <w:rPr>
          <w:rFonts w:ascii="仿宋" w:hAnsi="仿宋" w:eastAsia="仿宋"/>
          <w:sz w:val="32"/>
          <w:szCs w:val="32"/>
        </w:rPr>
      </w:pPr>
      <w:r>
        <w:rPr>
          <w:rFonts w:hint="eastAsia" w:ascii="仿宋" w:hAnsi="仿宋" w:eastAsia="仿宋"/>
          <w:sz w:val="32"/>
          <w:szCs w:val="32"/>
        </w:rPr>
        <w:t>2、抓好自身和所属党组织的思想、组织和作风建设。</w:t>
      </w:r>
    </w:p>
    <w:p w14:paraId="758E9F31">
      <w:pPr>
        <w:ind w:firstLine="640" w:firstLineChars="200"/>
        <w:rPr>
          <w:rFonts w:ascii="仿宋" w:hAnsi="仿宋" w:eastAsia="仿宋"/>
          <w:sz w:val="32"/>
          <w:szCs w:val="32"/>
        </w:rPr>
      </w:pPr>
      <w:r>
        <w:rPr>
          <w:rFonts w:hint="eastAsia" w:ascii="仿宋" w:hAnsi="仿宋" w:eastAsia="仿宋"/>
          <w:sz w:val="32"/>
          <w:szCs w:val="32"/>
        </w:rPr>
        <w:t>3、领导乡经济建设，制定本乡经济和社会发展规划并组织实施。</w:t>
      </w:r>
    </w:p>
    <w:p w14:paraId="3B279B6C">
      <w:pPr>
        <w:ind w:firstLine="640" w:firstLineChars="200"/>
        <w:rPr>
          <w:rFonts w:ascii="仿宋" w:hAnsi="仿宋" w:eastAsia="仿宋"/>
          <w:sz w:val="32"/>
          <w:szCs w:val="32"/>
        </w:rPr>
      </w:pPr>
      <w:r>
        <w:rPr>
          <w:rFonts w:hint="eastAsia" w:ascii="仿宋" w:hAnsi="仿宋" w:eastAsia="仿宋"/>
          <w:sz w:val="32"/>
          <w:szCs w:val="32"/>
        </w:rPr>
        <w:t>4、领导乡社会主义精神文明和民主法制建设。加强农村社会治安综合治理，贯彻执行党和国家的计划生育政策。</w:t>
      </w:r>
    </w:p>
    <w:p w14:paraId="73B847EF">
      <w:pPr>
        <w:ind w:firstLine="640" w:firstLineChars="200"/>
        <w:rPr>
          <w:rFonts w:ascii="仿宋" w:hAnsi="仿宋" w:eastAsia="仿宋"/>
          <w:sz w:val="32"/>
          <w:szCs w:val="32"/>
        </w:rPr>
      </w:pPr>
      <w:r>
        <w:rPr>
          <w:rFonts w:hint="eastAsia" w:ascii="仿宋" w:hAnsi="仿宋" w:eastAsia="仿宋"/>
          <w:sz w:val="32"/>
          <w:szCs w:val="32"/>
        </w:rPr>
        <w:t>5、领导并支持乡政府依法行使各项行政管理职权。</w:t>
      </w:r>
    </w:p>
    <w:p w14:paraId="779A9C46">
      <w:pPr>
        <w:ind w:firstLine="640" w:firstLineChars="200"/>
        <w:rPr>
          <w:rFonts w:ascii="仿宋" w:hAnsi="仿宋" w:eastAsia="仿宋"/>
          <w:sz w:val="32"/>
          <w:szCs w:val="32"/>
        </w:rPr>
      </w:pPr>
      <w:r>
        <w:rPr>
          <w:rFonts w:hint="eastAsia" w:ascii="仿宋" w:hAnsi="仿宋" w:eastAsia="仿宋"/>
          <w:sz w:val="32"/>
          <w:szCs w:val="32"/>
        </w:rPr>
        <w:t>6、领导人大主席团及经济组织、人民武装和共青团、妇联等人民团体的工作。</w:t>
      </w:r>
    </w:p>
    <w:p w14:paraId="43A28B66">
      <w:pPr>
        <w:ind w:firstLine="640" w:firstLineChars="200"/>
        <w:rPr>
          <w:rFonts w:ascii="仿宋" w:hAnsi="仿宋" w:eastAsia="仿宋"/>
          <w:sz w:val="32"/>
          <w:szCs w:val="32"/>
        </w:rPr>
      </w:pPr>
      <w:r>
        <w:rPr>
          <w:rFonts w:hint="eastAsia" w:ascii="仿宋" w:hAnsi="仿宋" w:eastAsia="仿宋"/>
          <w:sz w:val="32"/>
          <w:szCs w:val="32"/>
        </w:rPr>
        <w:t>7、领导上级有关部门派驻乡单位的党的建设，领导、支持和协调上级有关部门派驻乡单位的工作。</w:t>
      </w:r>
    </w:p>
    <w:p w14:paraId="1BB8836F">
      <w:pPr>
        <w:ind w:firstLine="640" w:firstLineChars="200"/>
        <w:rPr>
          <w:rFonts w:ascii="仿宋" w:hAnsi="仿宋" w:eastAsia="仿宋"/>
          <w:sz w:val="32"/>
          <w:szCs w:val="32"/>
        </w:rPr>
      </w:pPr>
      <w:r>
        <w:rPr>
          <w:rFonts w:hint="eastAsia" w:ascii="仿宋" w:hAnsi="仿宋" w:eastAsia="仿宋"/>
          <w:sz w:val="32"/>
          <w:szCs w:val="32"/>
        </w:rPr>
        <w:t>8、促进经济发展，增加农民收入。科学制定乡村发展规划，推动产业结构调整，营造良好发展环境，提高经济发展的质量和水平。</w:t>
      </w:r>
    </w:p>
    <w:p w14:paraId="5AF18823">
      <w:pPr>
        <w:ind w:firstLine="640" w:firstLineChars="200"/>
        <w:rPr>
          <w:rFonts w:ascii="仿宋" w:hAnsi="仿宋" w:eastAsia="仿宋"/>
          <w:sz w:val="32"/>
          <w:szCs w:val="32"/>
        </w:rPr>
      </w:pPr>
      <w:r>
        <w:rPr>
          <w:rFonts w:hint="eastAsia" w:ascii="仿宋" w:hAnsi="仿宋" w:eastAsia="仿宋"/>
          <w:sz w:val="32"/>
          <w:szCs w:val="32"/>
        </w:rPr>
        <w:t>9、强化公共服务、着力改善民生。拓宽服务渠道，改进服务方式，方便群众办事。加强基础</w:t>
      </w:r>
      <w:r>
        <w:rPr>
          <w:rFonts w:hint="eastAsia" w:ascii="仿宋" w:hAnsi="仿宋" w:eastAsia="仿宋"/>
          <w:sz w:val="32"/>
          <w:szCs w:val="32"/>
          <w:lang w:val="en-US" w:eastAsia="zh-CN"/>
        </w:rPr>
        <w:t>设</w:t>
      </w:r>
      <w:r>
        <w:rPr>
          <w:rFonts w:hint="eastAsia" w:ascii="仿宋" w:hAnsi="仿宋" w:eastAsia="仿宋"/>
          <w:sz w:val="32"/>
          <w:szCs w:val="32"/>
        </w:rPr>
        <w:t>施建设，改善农民生产生活环境。</w:t>
      </w:r>
    </w:p>
    <w:p w14:paraId="73696205">
      <w:pPr>
        <w:ind w:firstLine="640" w:firstLineChars="200"/>
        <w:rPr>
          <w:rFonts w:ascii="仿宋" w:hAnsi="仿宋" w:eastAsia="仿宋"/>
          <w:sz w:val="32"/>
          <w:szCs w:val="32"/>
        </w:rPr>
      </w:pPr>
      <w:r>
        <w:rPr>
          <w:rFonts w:hint="eastAsia" w:ascii="仿宋" w:hAnsi="仿宋" w:eastAsia="仿宋"/>
          <w:sz w:val="32"/>
          <w:szCs w:val="32"/>
        </w:rPr>
        <w:t>10、加强社会管理、维护农村稳定。抓好农村思想政治建设和精神文明建设，加强农村教育、卫生、文化、体育、环境保护等社会事业的管理，促进农村经济社会的健康、和谐、可持续发展。</w:t>
      </w:r>
    </w:p>
    <w:p w14:paraId="00B31AFC">
      <w:pPr>
        <w:ind w:firstLine="640" w:firstLineChars="200"/>
        <w:rPr>
          <w:rFonts w:ascii="仿宋" w:hAnsi="仿宋" w:eastAsia="仿宋" w:cs="仿宋_GB2312"/>
          <w:kern w:val="0"/>
          <w:sz w:val="32"/>
          <w:szCs w:val="32"/>
        </w:rPr>
      </w:pPr>
      <w:r>
        <w:rPr>
          <w:rFonts w:hint="eastAsia" w:ascii="仿宋" w:hAnsi="仿宋" w:eastAsia="仿宋"/>
          <w:sz w:val="32"/>
          <w:szCs w:val="32"/>
        </w:rPr>
        <w:t>11、推进基层民主、促进农村和谐。坚持党的领导，保障农民群众的选举权，健全完善村党组织领导的充满活力的村民自治机构。保障村民的参与权。健全公开制度，保障村民知情权。</w:t>
      </w:r>
    </w:p>
    <w:p w14:paraId="2392E4C8">
      <w:pPr>
        <w:widowControl/>
        <w:spacing w:line="360" w:lineRule="auto"/>
        <w:ind w:firstLine="643" w:firstLineChars="200"/>
        <w:jc w:val="left"/>
        <w:rPr>
          <w:rFonts w:ascii="仿宋" w:hAnsi="仿宋" w:eastAsia="仿宋" w:cs="楷体"/>
          <w:b/>
          <w:kern w:val="0"/>
          <w:sz w:val="32"/>
          <w:szCs w:val="32"/>
        </w:rPr>
      </w:pPr>
      <w:r>
        <w:rPr>
          <w:rFonts w:hint="eastAsia" w:ascii="仿宋" w:hAnsi="仿宋" w:eastAsia="仿宋" w:cs="楷体"/>
          <w:b/>
          <w:kern w:val="0"/>
          <w:sz w:val="32"/>
          <w:szCs w:val="32"/>
        </w:rPr>
        <w:t>内设机构</w:t>
      </w:r>
    </w:p>
    <w:p w14:paraId="6FB47B4B">
      <w:pPr>
        <w:widowControl/>
        <w:spacing w:line="360" w:lineRule="auto"/>
        <w:ind w:left="8" w:firstLine="617" w:firstLineChars="193"/>
        <w:jc w:val="left"/>
        <w:rPr>
          <w:rFonts w:ascii="仿宋" w:hAnsi="仿宋" w:eastAsia="仿宋" w:cs="仿宋"/>
          <w:bCs/>
          <w:kern w:val="0"/>
          <w:sz w:val="32"/>
          <w:szCs w:val="32"/>
        </w:rPr>
      </w:pPr>
      <w:r>
        <w:rPr>
          <w:rFonts w:hint="eastAsia" w:ascii="仿宋" w:hAnsi="仿宋" w:eastAsia="仿宋" w:cs="仿宋_GB2312"/>
          <w:kern w:val="0"/>
          <w:sz w:val="32"/>
          <w:szCs w:val="32"/>
        </w:rPr>
        <w:t>成安县柏寺营乡人民政府</w:t>
      </w:r>
      <w:r>
        <w:rPr>
          <w:rFonts w:hint="eastAsia" w:ascii="仿宋" w:hAnsi="仿宋" w:eastAsia="仿宋" w:cs="仿宋"/>
          <w:bCs/>
          <w:kern w:val="0"/>
          <w:sz w:val="32"/>
          <w:szCs w:val="32"/>
        </w:rPr>
        <w:t>，</w:t>
      </w:r>
      <w:r>
        <w:rPr>
          <w:rFonts w:hint="eastAsia" w:ascii="仿宋" w:hAnsi="仿宋" w:eastAsia="仿宋" w:cs="仿宋_GB2312"/>
          <w:bCs/>
          <w:kern w:val="0"/>
          <w:sz w:val="32"/>
          <w:szCs w:val="32"/>
        </w:rPr>
        <w:t>预算编码是807002，内设5个内部机构：党政综合办公室、经济发展办公室、社会事务办公室、计划生育办公室、综合治理办公室。</w:t>
      </w:r>
    </w:p>
    <w:p w14:paraId="4FCEA2B9">
      <w:pPr>
        <w:widowControl/>
        <w:spacing w:line="360" w:lineRule="auto"/>
        <w:ind w:firstLine="643" w:firstLineChars="200"/>
        <w:jc w:val="left"/>
        <w:rPr>
          <w:rFonts w:ascii="仿宋" w:hAnsi="仿宋" w:eastAsia="仿宋" w:cs="楷体"/>
          <w:b/>
          <w:kern w:val="0"/>
          <w:sz w:val="32"/>
          <w:szCs w:val="32"/>
        </w:rPr>
      </w:pPr>
      <w:r>
        <w:rPr>
          <w:rFonts w:hint="eastAsia" w:ascii="仿宋" w:hAnsi="仿宋" w:eastAsia="仿宋" w:cs="楷体"/>
          <w:b/>
          <w:kern w:val="0"/>
          <w:sz w:val="32"/>
          <w:szCs w:val="32"/>
        </w:rPr>
        <w:t>人员编制和领导职数</w:t>
      </w:r>
    </w:p>
    <w:p w14:paraId="10F45EF4">
      <w:pPr>
        <w:ind w:firstLine="720"/>
        <w:outlineLvl w:val="0"/>
        <w:rPr>
          <w:rFonts w:ascii="仿宋_GB2312" w:hAnsi="Calibri" w:eastAsia="仿宋_GB2312" w:cs="Calibri"/>
          <w:b/>
          <w:kern w:val="0"/>
          <w:sz w:val="32"/>
          <w:szCs w:val="32"/>
        </w:rPr>
      </w:pPr>
      <w:r>
        <w:rPr>
          <w:rFonts w:hint="eastAsia" w:ascii="仿宋" w:hAnsi="仿宋" w:eastAsia="仿宋" w:cs="仿宋_GB2312"/>
          <w:kern w:val="0"/>
          <w:sz w:val="32"/>
          <w:szCs w:val="32"/>
        </w:rPr>
        <w:t>成安县柏寺营乡人民政府</w:t>
      </w:r>
      <w:r>
        <w:rPr>
          <w:rFonts w:hint="eastAsia" w:ascii="仿宋" w:hAnsi="仿宋" w:eastAsia="仿宋" w:cs="仿宋_GB2312"/>
          <w:bCs/>
          <w:kern w:val="0"/>
          <w:sz w:val="32"/>
          <w:szCs w:val="32"/>
        </w:rPr>
        <w:t>，人员编制28名，其中书记1名、副书记2名（包括乡长）、纪委书记1名、乡长1名、副乡长2名、人大主席1名、人大副主席1名、武装部长1名、组织委员1名、宣传委员1名，机关工勤人员2名。</w:t>
      </w:r>
      <w:r>
        <w:rPr>
          <w:rFonts w:hint="eastAsia" w:ascii="仿宋_GB2312" w:hAnsi="Calibri" w:eastAsia="仿宋_GB2312" w:cs="Calibri"/>
          <w:b/>
          <w:kern w:val="0"/>
          <w:sz w:val="32"/>
          <w:szCs w:val="32"/>
        </w:rPr>
        <w:t>内设机构及职责</w:t>
      </w:r>
    </w:p>
    <w:p w14:paraId="106D43DD">
      <w:pPr>
        <w:ind w:firstLine="720"/>
        <w:jc w:val="center"/>
        <w:outlineLvl w:val="0"/>
        <w:rPr>
          <w:rFonts w:ascii="Times New Roman" w:hAnsi="Times New Roman" w:eastAsia="方正小标宋_GBK" w:cs="Times New Roman"/>
          <w:sz w:val="32"/>
          <w:szCs w:val="32"/>
        </w:rPr>
      </w:pPr>
      <w:r>
        <w:rPr>
          <w:rFonts w:hint="eastAsia" w:ascii="Times New Roman" w:hAnsi="Times New Roman" w:eastAsia="方正小标宋_GBK" w:cs="方正小标宋_GBK"/>
          <w:sz w:val="32"/>
          <w:szCs w:val="32"/>
        </w:rPr>
        <w:t>部门机构设置情况</w:t>
      </w:r>
    </w:p>
    <w:tbl>
      <w:tblPr>
        <w:tblStyle w:val="6"/>
        <w:tblW w:w="105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210"/>
        <w:gridCol w:w="1134"/>
        <w:gridCol w:w="1276"/>
        <w:gridCol w:w="2902"/>
      </w:tblGrid>
      <w:tr w14:paraId="28345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5210" w:type="dxa"/>
            <w:vMerge w:val="restart"/>
            <w:vAlign w:val="center"/>
          </w:tcPr>
          <w:p w14:paraId="543AD532">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单位名称</w:t>
            </w:r>
          </w:p>
        </w:tc>
        <w:tc>
          <w:tcPr>
            <w:tcW w:w="1134" w:type="dxa"/>
            <w:vMerge w:val="restart"/>
            <w:vAlign w:val="center"/>
          </w:tcPr>
          <w:p w14:paraId="05D8AD95">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单位性质</w:t>
            </w:r>
          </w:p>
        </w:tc>
        <w:tc>
          <w:tcPr>
            <w:tcW w:w="1276" w:type="dxa"/>
            <w:vMerge w:val="restart"/>
            <w:vAlign w:val="center"/>
          </w:tcPr>
          <w:p w14:paraId="47F73499">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单位规格</w:t>
            </w:r>
          </w:p>
        </w:tc>
        <w:tc>
          <w:tcPr>
            <w:tcW w:w="2902" w:type="dxa"/>
            <w:vMerge w:val="restart"/>
            <w:vAlign w:val="center"/>
          </w:tcPr>
          <w:p w14:paraId="18CF7165">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经费保障形式</w:t>
            </w:r>
          </w:p>
        </w:tc>
      </w:tr>
      <w:tr w14:paraId="2FB22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5210" w:type="dxa"/>
            <w:vMerge w:val="continue"/>
            <w:vAlign w:val="center"/>
          </w:tcPr>
          <w:p w14:paraId="4B57568D">
            <w:pPr>
              <w:spacing w:line="300" w:lineRule="exact"/>
              <w:jc w:val="left"/>
              <w:outlineLvl w:val="0"/>
              <w:rPr>
                <w:rFonts w:ascii="Times New Roman" w:hAnsi="Times New Roman" w:eastAsia="宋体" w:cs="Times New Roman"/>
              </w:rPr>
            </w:pPr>
          </w:p>
        </w:tc>
        <w:tc>
          <w:tcPr>
            <w:tcW w:w="1134" w:type="dxa"/>
            <w:vMerge w:val="continue"/>
            <w:vAlign w:val="center"/>
          </w:tcPr>
          <w:p w14:paraId="3953406B">
            <w:pPr>
              <w:spacing w:line="300" w:lineRule="exact"/>
              <w:jc w:val="left"/>
              <w:outlineLvl w:val="0"/>
              <w:rPr>
                <w:rFonts w:ascii="Times New Roman" w:hAnsi="Times New Roman" w:eastAsia="宋体" w:cs="Times New Roman"/>
              </w:rPr>
            </w:pPr>
          </w:p>
        </w:tc>
        <w:tc>
          <w:tcPr>
            <w:tcW w:w="1276" w:type="dxa"/>
            <w:vMerge w:val="continue"/>
            <w:vAlign w:val="center"/>
          </w:tcPr>
          <w:p w14:paraId="5BE194C0">
            <w:pPr>
              <w:spacing w:line="300" w:lineRule="exact"/>
              <w:jc w:val="left"/>
              <w:outlineLvl w:val="0"/>
              <w:rPr>
                <w:rFonts w:ascii="Times New Roman" w:hAnsi="Times New Roman" w:eastAsia="宋体" w:cs="Times New Roman"/>
              </w:rPr>
            </w:pPr>
          </w:p>
        </w:tc>
        <w:tc>
          <w:tcPr>
            <w:tcW w:w="2902" w:type="dxa"/>
            <w:vMerge w:val="continue"/>
            <w:vAlign w:val="center"/>
          </w:tcPr>
          <w:p w14:paraId="2E125460">
            <w:pPr>
              <w:spacing w:line="300" w:lineRule="exact"/>
              <w:jc w:val="left"/>
              <w:outlineLvl w:val="0"/>
              <w:rPr>
                <w:rFonts w:ascii="Times New Roman" w:hAnsi="Times New Roman" w:eastAsia="宋体" w:cs="Times New Roman"/>
              </w:rPr>
            </w:pPr>
          </w:p>
        </w:tc>
      </w:tr>
      <w:tr w14:paraId="21735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5210" w:type="dxa"/>
            <w:vAlign w:val="center"/>
          </w:tcPr>
          <w:p w14:paraId="48895776">
            <w:pPr>
              <w:spacing w:line="300" w:lineRule="exact"/>
              <w:jc w:val="left"/>
              <w:rPr>
                <w:rFonts w:ascii="仿宋" w:hAnsi="仿宋" w:eastAsia="仿宋" w:cs="Times New Roman"/>
                <w:sz w:val="32"/>
                <w:szCs w:val="32"/>
              </w:rPr>
            </w:pPr>
            <w:r>
              <w:rPr>
                <w:rFonts w:hint="eastAsia" w:ascii="仿宋" w:hAnsi="仿宋" w:eastAsia="仿宋" w:cs="Times New Roman"/>
                <w:sz w:val="32"/>
                <w:szCs w:val="32"/>
              </w:rPr>
              <w:t>成安县柏寺营乡人民政府</w:t>
            </w:r>
          </w:p>
        </w:tc>
        <w:tc>
          <w:tcPr>
            <w:tcW w:w="1134" w:type="dxa"/>
            <w:vAlign w:val="center"/>
          </w:tcPr>
          <w:p w14:paraId="675713F0">
            <w:pPr>
              <w:spacing w:line="300" w:lineRule="exact"/>
              <w:jc w:val="left"/>
              <w:rPr>
                <w:rFonts w:ascii="仿宋" w:hAnsi="仿宋" w:eastAsia="仿宋" w:cs="Times New Roman"/>
                <w:sz w:val="32"/>
                <w:szCs w:val="32"/>
              </w:rPr>
            </w:pPr>
            <w:r>
              <w:rPr>
                <w:rFonts w:hint="eastAsia" w:ascii="仿宋" w:hAnsi="仿宋" w:eastAsia="仿宋" w:cs="Times New Roman"/>
                <w:sz w:val="32"/>
                <w:szCs w:val="32"/>
              </w:rPr>
              <w:t>行政</w:t>
            </w:r>
          </w:p>
        </w:tc>
        <w:tc>
          <w:tcPr>
            <w:tcW w:w="1276" w:type="dxa"/>
            <w:vAlign w:val="center"/>
          </w:tcPr>
          <w:p w14:paraId="67B686A8">
            <w:pPr>
              <w:spacing w:line="300" w:lineRule="exact"/>
              <w:jc w:val="left"/>
              <w:rPr>
                <w:rFonts w:ascii="仿宋" w:hAnsi="仿宋" w:eastAsia="仿宋" w:cs="Times New Roman"/>
                <w:sz w:val="32"/>
                <w:szCs w:val="32"/>
              </w:rPr>
            </w:pPr>
            <w:r>
              <w:rPr>
                <w:rFonts w:hint="eastAsia" w:ascii="仿宋" w:hAnsi="仿宋" w:eastAsia="仿宋" w:cs="Times New Roman"/>
                <w:sz w:val="32"/>
                <w:szCs w:val="32"/>
              </w:rPr>
              <w:t>正科级</w:t>
            </w:r>
          </w:p>
        </w:tc>
        <w:tc>
          <w:tcPr>
            <w:tcW w:w="2902" w:type="dxa"/>
            <w:vAlign w:val="center"/>
          </w:tcPr>
          <w:p w14:paraId="29998D63">
            <w:pPr>
              <w:spacing w:line="300" w:lineRule="exact"/>
              <w:jc w:val="left"/>
              <w:rPr>
                <w:rFonts w:ascii="Times New Roman" w:hAnsi="Times New Roman" w:eastAsia="方正书宋_GBK" w:cs="Times New Roman"/>
              </w:rPr>
            </w:pPr>
            <w:r>
              <w:rPr>
                <w:rFonts w:hint="eastAsia" w:ascii="仿宋" w:hAnsi="仿宋" w:eastAsia="仿宋" w:cs="仿宋"/>
                <w:sz w:val="32"/>
                <w:szCs w:val="32"/>
              </w:rPr>
              <w:t>财政拨款</w:t>
            </w:r>
          </w:p>
        </w:tc>
      </w:tr>
    </w:tbl>
    <w:p w14:paraId="12CFED9A">
      <w:pPr>
        <w:widowControl/>
        <w:spacing w:line="360" w:lineRule="auto"/>
        <w:jc w:val="left"/>
        <w:rPr>
          <w:rFonts w:ascii="仿宋" w:hAnsi="仿宋" w:eastAsia="仿宋" w:cs="仿宋"/>
          <w:bCs/>
          <w:kern w:val="0"/>
          <w:sz w:val="32"/>
          <w:szCs w:val="32"/>
        </w:rPr>
      </w:pPr>
    </w:p>
    <w:p w14:paraId="56F56D92">
      <w:pPr>
        <w:widowControl/>
        <w:spacing w:line="360" w:lineRule="auto"/>
        <w:ind w:firstLine="640" w:firstLineChars="200"/>
        <w:jc w:val="left"/>
        <w:rPr>
          <w:rFonts w:ascii="黑体" w:hAnsi="黑体" w:eastAsia="黑体" w:cs="黑体"/>
          <w:kern w:val="0"/>
          <w:sz w:val="32"/>
          <w:szCs w:val="32"/>
        </w:rPr>
      </w:pPr>
      <w:r>
        <w:rPr>
          <w:rFonts w:hint="eastAsia" w:ascii="黑体" w:hAnsi="黑体" w:eastAsia="黑体" w:cs="黑体"/>
          <w:kern w:val="0"/>
          <w:sz w:val="32"/>
          <w:szCs w:val="32"/>
        </w:rPr>
        <w:t>二、预算安排总体情况</w:t>
      </w:r>
    </w:p>
    <w:p w14:paraId="3619C25C">
      <w:pPr>
        <w:spacing w:line="560" w:lineRule="exact"/>
        <w:ind w:firstLine="640"/>
        <w:rPr>
          <w:rFonts w:ascii="仿宋" w:hAnsi="仿宋" w:eastAsia="仿宋" w:cs="仿宋_GB2312"/>
          <w:sz w:val="32"/>
          <w:szCs w:val="32"/>
        </w:rPr>
      </w:pPr>
      <w:r>
        <w:rPr>
          <w:rFonts w:hint="eastAsia" w:ascii="仿宋" w:hAnsi="仿宋" w:eastAsia="仿宋" w:cs="仿宋_GB2312"/>
          <w:sz w:val="32"/>
          <w:szCs w:val="32"/>
        </w:rPr>
        <w:t>按照预算管理有关规定，目前我部门预算的编制实行综合预算制度，即全部收入和支出都反映在预算中。</w:t>
      </w:r>
    </w:p>
    <w:p w14:paraId="52AF4B6B">
      <w:pPr>
        <w:spacing w:line="560" w:lineRule="exact"/>
        <w:ind w:firstLine="640"/>
        <w:rPr>
          <w:rFonts w:ascii="仿宋" w:hAnsi="仿宋" w:eastAsia="仿宋" w:cs="Times New Roman"/>
          <w:b/>
          <w:bCs/>
          <w:sz w:val="32"/>
          <w:szCs w:val="32"/>
        </w:rPr>
      </w:pPr>
      <w:r>
        <w:rPr>
          <w:rFonts w:ascii="仿宋" w:hAnsi="仿宋" w:eastAsia="仿宋" w:cs="楷体"/>
          <w:b/>
          <w:bCs/>
          <w:sz w:val="32"/>
          <w:szCs w:val="32"/>
        </w:rPr>
        <w:t>1</w:t>
      </w:r>
      <w:r>
        <w:rPr>
          <w:rFonts w:hint="eastAsia" w:ascii="仿宋" w:hAnsi="仿宋" w:eastAsia="仿宋" w:cs="楷体"/>
          <w:b/>
          <w:bCs/>
          <w:sz w:val="32"/>
          <w:szCs w:val="32"/>
        </w:rPr>
        <w:t>、收入说明</w:t>
      </w:r>
    </w:p>
    <w:p w14:paraId="28C5287F">
      <w:pPr>
        <w:ind w:firstLine="640" w:firstLineChars="200"/>
        <w:jc w:val="left"/>
        <w:rPr>
          <w:rFonts w:ascii="仿宋" w:hAnsi="仿宋" w:eastAsia="仿宋" w:cs="仿宋_GB2312"/>
          <w:kern w:val="0"/>
          <w:sz w:val="32"/>
          <w:szCs w:val="32"/>
        </w:rPr>
      </w:pPr>
      <w:r>
        <w:rPr>
          <w:rFonts w:hint="eastAsia" w:ascii="仿宋" w:hAnsi="仿宋" w:eastAsia="仿宋" w:cs="仿宋_GB2312"/>
          <w:sz w:val="32"/>
          <w:szCs w:val="32"/>
        </w:rPr>
        <w:t>2020年预算收入</w:t>
      </w:r>
      <w:r>
        <w:rPr>
          <w:rFonts w:hint="eastAsia" w:ascii="仿宋" w:hAnsi="仿宋" w:eastAsia="仿宋" w:cs="仿宋_GB2312"/>
          <w:kern w:val="0"/>
          <w:sz w:val="32"/>
          <w:szCs w:val="32"/>
        </w:rPr>
        <w:t>388.06</w:t>
      </w:r>
      <w:r>
        <w:rPr>
          <w:rFonts w:hint="eastAsia" w:ascii="仿宋" w:hAnsi="仿宋" w:eastAsia="仿宋" w:cs="仿宋_GB2312"/>
          <w:sz w:val="32"/>
          <w:szCs w:val="32"/>
        </w:rPr>
        <w:t>万元，其中：一般公共预算收入</w:t>
      </w:r>
      <w:r>
        <w:rPr>
          <w:rFonts w:hint="eastAsia" w:ascii="仿宋" w:hAnsi="仿宋" w:eastAsia="仿宋" w:cs="仿宋_GB2312"/>
          <w:kern w:val="0"/>
          <w:sz w:val="32"/>
          <w:szCs w:val="32"/>
        </w:rPr>
        <w:t>388.06</w:t>
      </w:r>
      <w:r>
        <w:rPr>
          <w:rFonts w:hint="eastAsia" w:ascii="仿宋" w:hAnsi="仿宋" w:eastAsia="仿宋" w:cs="仿宋_GB2312"/>
          <w:sz w:val="32"/>
          <w:szCs w:val="32"/>
        </w:rPr>
        <w:t>万元，政府性基金收入0万元，国有资本经营收入0万元，事业收入0万元，其他收入0万元。</w:t>
      </w:r>
    </w:p>
    <w:p w14:paraId="3BF83E34">
      <w:pPr>
        <w:spacing w:line="560" w:lineRule="exact"/>
        <w:ind w:firstLine="640"/>
        <w:rPr>
          <w:rFonts w:ascii="仿宋" w:hAnsi="仿宋" w:eastAsia="仿宋" w:cs="Times New Roman"/>
          <w:b/>
          <w:bCs/>
          <w:sz w:val="32"/>
          <w:szCs w:val="32"/>
        </w:rPr>
      </w:pPr>
      <w:r>
        <w:rPr>
          <w:rFonts w:ascii="仿宋" w:hAnsi="仿宋" w:eastAsia="仿宋" w:cs="楷体"/>
          <w:b/>
          <w:bCs/>
          <w:sz w:val="32"/>
          <w:szCs w:val="32"/>
        </w:rPr>
        <w:t>2</w:t>
      </w:r>
      <w:r>
        <w:rPr>
          <w:rFonts w:hint="eastAsia" w:ascii="仿宋" w:hAnsi="仿宋" w:eastAsia="仿宋" w:cs="楷体"/>
          <w:b/>
          <w:bCs/>
          <w:sz w:val="32"/>
          <w:szCs w:val="32"/>
        </w:rPr>
        <w:t>、支出说明</w:t>
      </w:r>
    </w:p>
    <w:p w14:paraId="3FF2B4A4">
      <w:pPr>
        <w:ind w:firstLine="640" w:firstLineChars="200"/>
        <w:jc w:val="left"/>
        <w:rPr>
          <w:rFonts w:ascii="仿宋" w:hAnsi="仿宋" w:eastAsia="仿宋" w:cs="仿宋_GB2312"/>
          <w:sz w:val="32"/>
          <w:szCs w:val="32"/>
        </w:rPr>
      </w:pPr>
      <w:r>
        <w:rPr>
          <w:rFonts w:hint="eastAsia" w:ascii="仿宋" w:hAnsi="仿宋" w:eastAsia="仿宋" w:cs="仿宋_GB2312"/>
          <w:sz w:val="32"/>
          <w:szCs w:val="32"/>
        </w:rPr>
        <w:t>2020年支出预算</w:t>
      </w:r>
      <w:r>
        <w:rPr>
          <w:rFonts w:hint="eastAsia" w:ascii="仿宋" w:hAnsi="仿宋" w:eastAsia="仿宋" w:cs="仿宋_GB2312"/>
          <w:kern w:val="0"/>
          <w:sz w:val="32"/>
          <w:szCs w:val="32"/>
        </w:rPr>
        <w:t>388.06</w:t>
      </w:r>
      <w:r>
        <w:rPr>
          <w:rFonts w:hint="eastAsia" w:ascii="仿宋" w:hAnsi="仿宋" w:eastAsia="仿宋" w:cs="仿宋_GB2312"/>
          <w:sz w:val="32"/>
          <w:szCs w:val="32"/>
        </w:rPr>
        <w:t>万元，其中基本支出</w:t>
      </w:r>
      <w:r>
        <w:rPr>
          <w:rFonts w:hint="eastAsia" w:ascii="仿宋" w:hAnsi="仿宋" w:eastAsia="仿宋" w:cs="仿宋_GB2312"/>
          <w:kern w:val="0"/>
          <w:sz w:val="32"/>
          <w:szCs w:val="32"/>
        </w:rPr>
        <w:t>256.72</w:t>
      </w:r>
      <w:r>
        <w:rPr>
          <w:rFonts w:hint="eastAsia" w:ascii="仿宋" w:hAnsi="仿宋" w:eastAsia="仿宋" w:cs="仿宋_GB2312"/>
          <w:sz w:val="32"/>
          <w:szCs w:val="32"/>
        </w:rPr>
        <w:t>万元，包括人员经费和日常公用经费；项目支出131.34元。</w:t>
      </w:r>
    </w:p>
    <w:p w14:paraId="3C1FEDAB">
      <w:pPr>
        <w:spacing w:line="560" w:lineRule="exact"/>
        <w:ind w:firstLine="640"/>
        <w:rPr>
          <w:rFonts w:ascii="仿宋" w:hAnsi="仿宋" w:eastAsia="仿宋" w:cs="Times New Roman"/>
          <w:b/>
          <w:bCs/>
          <w:sz w:val="32"/>
          <w:szCs w:val="32"/>
        </w:rPr>
      </w:pPr>
      <w:r>
        <w:rPr>
          <w:rFonts w:ascii="仿宋" w:hAnsi="仿宋" w:eastAsia="仿宋" w:cs="楷体"/>
          <w:b/>
          <w:bCs/>
          <w:sz w:val="32"/>
          <w:szCs w:val="32"/>
        </w:rPr>
        <w:t>3</w:t>
      </w:r>
      <w:r>
        <w:rPr>
          <w:rFonts w:hint="eastAsia" w:ascii="仿宋" w:hAnsi="仿宋" w:eastAsia="仿宋" w:cs="楷体"/>
          <w:b/>
          <w:bCs/>
          <w:sz w:val="32"/>
          <w:szCs w:val="32"/>
        </w:rPr>
        <w:t>、比上年增减变化情况</w:t>
      </w:r>
    </w:p>
    <w:p w14:paraId="410CE9B0">
      <w:pPr>
        <w:spacing w:line="560" w:lineRule="exact"/>
        <w:ind w:firstLine="640"/>
        <w:rPr>
          <w:rFonts w:ascii="仿宋" w:hAnsi="仿宋" w:eastAsia="仿宋" w:cs="仿宋"/>
          <w:sz w:val="32"/>
          <w:szCs w:val="32"/>
        </w:rPr>
      </w:pPr>
      <w:r>
        <w:rPr>
          <w:rFonts w:hint="eastAsia" w:ascii="仿宋" w:hAnsi="仿宋" w:eastAsia="仿宋" w:cs="仿宋_GB2312"/>
          <w:sz w:val="32"/>
          <w:szCs w:val="32"/>
        </w:rPr>
        <w:t>2020年预算收支安排</w:t>
      </w:r>
      <w:r>
        <w:rPr>
          <w:rFonts w:hint="eastAsia" w:ascii="仿宋" w:hAnsi="仿宋" w:eastAsia="仿宋" w:cs="仿宋_GB2312"/>
          <w:kern w:val="0"/>
          <w:sz w:val="32"/>
          <w:szCs w:val="32"/>
        </w:rPr>
        <w:t>388.06</w:t>
      </w:r>
      <w:r>
        <w:rPr>
          <w:rFonts w:hint="eastAsia" w:ascii="仿宋" w:hAnsi="仿宋" w:eastAsia="仿宋" w:cs="仿宋_GB2312"/>
          <w:sz w:val="32"/>
          <w:szCs w:val="32"/>
        </w:rPr>
        <w:t>万元，较2019年预算增加125.89万元，其中基本支出增加5.45万元，主要是正常工资调整；项目支出增加125.89万元，</w:t>
      </w:r>
      <w:r>
        <w:rPr>
          <w:rFonts w:hint="eastAsia" w:ascii="仿宋" w:hAnsi="仿宋" w:eastAsia="仿宋" w:cs="仿宋_GB2312"/>
          <w:kern w:val="0"/>
          <w:sz w:val="32"/>
          <w:szCs w:val="32"/>
        </w:rPr>
        <w:t>主要是乡镇和村级转移支付增加</w:t>
      </w:r>
      <w:r>
        <w:rPr>
          <w:rFonts w:hint="eastAsia" w:ascii="仿宋" w:hAnsi="仿宋" w:eastAsia="仿宋" w:cs="仿宋"/>
          <w:sz w:val="32"/>
          <w:szCs w:val="32"/>
        </w:rPr>
        <w:t>。</w:t>
      </w:r>
    </w:p>
    <w:p w14:paraId="5F18D173">
      <w:pPr>
        <w:widowControl/>
        <w:spacing w:line="360" w:lineRule="auto"/>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三、机关运行经费情况</w:t>
      </w:r>
    </w:p>
    <w:p w14:paraId="50575478">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rPr>
        <w:t>日常公用经费安排25.7万元，包括：办公费、差旅费、水费、电费、邮电费，其他支出等。</w:t>
      </w:r>
    </w:p>
    <w:p w14:paraId="53307FFC">
      <w:pPr>
        <w:spacing w:line="560" w:lineRule="exact"/>
        <w:ind w:firstLine="640"/>
        <w:rPr>
          <w:rFonts w:ascii="黑体" w:hAnsi="黑体" w:eastAsia="黑体" w:cs="黑体"/>
          <w:bCs/>
          <w:kern w:val="0"/>
          <w:sz w:val="32"/>
          <w:szCs w:val="32"/>
        </w:rPr>
      </w:pPr>
      <w:r>
        <w:rPr>
          <w:rFonts w:hint="eastAsia" w:ascii="黑体" w:hAnsi="黑体" w:eastAsia="黑体" w:cs="黑体"/>
          <w:bCs/>
          <w:kern w:val="0"/>
          <w:sz w:val="32"/>
          <w:szCs w:val="32"/>
        </w:rPr>
        <w:t>四、“三公”经费预算情况</w:t>
      </w:r>
    </w:p>
    <w:p w14:paraId="73BDB85D">
      <w:pPr>
        <w:spacing w:line="560" w:lineRule="exact"/>
        <w:ind w:firstLine="640"/>
        <w:rPr>
          <w:rFonts w:ascii="仿宋" w:hAnsi="仿宋" w:eastAsia="仿宋" w:cs="仿宋_GB2312"/>
          <w:kern w:val="0"/>
          <w:sz w:val="32"/>
          <w:szCs w:val="32"/>
        </w:rPr>
      </w:pPr>
      <w:r>
        <w:rPr>
          <w:rFonts w:hint="eastAsia" w:ascii="仿宋" w:hAnsi="仿宋" w:eastAsia="仿宋" w:cs="仿宋_GB2312"/>
          <w:kern w:val="0"/>
          <w:sz w:val="32"/>
          <w:szCs w:val="32"/>
        </w:rPr>
        <w:t>2020年度“三公”预算支出1.3万元，其中，因公出国（境）费0元，与2019年相比持平，安排公务用车维护费1.3万元，（其中公务用车购置费0万元，公务用车运行维护费0万元），比2019年减少了0.3%。原因为树立过紧日子的思想，预算经费减少。公务接待费0万元，与2019年持平。</w:t>
      </w:r>
    </w:p>
    <w:p w14:paraId="67F130B6">
      <w:pPr>
        <w:spacing w:line="560" w:lineRule="exact"/>
        <w:ind w:firstLine="640"/>
        <w:rPr>
          <w:rFonts w:ascii="仿宋" w:hAnsi="仿宋" w:eastAsia="仿宋" w:cs="仿宋_GB2312"/>
          <w:kern w:val="0"/>
          <w:sz w:val="32"/>
          <w:szCs w:val="32"/>
        </w:rPr>
      </w:pPr>
    </w:p>
    <w:p w14:paraId="17614E9F">
      <w:pPr>
        <w:spacing w:line="560" w:lineRule="exact"/>
        <w:ind w:firstLine="640"/>
        <w:rPr>
          <w:rFonts w:ascii="仿宋" w:hAnsi="仿宋" w:eastAsia="仿宋" w:cs="仿宋_GB2312"/>
          <w:kern w:val="0"/>
          <w:sz w:val="32"/>
          <w:szCs w:val="32"/>
        </w:rPr>
      </w:pPr>
    </w:p>
    <w:p w14:paraId="30D43798">
      <w:pPr>
        <w:widowControl/>
        <w:numPr>
          <w:ilvl w:val="0"/>
          <w:numId w:val="1"/>
        </w:numPr>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绩效预算情况</w:t>
      </w:r>
    </w:p>
    <w:p w14:paraId="756E7B21">
      <w:pPr>
        <w:spacing w:line="560" w:lineRule="exact"/>
        <w:jc w:val="left"/>
        <w:rPr>
          <w:rFonts w:ascii="楷体_GB2312" w:hAnsi="Times New Roman" w:eastAsia="楷体_GB2312"/>
          <w:b/>
          <w:sz w:val="32"/>
          <w:szCs w:val="32"/>
        </w:rPr>
      </w:pPr>
      <w:r>
        <w:rPr>
          <w:rFonts w:hint="eastAsia" w:ascii="楷体_GB2312" w:hAnsi="Times New Roman" w:eastAsia="楷体_GB2312"/>
          <w:b/>
          <w:sz w:val="32"/>
          <w:szCs w:val="32"/>
        </w:rPr>
        <w:t>（一）总体绩效目标：</w:t>
      </w:r>
    </w:p>
    <w:p w14:paraId="216D0B50">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w:t>
      </w:r>
      <w:r>
        <w:rPr>
          <w:rFonts w:hint="eastAsia" w:ascii="仿宋_GB2312" w:hAnsi="Times New Roman" w:eastAsia="仿宋_GB2312"/>
          <w:sz w:val="32"/>
          <w:szCs w:val="32"/>
        </w:rPr>
        <w:t>、制定本行政和区域内的经济和社会发展计划，大力培育、发展各类经济服务实体和社会中介组织，推动农村社会化服务体系的发展与完善。</w:t>
      </w:r>
    </w:p>
    <w:p w14:paraId="2D21B54F">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2</w:t>
      </w:r>
      <w:r>
        <w:rPr>
          <w:rFonts w:hint="eastAsia" w:ascii="仿宋_GB2312" w:hAnsi="Times New Roman" w:eastAsia="仿宋_GB2312"/>
          <w:sz w:val="32"/>
          <w:szCs w:val="32"/>
        </w:rPr>
        <w:t>、加强土地管理、乡村规划建设、生态和生活环境管理与保护。</w:t>
      </w:r>
    </w:p>
    <w:p w14:paraId="3F22DB84">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3</w:t>
      </w:r>
      <w:r>
        <w:rPr>
          <w:rFonts w:hint="eastAsia" w:ascii="仿宋_GB2312" w:hAnsi="Times New Roman" w:eastAsia="仿宋_GB2312"/>
          <w:sz w:val="32"/>
          <w:szCs w:val="32"/>
        </w:rPr>
        <w:t>、依法管理乡财政，负责本级财政预决算。</w:t>
      </w:r>
    </w:p>
    <w:p w14:paraId="58B0D7DD">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4</w:t>
      </w:r>
      <w:r>
        <w:rPr>
          <w:rFonts w:hint="eastAsia" w:ascii="仿宋_GB2312" w:hAnsi="Times New Roman" w:eastAsia="仿宋_GB2312"/>
          <w:sz w:val="32"/>
          <w:szCs w:val="32"/>
        </w:rPr>
        <w:t>、管理和发展文化教育、农业技术、广播、文化、体育、卫生等事业。</w:t>
      </w:r>
    </w:p>
    <w:p w14:paraId="522F00AD">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5</w:t>
      </w:r>
      <w:r>
        <w:rPr>
          <w:rFonts w:hint="eastAsia" w:ascii="仿宋_GB2312" w:hAnsi="Times New Roman" w:eastAsia="仿宋_GB2312"/>
          <w:sz w:val="32"/>
          <w:szCs w:val="32"/>
        </w:rPr>
        <w:t>、保护国有、集体、个人合法财产和公民的人身权利。</w:t>
      </w:r>
    </w:p>
    <w:p w14:paraId="642136B4">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6</w:t>
      </w:r>
      <w:r>
        <w:rPr>
          <w:rFonts w:hint="eastAsia" w:ascii="仿宋_GB2312" w:hAnsi="Times New Roman" w:eastAsia="仿宋_GB2312"/>
          <w:sz w:val="32"/>
          <w:szCs w:val="32"/>
        </w:rPr>
        <w:t>、开展社会主义民主法制教育，协调管理本区域内的司法、公安、工商、税务、交通、邮电和电力排灌、金融等部门的工作。</w:t>
      </w:r>
    </w:p>
    <w:p w14:paraId="33708F39">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7</w:t>
      </w:r>
      <w:r>
        <w:rPr>
          <w:rFonts w:hint="eastAsia" w:ascii="仿宋_GB2312" w:hAnsi="Times New Roman" w:eastAsia="仿宋_GB2312"/>
          <w:sz w:val="32"/>
          <w:szCs w:val="32"/>
        </w:rPr>
        <w:t>、加强社会治安，调节民事纠纷。保护妇女、儿童和老年人的合法权益。</w:t>
      </w:r>
    </w:p>
    <w:p w14:paraId="0C44386A">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8</w:t>
      </w:r>
      <w:r>
        <w:rPr>
          <w:rFonts w:hint="eastAsia" w:ascii="仿宋_GB2312" w:hAnsi="Times New Roman" w:eastAsia="仿宋_GB2312"/>
          <w:sz w:val="32"/>
          <w:szCs w:val="32"/>
        </w:rPr>
        <w:t>、执行计划生育政策，控制人口增长。</w:t>
      </w:r>
    </w:p>
    <w:p w14:paraId="6E20AB94">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9</w:t>
      </w:r>
      <w:r>
        <w:rPr>
          <w:rFonts w:hint="eastAsia" w:ascii="仿宋_GB2312" w:hAnsi="Times New Roman" w:eastAsia="仿宋_GB2312"/>
          <w:sz w:val="32"/>
          <w:szCs w:val="32"/>
        </w:rPr>
        <w:t>、管理民政工作，搞好社会福利事业，推行农村社会养老保险工作。办理兵役事宜。</w:t>
      </w:r>
    </w:p>
    <w:p w14:paraId="60796438">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10</w:t>
      </w:r>
      <w:r>
        <w:rPr>
          <w:rFonts w:hint="eastAsia" w:ascii="仿宋_GB2312" w:hAnsi="Times New Roman" w:eastAsia="仿宋_GB2312"/>
          <w:sz w:val="32"/>
          <w:szCs w:val="32"/>
        </w:rPr>
        <w:t>、承办上级人民政府交办的其他事项。</w:t>
      </w:r>
    </w:p>
    <w:p w14:paraId="5075FDBF">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11</w:t>
      </w:r>
      <w:r>
        <w:rPr>
          <w:rFonts w:hint="eastAsia" w:ascii="仿宋_GB2312" w:hAnsi="Times New Roman" w:eastAsia="仿宋_GB2312"/>
          <w:sz w:val="32"/>
          <w:szCs w:val="32"/>
        </w:rPr>
        <w:t>、贯彻党的路线、方针、政策和上级党组织的指示、决定，执行镇党员代表大会党员大会决议，讨论决定本想的重大问题。</w:t>
      </w:r>
    </w:p>
    <w:p w14:paraId="4C447B97">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12</w:t>
      </w:r>
      <w:r>
        <w:rPr>
          <w:rFonts w:hint="eastAsia" w:ascii="仿宋_GB2312" w:hAnsi="Times New Roman" w:eastAsia="仿宋_GB2312"/>
          <w:sz w:val="32"/>
          <w:szCs w:val="32"/>
        </w:rPr>
        <w:t>、抓好乡党委和村级党组织的思想、组织和作风建设</w:t>
      </w:r>
      <w:r>
        <w:rPr>
          <w:rFonts w:ascii="仿宋_GB2312" w:hAnsi="Times New Roman" w:eastAsia="仿宋_GB2312"/>
          <w:sz w:val="32"/>
          <w:szCs w:val="32"/>
        </w:rPr>
        <w:t>.</w:t>
      </w:r>
    </w:p>
    <w:p w14:paraId="2776B32D">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13</w:t>
      </w:r>
      <w:r>
        <w:rPr>
          <w:rFonts w:hint="eastAsia" w:ascii="仿宋_GB2312" w:hAnsi="Times New Roman" w:eastAsia="仿宋_GB2312"/>
          <w:sz w:val="32"/>
          <w:szCs w:val="32"/>
        </w:rPr>
        <w:t>、领导乡经济建设，引导农村富余劳动力向小城镇转移，促进农村的现代化建设。制定本乡经济和社会发展规划并组织实施。</w:t>
      </w:r>
    </w:p>
    <w:p w14:paraId="033208AC">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14</w:t>
      </w:r>
      <w:r>
        <w:rPr>
          <w:rFonts w:hint="eastAsia" w:ascii="仿宋_GB2312" w:hAnsi="Times New Roman" w:eastAsia="仿宋_GB2312"/>
          <w:sz w:val="32"/>
          <w:szCs w:val="32"/>
        </w:rPr>
        <w:t>、加强农村社会主义民主政治和法制建设，依法行政，规范管理。加强农村社会治安综合治理。贯彻执行党和国家的计划生育政策。</w:t>
      </w:r>
    </w:p>
    <w:p w14:paraId="6265B4C3">
      <w:pPr>
        <w:autoSpaceDE w:val="0"/>
        <w:autoSpaceDN w:val="0"/>
        <w:adjustRightInd w:val="0"/>
        <w:spacing w:line="560" w:lineRule="exact"/>
        <w:ind w:firstLine="640" w:firstLineChars="200"/>
        <w:rPr>
          <w:rFonts w:ascii="仿宋_GB2312" w:hAnsi="Times New Roman" w:eastAsia="仿宋_GB2312"/>
          <w:sz w:val="32"/>
          <w:szCs w:val="32"/>
        </w:rPr>
      </w:pPr>
      <w:r>
        <w:rPr>
          <w:rFonts w:ascii="仿宋_GB2312" w:hAnsi="Times New Roman" w:eastAsia="仿宋_GB2312"/>
          <w:sz w:val="32"/>
          <w:szCs w:val="32"/>
        </w:rPr>
        <w:t xml:space="preserve"> 15</w:t>
      </w:r>
      <w:r>
        <w:rPr>
          <w:rFonts w:hint="eastAsia" w:ascii="仿宋_GB2312" w:hAnsi="Times New Roman" w:eastAsia="仿宋_GB2312"/>
          <w:sz w:val="32"/>
          <w:szCs w:val="32"/>
        </w:rPr>
        <w:t>、领导并支持镇政府依法行使各项行政管理职权。</w:t>
      </w:r>
    </w:p>
    <w:p w14:paraId="798252BB">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16</w:t>
      </w:r>
      <w:r>
        <w:rPr>
          <w:rFonts w:hint="eastAsia" w:ascii="仿宋_GB2312" w:hAnsi="Times New Roman" w:eastAsia="仿宋_GB2312"/>
          <w:sz w:val="32"/>
          <w:szCs w:val="32"/>
        </w:rPr>
        <w:t>、领导人大主席团及经济组织、人民武装和共青团、妇联等人民团体的工作。</w:t>
      </w:r>
    </w:p>
    <w:p w14:paraId="59E3AF24">
      <w:pPr>
        <w:autoSpaceDE w:val="0"/>
        <w:autoSpaceDN w:val="0"/>
        <w:adjustRightInd w:val="0"/>
        <w:spacing w:line="560" w:lineRule="exact"/>
        <w:ind w:left="198" w:firstLine="640" w:firstLineChars="200"/>
        <w:rPr>
          <w:rFonts w:ascii="仿宋_GB2312" w:hAnsi="Times New Roman" w:eastAsia="仿宋_GB2312"/>
          <w:sz w:val="32"/>
          <w:szCs w:val="32"/>
        </w:rPr>
      </w:pPr>
      <w:r>
        <w:rPr>
          <w:rFonts w:ascii="仿宋_GB2312" w:hAnsi="Times New Roman" w:eastAsia="仿宋_GB2312"/>
          <w:sz w:val="32"/>
          <w:szCs w:val="32"/>
        </w:rPr>
        <w:t>17</w:t>
      </w:r>
      <w:r>
        <w:rPr>
          <w:rFonts w:hint="eastAsia" w:ascii="仿宋_GB2312" w:hAnsi="Times New Roman" w:eastAsia="仿宋_GB2312"/>
          <w:sz w:val="32"/>
          <w:szCs w:val="32"/>
        </w:rPr>
        <w:t>、抓好上级有关部门派给乡里的工作</w:t>
      </w:r>
    </w:p>
    <w:p w14:paraId="50C888FC">
      <w:pPr>
        <w:autoSpaceDE w:val="0"/>
        <w:autoSpaceDN w:val="0"/>
        <w:adjustRightInd w:val="0"/>
        <w:spacing w:line="560" w:lineRule="exact"/>
        <w:rPr>
          <w:rFonts w:ascii="Calibri" w:hAnsi="Calibri" w:eastAsia="Calibri"/>
          <w:b/>
          <w:sz w:val="32"/>
          <w:szCs w:val="32"/>
        </w:rPr>
      </w:pPr>
      <w:r>
        <w:rPr>
          <w:rFonts w:hint="eastAsia" w:ascii="宋体" w:hAnsi="宋体"/>
          <w:b/>
          <w:sz w:val="32"/>
          <w:szCs w:val="32"/>
        </w:rPr>
        <w:t>(二)</w:t>
      </w:r>
      <w:r>
        <w:rPr>
          <w:rFonts w:ascii="宋体" w:hAnsi="宋体" w:eastAsia="宋体"/>
          <w:b/>
          <w:sz w:val="32"/>
          <w:szCs w:val="32"/>
        </w:rPr>
        <w:t>分项绩效目标</w:t>
      </w:r>
    </w:p>
    <w:p w14:paraId="1999246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pPr>
    </w:p>
    <w:p w14:paraId="4AD0F81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1、全面推进农村的基层政权建设，强化基层政理,提供公共服务,大力加强基层政权建设稳定。逐步由管理型向服务型转变。</w:t>
      </w:r>
    </w:p>
    <w:p w14:paraId="1861856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2、加强对农村劳动力的职业培就业及劳动技能培训,扩大农村富余劳动力就业。2020年计划解决剩余劳动力140人，提高就业率5.1%。</w:t>
      </w:r>
    </w:p>
    <w:p w14:paraId="2666CE2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3、民生事务管理工作，加大拥军优属、救灾扶贫,妥善安置残疾人就业,多安置贫困人口到公益性岗位就业。</w:t>
      </w:r>
    </w:p>
    <w:p w14:paraId="3EE6BC3A">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4、积极宣传国家的方针政策，不断改进文化广播各项业务工作。活跃党委、政府及上级有关部门交办的宣传国家的方针政农民文化生办的其他工作。活跃农村文化农村文化活，加强社会主义精神文明建设，多举办文化宣传活动。</w:t>
      </w:r>
    </w:p>
    <w:p w14:paraId="7D77FC1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5、农村环境综合治理，加强农村环境综合治理工作,建设美好生活家园。通过修路、改厕所、治理坑塘等提高环境卫生，提高群众生活素质，达到群众满意。</w:t>
      </w:r>
    </w:p>
    <w:p w14:paraId="27C7D43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6、成立防火防汛应急组织,储备确保群众防火、防汛等突发应急物资,保障人民群众财产确保群众生命、财产安全,避免发生险情发生险情。</w:t>
      </w:r>
    </w:p>
    <w:p w14:paraId="4E383F7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p>
    <w:p w14:paraId="1A8E6A5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r>
        <w:rPr>
          <w:rFonts w:hint="eastAsia" w:ascii="仿宋" w:hAnsi="仿宋" w:eastAsia="仿宋" w:cs="仿宋"/>
          <w:sz w:val="32"/>
          <w:szCs w:val="32"/>
        </w:rPr>
        <w:t xml:space="preserve"> </w:t>
      </w:r>
    </w:p>
    <w:p w14:paraId="56A1E66C">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p>
    <w:p w14:paraId="7E26C8C2">
      <w:pPr>
        <w:spacing w:line="560" w:lineRule="exact"/>
        <w:ind w:firstLine="643" w:firstLineChars="200"/>
        <w:jc w:val="left"/>
        <w:outlineLvl w:val="0"/>
        <w:rPr>
          <w:rFonts w:ascii="楷体_GB2312" w:hAnsi="黑体" w:eastAsia="楷体_GB2312"/>
          <w:b/>
          <w:sz w:val="32"/>
          <w:szCs w:val="32"/>
        </w:rPr>
      </w:pPr>
    </w:p>
    <w:p w14:paraId="663FD176">
      <w:pPr>
        <w:spacing w:line="560" w:lineRule="exact"/>
        <w:jc w:val="left"/>
        <w:outlineLvl w:val="0"/>
        <w:rPr>
          <w:rFonts w:ascii="楷体_GB2312" w:hAnsi="黑体" w:eastAsia="楷体_GB2312"/>
          <w:b/>
          <w:sz w:val="32"/>
          <w:szCs w:val="32"/>
        </w:rPr>
      </w:pPr>
      <w:r>
        <w:rPr>
          <w:rFonts w:hint="eastAsia" w:ascii="楷体_GB2312" w:hAnsi="黑体" w:eastAsia="楷体_GB2312"/>
          <w:b/>
          <w:sz w:val="32"/>
          <w:szCs w:val="32"/>
        </w:rPr>
        <w:t>（三）工作保障措施</w:t>
      </w:r>
    </w:p>
    <w:p w14:paraId="7604D4B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1、抓扶贫强产业推进结构调整。</w:t>
      </w:r>
    </w:p>
    <w:p w14:paraId="00DE7F8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r>
        <w:rPr>
          <w:rFonts w:hint="eastAsia" w:ascii="仿宋" w:hAnsi="仿宋" w:eastAsia="仿宋" w:cs="仿宋"/>
          <w:sz w:val="32"/>
          <w:szCs w:val="32"/>
        </w:rPr>
        <w:t xml:space="preserve">    发扬"优势区位、整村推进、连片发展"的扶贫工作思路抢抓机遇进行精准扶贫指导24个扶贫村结合一事一议、以工代赈等帮扶政策进行科学规划。</w:t>
      </w:r>
    </w:p>
    <w:p w14:paraId="1BE88644">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2、抓民生促和谐,共享发展成果。</w:t>
      </w:r>
    </w:p>
    <w:p w14:paraId="0CBBB42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r>
        <w:rPr>
          <w:rFonts w:hint="eastAsia" w:ascii="仿宋" w:hAnsi="仿宋" w:eastAsia="仿宋" w:cs="仿宋"/>
          <w:sz w:val="32"/>
          <w:szCs w:val="32"/>
        </w:rPr>
        <w:t xml:space="preserve">    以抓民生为重点，加大工作力度,与扶贫措施落实相结合,落实各项惠民政策,从解决人民群众最关心、最现实的重点难点实事做起,完善基础设施、健全保障机制、提升服务水平,实现发展成果人人共享打造和谐乡镇。</w:t>
      </w:r>
    </w:p>
    <w:p w14:paraId="307C33CA">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3、加强环境治理和生态环境保护工作。</w:t>
      </w:r>
    </w:p>
    <w:p w14:paraId="01F7153E">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r>
        <w:rPr>
          <w:rFonts w:hint="eastAsia" w:ascii="仿宋" w:hAnsi="仿宋" w:eastAsia="仿宋" w:cs="仿宋"/>
          <w:sz w:val="32"/>
          <w:szCs w:val="32"/>
        </w:rPr>
        <w:t xml:space="preserve">    树立“大综治”格局理念将社会综合治理工作作为各项工作重中之重落实责任、健全制度、强化措施以建设“和谐环保乡镇”为目标,调整产业结构，发展绿化产业，减少污染，进一步清理小散乱污企业。加大禁烧力度，对农村各种陋俗进行疏导，移风易俗。开展保护蓝天行动。对加强创新社会管理,营造安全稳定和谐的绿色生产生态环境。</w:t>
      </w:r>
    </w:p>
    <w:p w14:paraId="6F2DA1B6">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4、促进农村经济发展，壮大村集体经济。</w:t>
      </w:r>
    </w:p>
    <w:p w14:paraId="68BA664B">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r>
        <w:rPr>
          <w:rFonts w:hint="eastAsia" w:ascii="仿宋" w:hAnsi="仿宋" w:eastAsia="仿宋" w:cs="仿宋"/>
          <w:sz w:val="32"/>
          <w:szCs w:val="32"/>
        </w:rPr>
        <w:t xml:space="preserve">    为更好为“三农”服务将工作放在促进经济发展、加强社会管理、提供公共服务和维护农村稳定四项职能上来,具体保障措施如下:促进经济发展。主要包括:(1)科学制定本地产业发展规划谋划适应乡镇实际的经济发展模式;(2)推进农业结构调整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与业合作组织和中介组织壮大第二、第三产业加快城镇化进程。</w:t>
      </w:r>
    </w:p>
    <w:p w14:paraId="3111F941">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ascii="仿宋" w:hAnsi="仿宋" w:eastAsia="仿宋" w:cs="仿宋"/>
          <w:sz w:val="32"/>
          <w:szCs w:val="32"/>
        </w:rPr>
      </w:pPr>
      <w:r>
        <w:rPr>
          <w:rFonts w:hint="eastAsia" w:ascii="仿宋" w:hAnsi="仿宋" w:eastAsia="仿宋" w:cs="仿宋"/>
          <w:sz w:val="32"/>
          <w:szCs w:val="32"/>
        </w:rPr>
        <w:t>5、提供公共服务，维护农村稳定。</w:t>
      </w:r>
    </w:p>
    <w:p w14:paraId="4578346D">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仿宋" w:hAnsi="仿宋" w:eastAsia="仿宋" w:cs="仿宋"/>
          <w:sz w:val="32"/>
          <w:szCs w:val="32"/>
        </w:rPr>
      </w:pPr>
      <w:r>
        <w:rPr>
          <w:rFonts w:hint="eastAsia" w:ascii="仿宋" w:hAnsi="仿宋" w:eastAsia="仿宋" w:cs="仿宋"/>
          <w:sz w:val="32"/>
          <w:szCs w:val="32"/>
        </w:rPr>
        <w:t xml:space="preserve">    主要包括:(1)加强农村市场体系建设增强市场服务能力;(2)加强农田水利基本建设增强农业抗御自然灾害的能力;(3)加强基础设施建设改善农民生产生活环境;(4)搞好科技、信息服务,提高农民现代信息技术水平;(5)加强对农村劳劢力的职业培训扩大农村富余劳劢力就业(6)协助县直有关部门做好农村社会保障工作建立健全农村合作医疗、低保、救济等制度,解除农民后顾之忧贯彻执行国家法律法规和政策,增强农民法律意识教育农民知法、懂法、守法;(7)建立完善协调联动机制搞好农村矛盾的纠纷排查调处,加强社会治安综合治理维护社会安全秩序;(8)妥善处理突发性、集体性事件协助司法机关打各类刑事犯罪活劢(9)抓好农村安全生产的监督。</w:t>
      </w:r>
    </w:p>
    <w:p w14:paraId="7EBAB4F7">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黑体" w:hAnsi="黑体" w:eastAsia="黑体" w:cs="Calibri"/>
          <w:kern w:val="0"/>
          <w:sz w:val="32"/>
          <w:szCs w:val="32"/>
        </w:rPr>
      </w:pPr>
      <w:r>
        <w:rPr>
          <w:rFonts w:hint="eastAsia" w:ascii="楷体_GB2312" w:hAnsi="黑体" w:eastAsia="楷体_GB2312"/>
          <w:b/>
          <w:sz w:val="32"/>
          <w:szCs w:val="32"/>
        </w:rPr>
        <w:t>（四）部门职责及工作活动绩效目标指标：</w:t>
      </w:r>
      <w:r>
        <w:rPr>
          <w:rFonts w:hint="eastAsia" w:ascii="仿宋" w:hAnsi="仿宋" w:eastAsia="仿宋"/>
          <w:sz w:val="32"/>
        </w:rPr>
        <w:tab/>
      </w:r>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0ED2B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7A5C20EB">
            <w:pPr>
              <w:spacing w:line="300" w:lineRule="exact"/>
              <w:jc w:val="left"/>
              <w:rPr>
                <w:rFonts w:ascii="仿宋" w:hAnsi="仿宋" w:eastAsia="仿宋"/>
                <w:sz w:val="24"/>
              </w:rPr>
            </w:pPr>
            <w:r>
              <w:rPr>
                <w:rFonts w:ascii="仿宋" w:hAnsi="仿宋" w:eastAsia="仿宋"/>
                <w:sz w:val="24"/>
              </w:rPr>
              <w:t>80</w:t>
            </w:r>
            <w:r>
              <w:rPr>
                <w:rFonts w:hint="eastAsia" w:ascii="仿宋" w:hAnsi="仿宋" w:eastAsia="仿宋"/>
                <w:sz w:val="24"/>
              </w:rPr>
              <w:t>7成安县柏寺营乡政府</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4B60E753">
            <w:pPr>
              <w:spacing w:line="300" w:lineRule="exact"/>
              <w:jc w:val="right"/>
              <w:rPr>
                <w:rFonts w:ascii="仿宋" w:hAnsi="仿宋" w:eastAsia="仿宋"/>
                <w:sz w:val="24"/>
              </w:rPr>
            </w:pPr>
            <w:r>
              <w:rPr>
                <w:rFonts w:hint="eastAsia" w:ascii="仿宋" w:hAnsi="仿宋" w:eastAsia="仿宋"/>
                <w:sz w:val="24"/>
              </w:rPr>
              <w:t>单位：万元</w:t>
            </w:r>
          </w:p>
        </w:tc>
      </w:tr>
      <w:tr w14:paraId="3DF4C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3238B783">
            <w:pPr>
              <w:spacing w:line="300" w:lineRule="exact"/>
              <w:jc w:val="center"/>
              <w:rPr>
                <w:rFonts w:ascii="仿宋" w:hAnsi="仿宋" w:eastAsia="仿宋"/>
                <w:b/>
              </w:rPr>
            </w:pPr>
            <w:r>
              <w:rPr>
                <w:rFonts w:hint="eastAsia" w:ascii="仿宋" w:hAnsi="仿宋" w:eastAsia="仿宋"/>
                <w:b/>
              </w:rPr>
              <w:t>职责活动</w:t>
            </w:r>
          </w:p>
        </w:tc>
        <w:tc>
          <w:tcPr>
            <w:tcW w:w="1276" w:type="dxa"/>
            <w:vMerge w:val="restart"/>
            <w:shd w:val="clear" w:color="auto" w:fill="auto"/>
            <w:vAlign w:val="center"/>
          </w:tcPr>
          <w:p w14:paraId="7EAEE26B">
            <w:pPr>
              <w:spacing w:line="300" w:lineRule="exact"/>
              <w:jc w:val="center"/>
              <w:rPr>
                <w:rFonts w:ascii="仿宋" w:hAnsi="仿宋" w:eastAsia="仿宋"/>
                <w:b/>
              </w:rPr>
            </w:pPr>
            <w:r>
              <w:rPr>
                <w:rFonts w:hint="eastAsia" w:ascii="仿宋" w:hAnsi="仿宋" w:eastAsia="仿宋"/>
                <w:b/>
              </w:rPr>
              <w:t>年度预算数</w:t>
            </w:r>
          </w:p>
        </w:tc>
        <w:tc>
          <w:tcPr>
            <w:tcW w:w="2976" w:type="dxa"/>
            <w:vMerge w:val="restart"/>
            <w:shd w:val="clear" w:color="auto" w:fill="auto"/>
            <w:vAlign w:val="center"/>
          </w:tcPr>
          <w:p w14:paraId="27F21A15">
            <w:pPr>
              <w:spacing w:line="300" w:lineRule="exact"/>
              <w:jc w:val="center"/>
              <w:rPr>
                <w:rFonts w:ascii="仿宋" w:hAnsi="仿宋" w:eastAsia="仿宋"/>
                <w:b/>
              </w:rPr>
            </w:pPr>
            <w:r>
              <w:rPr>
                <w:rFonts w:hint="eastAsia" w:ascii="仿宋" w:hAnsi="仿宋" w:eastAsia="仿宋"/>
                <w:b/>
              </w:rPr>
              <w:t>内容描述</w:t>
            </w:r>
          </w:p>
        </w:tc>
        <w:tc>
          <w:tcPr>
            <w:tcW w:w="2976" w:type="dxa"/>
            <w:vMerge w:val="restart"/>
            <w:shd w:val="clear" w:color="auto" w:fill="auto"/>
            <w:vAlign w:val="center"/>
          </w:tcPr>
          <w:p w14:paraId="1349D455">
            <w:pPr>
              <w:spacing w:line="300" w:lineRule="exact"/>
              <w:jc w:val="center"/>
              <w:rPr>
                <w:rFonts w:ascii="仿宋" w:hAnsi="仿宋" w:eastAsia="仿宋"/>
                <w:b/>
              </w:rPr>
            </w:pPr>
            <w:r>
              <w:rPr>
                <w:rFonts w:hint="eastAsia" w:ascii="仿宋" w:hAnsi="仿宋" w:eastAsia="仿宋"/>
                <w:b/>
              </w:rPr>
              <w:t>绩效目标</w:t>
            </w:r>
          </w:p>
        </w:tc>
        <w:tc>
          <w:tcPr>
            <w:tcW w:w="1417" w:type="dxa"/>
            <w:vMerge w:val="restart"/>
            <w:shd w:val="clear" w:color="auto" w:fill="auto"/>
            <w:vAlign w:val="center"/>
          </w:tcPr>
          <w:p w14:paraId="71581372">
            <w:pPr>
              <w:spacing w:line="300" w:lineRule="exact"/>
              <w:jc w:val="center"/>
              <w:rPr>
                <w:rFonts w:ascii="仿宋" w:hAnsi="仿宋" w:eastAsia="仿宋"/>
                <w:b/>
              </w:rPr>
            </w:pPr>
            <w:r>
              <w:rPr>
                <w:rFonts w:hint="eastAsia" w:ascii="仿宋" w:hAnsi="仿宋" w:eastAsia="仿宋"/>
                <w:b/>
              </w:rPr>
              <w:t>绩效指标</w:t>
            </w:r>
          </w:p>
        </w:tc>
        <w:tc>
          <w:tcPr>
            <w:tcW w:w="2948" w:type="dxa"/>
            <w:gridSpan w:val="4"/>
            <w:shd w:val="clear" w:color="auto" w:fill="auto"/>
            <w:vAlign w:val="center"/>
          </w:tcPr>
          <w:p w14:paraId="617E088D">
            <w:pPr>
              <w:spacing w:line="300" w:lineRule="exact"/>
              <w:jc w:val="center"/>
              <w:rPr>
                <w:rFonts w:ascii="仿宋" w:hAnsi="仿宋" w:eastAsia="仿宋"/>
                <w:b/>
              </w:rPr>
            </w:pPr>
            <w:r>
              <w:rPr>
                <w:rFonts w:hint="eastAsia" w:ascii="仿宋" w:hAnsi="仿宋" w:eastAsia="仿宋"/>
                <w:b/>
              </w:rPr>
              <w:t>评价标准</w:t>
            </w:r>
          </w:p>
        </w:tc>
      </w:tr>
      <w:tr w14:paraId="0B18D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6E82B265">
            <w:pPr>
              <w:spacing w:line="300" w:lineRule="exact"/>
              <w:jc w:val="left"/>
              <w:outlineLvl w:val="0"/>
              <w:rPr>
                <w:rFonts w:ascii="仿宋" w:hAnsi="仿宋" w:eastAsia="仿宋"/>
              </w:rPr>
            </w:pPr>
          </w:p>
        </w:tc>
        <w:tc>
          <w:tcPr>
            <w:tcW w:w="1276" w:type="dxa"/>
            <w:vMerge w:val="continue"/>
            <w:shd w:val="clear" w:color="auto" w:fill="auto"/>
            <w:vAlign w:val="center"/>
          </w:tcPr>
          <w:p w14:paraId="5DF1C300">
            <w:pPr>
              <w:spacing w:line="300" w:lineRule="exact"/>
              <w:jc w:val="left"/>
              <w:outlineLvl w:val="0"/>
              <w:rPr>
                <w:rFonts w:ascii="仿宋" w:hAnsi="仿宋" w:eastAsia="仿宋"/>
              </w:rPr>
            </w:pPr>
          </w:p>
        </w:tc>
        <w:tc>
          <w:tcPr>
            <w:tcW w:w="2976" w:type="dxa"/>
            <w:vMerge w:val="continue"/>
            <w:shd w:val="clear" w:color="auto" w:fill="auto"/>
            <w:vAlign w:val="center"/>
          </w:tcPr>
          <w:p w14:paraId="34631CAE">
            <w:pPr>
              <w:spacing w:line="300" w:lineRule="exact"/>
              <w:jc w:val="left"/>
              <w:outlineLvl w:val="0"/>
              <w:rPr>
                <w:rFonts w:ascii="仿宋" w:hAnsi="仿宋" w:eastAsia="仿宋"/>
              </w:rPr>
            </w:pPr>
          </w:p>
        </w:tc>
        <w:tc>
          <w:tcPr>
            <w:tcW w:w="2976" w:type="dxa"/>
            <w:vMerge w:val="continue"/>
            <w:shd w:val="clear" w:color="auto" w:fill="auto"/>
            <w:vAlign w:val="center"/>
          </w:tcPr>
          <w:p w14:paraId="3ECD3D25">
            <w:pPr>
              <w:spacing w:line="300" w:lineRule="exact"/>
              <w:jc w:val="left"/>
              <w:outlineLvl w:val="0"/>
              <w:rPr>
                <w:rFonts w:ascii="仿宋" w:hAnsi="仿宋" w:eastAsia="仿宋"/>
              </w:rPr>
            </w:pPr>
          </w:p>
        </w:tc>
        <w:tc>
          <w:tcPr>
            <w:tcW w:w="1417" w:type="dxa"/>
            <w:vMerge w:val="continue"/>
            <w:shd w:val="clear" w:color="auto" w:fill="auto"/>
            <w:vAlign w:val="center"/>
          </w:tcPr>
          <w:p w14:paraId="249BE40E">
            <w:pPr>
              <w:spacing w:line="300" w:lineRule="exact"/>
              <w:jc w:val="left"/>
              <w:outlineLvl w:val="0"/>
              <w:rPr>
                <w:rFonts w:ascii="仿宋" w:hAnsi="仿宋" w:eastAsia="仿宋"/>
              </w:rPr>
            </w:pPr>
          </w:p>
        </w:tc>
        <w:tc>
          <w:tcPr>
            <w:tcW w:w="737" w:type="dxa"/>
            <w:shd w:val="clear" w:color="auto" w:fill="auto"/>
            <w:vAlign w:val="center"/>
          </w:tcPr>
          <w:p w14:paraId="60A39F49">
            <w:pPr>
              <w:spacing w:line="300" w:lineRule="exact"/>
              <w:jc w:val="center"/>
              <w:rPr>
                <w:rFonts w:ascii="仿宋" w:hAnsi="仿宋" w:eastAsia="仿宋"/>
                <w:b/>
              </w:rPr>
            </w:pPr>
            <w:r>
              <w:rPr>
                <w:rFonts w:hint="eastAsia" w:ascii="仿宋" w:hAnsi="仿宋" w:eastAsia="仿宋"/>
                <w:b/>
              </w:rPr>
              <w:t>优</w:t>
            </w:r>
          </w:p>
        </w:tc>
        <w:tc>
          <w:tcPr>
            <w:tcW w:w="737" w:type="dxa"/>
            <w:shd w:val="clear" w:color="auto" w:fill="auto"/>
            <w:vAlign w:val="center"/>
          </w:tcPr>
          <w:p w14:paraId="2C89EBB9">
            <w:pPr>
              <w:spacing w:line="300" w:lineRule="exact"/>
              <w:jc w:val="center"/>
              <w:rPr>
                <w:rFonts w:ascii="仿宋" w:hAnsi="仿宋" w:eastAsia="仿宋"/>
                <w:b/>
              </w:rPr>
            </w:pPr>
            <w:r>
              <w:rPr>
                <w:rFonts w:hint="eastAsia" w:ascii="仿宋" w:hAnsi="仿宋" w:eastAsia="仿宋"/>
                <w:b/>
              </w:rPr>
              <w:t>良</w:t>
            </w:r>
          </w:p>
        </w:tc>
        <w:tc>
          <w:tcPr>
            <w:tcW w:w="737" w:type="dxa"/>
            <w:shd w:val="clear" w:color="auto" w:fill="auto"/>
            <w:vAlign w:val="center"/>
          </w:tcPr>
          <w:p w14:paraId="6959D88C">
            <w:pPr>
              <w:spacing w:line="300" w:lineRule="exact"/>
              <w:jc w:val="center"/>
              <w:rPr>
                <w:rFonts w:ascii="仿宋" w:hAnsi="仿宋" w:eastAsia="仿宋"/>
                <w:b/>
              </w:rPr>
            </w:pPr>
            <w:r>
              <w:rPr>
                <w:rFonts w:hint="eastAsia" w:ascii="仿宋" w:hAnsi="仿宋" w:eastAsia="仿宋"/>
                <w:b/>
              </w:rPr>
              <w:t>中</w:t>
            </w:r>
          </w:p>
        </w:tc>
        <w:tc>
          <w:tcPr>
            <w:tcW w:w="737" w:type="dxa"/>
            <w:shd w:val="clear" w:color="auto" w:fill="auto"/>
            <w:vAlign w:val="center"/>
          </w:tcPr>
          <w:p w14:paraId="589F1D0C">
            <w:pPr>
              <w:spacing w:line="300" w:lineRule="exact"/>
              <w:jc w:val="center"/>
              <w:rPr>
                <w:rFonts w:ascii="仿宋" w:hAnsi="仿宋" w:eastAsia="仿宋"/>
                <w:b/>
              </w:rPr>
            </w:pPr>
            <w:r>
              <w:rPr>
                <w:rFonts w:hint="eastAsia" w:ascii="仿宋" w:hAnsi="仿宋" w:eastAsia="仿宋"/>
                <w:b/>
              </w:rPr>
              <w:t>差</w:t>
            </w:r>
          </w:p>
        </w:tc>
      </w:tr>
      <w:tr w14:paraId="59859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2C612F8">
            <w:pPr>
              <w:spacing w:line="300" w:lineRule="exact"/>
              <w:jc w:val="left"/>
              <w:rPr>
                <w:rFonts w:ascii="仿宋" w:hAnsi="仿宋" w:eastAsia="仿宋"/>
                <w:b/>
              </w:rPr>
            </w:pPr>
            <w:r>
              <w:rPr>
                <w:rFonts w:hint="eastAsia" w:ascii="仿宋" w:hAnsi="仿宋" w:eastAsia="仿宋"/>
                <w:b/>
              </w:rPr>
              <w:t>促进经济发展、增加农民收入</w:t>
            </w:r>
          </w:p>
        </w:tc>
        <w:tc>
          <w:tcPr>
            <w:tcW w:w="1276" w:type="dxa"/>
            <w:shd w:val="clear" w:color="auto" w:fill="auto"/>
            <w:vAlign w:val="center"/>
          </w:tcPr>
          <w:p w14:paraId="003A7902">
            <w:pPr>
              <w:spacing w:line="300" w:lineRule="exact"/>
              <w:jc w:val="left"/>
              <w:rPr>
                <w:rFonts w:ascii="仿宋" w:hAnsi="仿宋" w:eastAsia="仿宋"/>
              </w:rPr>
            </w:pPr>
            <w:r>
              <w:rPr>
                <w:rFonts w:hint="eastAsia" w:ascii="仿宋" w:hAnsi="仿宋" w:eastAsia="仿宋"/>
              </w:rPr>
              <w:t>10</w:t>
            </w:r>
          </w:p>
        </w:tc>
        <w:tc>
          <w:tcPr>
            <w:tcW w:w="2976" w:type="dxa"/>
            <w:shd w:val="clear" w:color="auto" w:fill="auto"/>
            <w:vAlign w:val="center"/>
          </w:tcPr>
          <w:p w14:paraId="15627B46">
            <w:pPr>
              <w:spacing w:line="300" w:lineRule="exact"/>
              <w:jc w:val="left"/>
              <w:rPr>
                <w:rFonts w:ascii="仿宋" w:hAnsi="仿宋" w:eastAsia="仿宋"/>
              </w:rPr>
            </w:pPr>
            <w:r>
              <w:rPr>
                <w:rFonts w:hint="eastAsia" w:ascii="仿宋" w:hAnsi="仿宋" w:eastAsia="仿宋"/>
              </w:rPr>
              <w:t>科学制定乡村发展规划，推动产业结构调整，根据本地产业优势，培育壮大本地支柱产业；营造良好的发展环境、扶持典型、示范引导，提高经济发展的质量和水平；加强农村基础设施建设和新型农村服务体系建设，落实强农惠农措施，促进农业发展，增加农民收入；大力发展民管经济，增强农村集体经济实力，培育和发展农村经济合作组织、经济实体、行业协会和中介组织，尊重农民的生产经营自主权，提高农民的自我发展能力；搞好农业新技术示范，促进农业新技术推广；搞好政策、信息、咨询服务，宣传国家投资方向、重点支持的产业产品，培训经济人才，及时为农民提供产、供、销等市场信息</w:t>
            </w:r>
            <w:r>
              <w:rPr>
                <w:rFonts w:ascii="仿宋" w:hAnsi="仿宋" w:eastAsia="仿宋"/>
              </w:rPr>
              <w:t>,</w:t>
            </w:r>
            <w:r>
              <w:rPr>
                <w:rFonts w:hint="eastAsia" w:ascii="仿宋" w:hAnsi="仿宋" w:eastAsia="仿宋"/>
              </w:rPr>
              <w:t>发布经济致富信息。</w:t>
            </w:r>
          </w:p>
        </w:tc>
        <w:tc>
          <w:tcPr>
            <w:tcW w:w="2976" w:type="dxa"/>
            <w:shd w:val="clear" w:color="auto" w:fill="auto"/>
            <w:vAlign w:val="center"/>
          </w:tcPr>
          <w:p w14:paraId="04BE9CB5">
            <w:pPr>
              <w:spacing w:line="300" w:lineRule="exact"/>
              <w:jc w:val="left"/>
              <w:rPr>
                <w:rFonts w:ascii="仿宋" w:hAnsi="仿宋" w:eastAsia="仿宋"/>
              </w:rPr>
            </w:pPr>
            <w:r>
              <w:rPr>
                <w:rFonts w:hint="eastAsia" w:ascii="仿宋" w:hAnsi="仿宋" w:eastAsia="仿宋"/>
              </w:rPr>
              <w:t>科学制定乡村发展规划，推动产业结构调整，根据本地产业优势，培育壮大本地支柱产业；营造良好的发展环境、扶持典型、示范引导，提高经济发展的质量和水平；加强农村基础设施建设和新型农村服务体系建设，落实强农惠农措施，促进农业发展，增加农民收入；大力发展民管经济，增强农村集体经济实力，培育和发展农村经济合作组织、经济实体、行业协会和中介组织，尊重农民的生产经营自主权，提高农民的自我发展能力；搞好农业新技术示范，促进农业新技术推广；搞好政策、信息、咨询服务，宣传国家投资方向、重点支持的产业产品，培训经济人才，及时为农民提供产、供、销等市场信息</w:t>
            </w:r>
            <w:r>
              <w:rPr>
                <w:rFonts w:ascii="仿宋" w:hAnsi="仿宋" w:eastAsia="仿宋"/>
              </w:rPr>
              <w:t>,</w:t>
            </w:r>
            <w:r>
              <w:rPr>
                <w:rFonts w:hint="eastAsia" w:ascii="仿宋" w:hAnsi="仿宋" w:eastAsia="仿宋"/>
              </w:rPr>
              <w:t>发布经济致富信息。</w:t>
            </w:r>
          </w:p>
        </w:tc>
        <w:tc>
          <w:tcPr>
            <w:tcW w:w="1417" w:type="dxa"/>
            <w:shd w:val="clear" w:color="auto" w:fill="auto"/>
            <w:vAlign w:val="center"/>
          </w:tcPr>
          <w:p w14:paraId="3B7697F0">
            <w:pPr>
              <w:spacing w:line="300" w:lineRule="exact"/>
              <w:jc w:val="left"/>
              <w:rPr>
                <w:rFonts w:ascii="仿宋" w:hAnsi="仿宋" w:eastAsia="仿宋"/>
              </w:rPr>
            </w:pPr>
          </w:p>
        </w:tc>
        <w:tc>
          <w:tcPr>
            <w:tcW w:w="737" w:type="dxa"/>
            <w:shd w:val="clear" w:color="auto" w:fill="auto"/>
            <w:vAlign w:val="center"/>
          </w:tcPr>
          <w:p w14:paraId="68549A62">
            <w:pPr>
              <w:spacing w:line="300" w:lineRule="exact"/>
              <w:jc w:val="center"/>
              <w:rPr>
                <w:rFonts w:ascii="仿宋" w:hAnsi="仿宋" w:eastAsia="仿宋"/>
              </w:rPr>
            </w:pPr>
            <w:r>
              <w:rPr>
                <w:rFonts w:hint="eastAsia" w:ascii="仿宋" w:hAnsi="仿宋" w:eastAsia="仿宋"/>
              </w:rPr>
              <w:t>100%</w:t>
            </w:r>
          </w:p>
        </w:tc>
        <w:tc>
          <w:tcPr>
            <w:tcW w:w="737" w:type="dxa"/>
            <w:shd w:val="clear" w:color="auto" w:fill="auto"/>
            <w:vAlign w:val="center"/>
          </w:tcPr>
          <w:p w14:paraId="2C80CF82">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7521DEA3">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4925EED3">
            <w:pPr>
              <w:spacing w:line="300" w:lineRule="exact"/>
              <w:rPr>
                <w:rFonts w:ascii="仿宋" w:hAnsi="仿宋" w:eastAsia="仿宋"/>
              </w:rPr>
            </w:pPr>
            <w:r>
              <w:rPr>
                <w:rFonts w:hint="eastAsia" w:ascii="仿宋" w:hAnsi="仿宋" w:eastAsia="仿宋"/>
              </w:rPr>
              <w:t>≤60%</w:t>
            </w:r>
          </w:p>
        </w:tc>
      </w:tr>
      <w:tr w14:paraId="376F0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7C1B32F">
            <w:pPr>
              <w:spacing w:line="300" w:lineRule="exact"/>
              <w:jc w:val="left"/>
              <w:rPr>
                <w:rFonts w:ascii="仿宋" w:hAnsi="仿宋" w:eastAsia="仿宋"/>
                <w:b/>
              </w:rPr>
            </w:pPr>
            <w:r>
              <w:rPr>
                <w:rFonts w:hint="eastAsia" w:ascii="仿宋" w:hAnsi="仿宋" w:eastAsia="仿宋"/>
                <w:b/>
              </w:rPr>
              <w:t>　　促进经济发展、增加农民收入</w:t>
            </w:r>
          </w:p>
        </w:tc>
        <w:tc>
          <w:tcPr>
            <w:tcW w:w="1276" w:type="dxa"/>
            <w:shd w:val="clear" w:color="auto" w:fill="auto"/>
            <w:vAlign w:val="center"/>
          </w:tcPr>
          <w:p w14:paraId="2AA8AE9A">
            <w:pPr>
              <w:spacing w:line="300" w:lineRule="exact"/>
              <w:jc w:val="left"/>
              <w:rPr>
                <w:rFonts w:ascii="仿宋" w:hAnsi="仿宋" w:eastAsia="仿宋"/>
              </w:rPr>
            </w:pPr>
            <w:r>
              <w:rPr>
                <w:rFonts w:hint="eastAsia" w:ascii="仿宋" w:hAnsi="仿宋" w:eastAsia="仿宋"/>
              </w:rPr>
              <w:t>25</w:t>
            </w:r>
          </w:p>
        </w:tc>
        <w:tc>
          <w:tcPr>
            <w:tcW w:w="2976" w:type="dxa"/>
            <w:shd w:val="clear" w:color="auto" w:fill="auto"/>
            <w:vAlign w:val="center"/>
          </w:tcPr>
          <w:p w14:paraId="7C64A1A5">
            <w:pPr>
              <w:spacing w:line="300" w:lineRule="exact"/>
              <w:jc w:val="left"/>
              <w:rPr>
                <w:rFonts w:ascii="仿宋" w:hAnsi="仿宋" w:eastAsia="仿宋"/>
              </w:rPr>
            </w:pPr>
            <w:r>
              <w:rPr>
                <w:rFonts w:hint="eastAsia" w:ascii="仿宋" w:hAnsi="仿宋" w:eastAsia="仿宋"/>
              </w:rPr>
              <w:t>科学制定乡村发展规划，推动产业结构调整，根据本地产业优势，培育壮大本地支柱产业；营造良好的发展环境、扶持典型、示范引导，提高经济发展的质量和水平；加强农村基础设施建设和新型农村服务体系建设，落实强农惠农措施，促进农业发展，增加农民收入；大力发展民管经济，增强农村集体经济实力，培育和发展农村经济合作组织、经济实体、行业协会和中介组织，尊重农民的生产经营自主权，提高农民的自我发展能力；搞好农业新技术示范，促进农业新技术推广；搞好政策、信息、咨询服务，宣传国家投资方向、重点支持的产业产品，培训经济人才，及时为农民提供产、供、销等市场信息</w:t>
            </w:r>
            <w:r>
              <w:rPr>
                <w:rFonts w:ascii="仿宋" w:hAnsi="仿宋" w:eastAsia="仿宋"/>
              </w:rPr>
              <w:t>,</w:t>
            </w:r>
            <w:r>
              <w:rPr>
                <w:rFonts w:hint="eastAsia" w:ascii="仿宋" w:hAnsi="仿宋" w:eastAsia="仿宋"/>
              </w:rPr>
              <w:t>发布经济致富信息。</w:t>
            </w:r>
          </w:p>
        </w:tc>
        <w:tc>
          <w:tcPr>
            <w:tcW w:w="2976" w:type="dxa"/>
            <w:shd w:val="clear" w:color="auto" w:fill="auto"/>
            <w:vAlign w:val="center"/>
          </w:tcPr>
          <w:p w14:paraId="78C10224">
            <w:pPr>
              <w:spacing w:line="300" w:lineRule="exact"/>
              <w:jc w:val="left"/>
              <w:rPr>
                <w:rFonts w:ascii="仿宋" w:hAnsi="仿宋" w:eastAsia="仿宋"/>
              </w:rPr>
            </w:pPr>
            <w:r>
              <w:rPr>
                <w:rFonts w:hint="eastAsia" w:ascii="仿宋" w:hAnsi="仿宋" w:eastAsia="仿宋"/>
              </w:rPr>
              <w:t>促进经济发展、增加农民收入</w:t>
            </w:r>
          </w:p>
        </w:tc>
        <w:tc>
          <w:tcPr>
            <w:tcW w:w="1417" w:type="dxa"/>
            <w:shd w:val="clear" w:color="auto" w:fill="auto"/>
            <w:vAlign w:val="center"/>
          </w:tcPr>
          <w:p w14:paraId="59921CBA">
            <w:pPr>
              <w:spacing w:line="300" w:lineRule="exact"/>
              <w:jc w:val="left"/>
              <w:rPr>
                <w:rFonts w:ascii="仿宋" w:hAnsi="仿宋" w:eastAsia="仿宋"/>
              </w:rPr>
            </w:pPr>
            <w:r>
              <w:rPr>
                <w:rFonts w:hint="eastAsia" w:ascii="仿宋" w:hAnsi="仿宋" w:eastAsia="仿宋"/>
              </w:rPr>
              <w:t>促进经济发展、增加农民收入</w:t>
            </w:r>
          </w:p>
        </w:tc>
        <w:tc>
          <w:tcPr>
            <w:tcW w:w="737" w:type="dxa"/>
            <w:shd w:val="clear" w:color="auto" w:fill="auto"/>
            <w:vAlign w:val="center"/>
          </w:tcPr>
          <w:p w14:paraId="550FD4A8">
            <w:pPr>
              <w:spacing w:line="300" w:lineRule="exact"/>
              <w:jc w:val="center"/>
              <w:rPr>
                <w:rFonts w:ascii="仿宋" w:hAnsi="仿宋" w:eastAsia="仿宋"/>
              </w:rPr>
            </w:pPr>
            <w:r>
              <w:rPr>
                <w:rFonts w:hint="eastAsia" w:ascii="仿宋" w:hAnsi="仿宋" w:eastAsia="仿宋"/>
              </w:rPr>
              <w:t>100%</w:t>
            </w:r>
          </w:p>
        </w:tc>
        <w:tc>
          <w:tcPr>
            <w:tcW w:w="737" w:type="dxa"/>
            <w:shd w:val="clear" w:color="auto" w:fill="auto"/>
            <w:vAlign w:val="center"/>
          </w:tcPr>
          <w:p w14:paraId="41767C7C">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511D9ADE">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71D38743">
            <w:pPr>
              <w:spacing w:line="300" w:lineRule="exact"/>
              <w:rPr>
                <w:rFonts w:ascii="仿宋" w:hAnsi="仿宋" w:eastAsia="仿宋"/>
              </w:rPr>
            </w:pPr>
            <w:r>
              <w:rPr>
                <w:rFonts w:hint="eastAsia" w:ascii="仿宋" w:hAnsi="仿宋" w:eastAsia="仿宋"/>
              </w:rPr>
              <w:t>≤60%</w:t>
            </w:r>
          </w:p>
        </w:tc>
      </w:tr>
      <w:tr w14:paraId="3761E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F4D2D70">
            <w:pPr>
              <w:spacing w:line="300" w:lineRule="exact"/>
              <w:jc w:val="left"/>
              <w:rPr>
                <w:rFonts w:ascii="仿宋" w:hAnsi="仿宋" w:eastAsia="仿宋"/>
                <w:b/>
              </w:rPr>
            </w:pPr>
            <w:r>
              <w:rPr>
                <w:rFonts w:hint="eastAsia" w:ascii="仿宋" w:hAnsi="仿宋" w:eastAsia="仿宋"/>
                <w:b/>
              </w:rPr>
              <w:t>强化公共服务、着力改善民生</w:t>
            </w:r>
          </w:p>
        </w:tc>
        <w:tc>
          <w:tcPr>
            <w:tcW w:w="1276" w:type="dxa"/>
            <w:shd w:val="clear" w:color="auto" w:fill="auto"/>
            <w:vAlign w:val="center"/>
          </w:tcPr>
          <w:p w14:paraId="5A8057C1">
            <w:pPr>
              <w:spacing w:line="300" w:lineRule="exact"/>
              <w:jc w:val="left"/>
              <w:rPr>
                <w:rFonts w:ascii="仿宋" w:hAnsi="仿宋" w:eastAsia="仿宋"/>
              </w:rPr>
            </w:pPr>
            <w:r>
              <w:rPr>
                <w:rFonts w:hint="eastAsia" w:ascii="仿宋" w:hAnsi="仿宋" w:eastAsia="仿宋"/>
              </w:rPr>
              <w:t>35</w:t>
            </w:r>
          </w:p>
        </w:tc>
        <w:tc>
          <w:tcPr>
            <w:tcW w:w="2976" w:type="dxa"/>
            <w:shd w:val="clear" w:color="auto" w:fill="auto"/>
            <w:vAlign w:val="center"/>
          </w:tcPr>
          <w:p w14:paraId="603B8D3B">
            <w:pPr>
              <w:spacing w:line="300" w:lineRule="exact"/>
              <w:jc w:val="left"/>
              <w:rPr>
                <w:rFonts w:ascii="仿宋" w:hAnsi="仿宋" w:eastAsia="仿宋"/>
              </w:rPr>
            </w:pPr>
            <w:r>
              <w:rPr>
                <w:rFonts w:hint="eastAsia" w:ascii="仿宋" w:hAnsi="仿宋" w:eastAsia="仿宋"/>
              </w:rPr>
              <w:t>拓展服务渠道，改进服务方式，通过</w:t>
            </w:r>
            <w:r>
              <w:rPr>
                <w:rFonts w:hint="cs" w:ascii="仿宋" w:hAnsi="仿宋" w:eastAsia="仿宋"/>
              </w:rPr>
              <w:t>“</w:t>
            </w:r>
            <w:r>
              <w:rPr>
                <w:rFonts w:hint="eastAsia" w:ascii="仿宋" w:hAnsi="仿宋" w:eastAsia="仿宋"/>
              </w:rPr>
              <w:t>一站式</w:t>
            </w:r>
            <w:r>
              <w:rPr>
                <w:rFonts w:hint="cs" w:ascii="仿宋" w:hAnsi="仿宋" w:eastAsia="仿宋"/>
              </w:rPr>
              <w:t>”</w:t>
            </w:r>
            <w:r>
              <w:rPr>
                <w:rFonts w:hint="eastAsia" w:ascii="仿宋" w:hAnsi="仿宋" w:eastAsia="仿宋"/>
              </w:rPr>
              <w:t>服务、办事代理制等多种形式，方便群众办事；推进依法行政，严格依法履行职责；推行行政机关首问办理制度，强化责任意识；着力解决群众生产生活中的突出问题，切实维护农民合法权益；加强农村市场体系建设，增强市场服务能力；加强农田水利基本建设，增强农业抗御自然灾害的能力；加强基础设施建设，改善农民生产生活环境；搞好科技、信息服务，提高农民运用现代信息技术水平；加强对农村劳动力的职业技能培训，做好农村社会保障工作，扩大农村新型合作医疗覆盖面，提高农民参合率，建立健全农村困难群众最底生活保障制度，做好烈军属、五保户养老金的社会化发放和申领资格认证，解除农民后顾之忧；做好育龄妇女普查和生殖健康检查；保证粮食直补，农资直补等各项惠农政策落实到户。</w:t>
            </w:r>
          </w:p>
        </w:tc>
        <w:tc>
          <w:tcPr>
            <w:tcW w:w="2976" w:type="dxa"/>
            <w:shd w:val="clear" w:color="auto" w:fill="auto"/>
            <w:vAlign w:val="center"/>
          </w:tcPr>
          <w:p w14:paraId="2CC07C83">
            <w:pPr>
              <w:spacing w:line="300" w:lineRule="exact"/>
              <w:jc w:val="left"/>
              <w:rPr>
                <w:rFonts w:ascii="仿宋" w:hAnsi="仿宋" w:eastAsia="仿宋"/>
              </w:rPr>
            </w:pPr>
            <w:r>
              <w:rPr>
                <w:rFonts w:hint="eastAsia" w:ascii="仿宋" w:hAnsi="仿宋" w:eastAsia="仿宋"/>
              </w:rPr>
              <w:t>拓展服务渠道，改进服务方式，通过</w:t>
            </w:r>
            <w:r>
              <w:rPr>
                <w:rFonts w:hint="cs" w:ascii="仿宋" w:hAnsi="仿宋" w:eastAsia="仿宋"/>
              </w:rPr>
              <w:t>“</w:t>
            </w:r>
            <w:r>
              <w:rPr>
                <w:rFonts w:hint="eastAsia" w:ascii="仿宋" w:hAnsi="仿宋" w:eastAsia="仿宋"/>
              </w:rPr>
              <w:t>一站式</w:t>
            </w:r>
            <w:r>
              <w:rPr>
                <w:rFonts w:hint="cs" w:ascii="仿宋" w:hAnsi="仿宋" w:eastAsia="仿宋"/>
              </w:rPr>
              <w:t>”</w:t>
            </w:r>
            <w:r>
              <w:rPr>
                <w:rFonts w:hint="eastAsia" w:ascii="仿宋" w:hAnsi="仿宋" w:eastAsia="仿宋"/>
              </w:rPr>
              <w:t>服务、办事代理制等多种形式，方便群众办事；推进依法行政，严格依法履行职责；推行行政机关首问办理制度，强化责任意识；着力解决群众生产生活中的突出问题，切实维护农民合法权益；加强农村市场体系建设，增强市场服务能力；加强农田水利基本建设，增强农业抗御自然灾害的能力；加强基础设施建设，改善农民生产生活环境；搞好科技、信息服务，提高农民运用现代信息技术水平；加强对农村劳动力的职业技能培训，做好农村社会保障工作，扩大农村新型合作医疗覆盖面，提高农民参合率，建立健全农村困难群众最底生活保障制度，做好烈军属、五保户养老金的社会化发放和申领资格认证，解除农民后顾之忧；做好育龄妇女普查和生殖健康检查；保证粮食直补，农资直补等各项惠农政策落实到户。</w:t>
            </w:r>
          </w:p>
        </w:tc>
        <w:tc>
          <w:tcPr>
            <w:tcW w:w="1417" w:type="dxa"/>
            <w:shd w:val="clear" w:color="auto" w:fill="auto"/>
            <w:vAlign w:val="center"/>
          </w:tcPr>
          <w:p w14:paraId="7027A2CC">
            <w:pPr>
              <w:spacing w:line="300" w:lineRule="exact"/>
              <w:jc w:val="left"/>
              <w:rPr>
                <w:rFonts w:ascii="仿宋" w:hAnsi="仿宋" w:eastAsia="仿宋"/>
              </w:rPr>
            </w:pPr>
          </w:p>
        </w:tc>
        <w:tc>
          <w:tcPr>
            <w:tcW w:w="737" w:type="dxa"/>
            <w:shd w:val="clear" w:color="auto" w:fill="auto"/>
            <w:vAlign w:val="center"/>
          </w:tcPr>
          <w:p w14:paraId="3C1729C5">
            <w:pPr>
              <w:spacing w:line="300" w:lineRule="exact"/>
              <w:jc w:val="center"/>
              <w:rPr>
                <w:rFonts w:ascii="仿宋" w:hAnsi="仿宋" w:eastAsia="仿宋"/>
              </w:rPr>
            </w:pPr>
            <w:r>
              <w:rPr>
                <w:rFonts w:hint="eastAsia" w:ascii="仿宋" w:hAnsi="仿宋" w:eastAsia="仿宋"/>
              </w:rPr>
              <w:t>100%</w:t>
            </w:r>
          </w:p>
        </w:tc>
        <w:tc>
          <w:tcPr>
            <w:tcW w:w="737" w:type="dxa"/>
            <w:shd w:val="clear" w:color="auto" w:fill="auto"/>
            <w:vAlign w:val="center"/>
          </w:tcPr>
          <w:p w14:paraId="328DDD83">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127CDAC1">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367BC66E">
            <w:pPr>
              <w:spacing w:line="300" w:lineRule="exact"/>
              <w:rPr>
                <w:rFonts w:ascii="仿宋" w:hAnsi="仿宋" w:eastAsia="仿宋"/>
              </w:rPr>
            </w:pPr>
            <w:r>
              <w:rPr>
                <w:rFonts w:hint="eastAsia" w:ascii="仿宋" w:hAnsi="仿宋" w:eastAsia="仿宋"/>
              </w:rPr>
              <w:t>≤60%</w:t>
            </w:r>
          </w:p>
        </w:tc>
      </w:tr>
      <w:tr w14:paraId="19E9B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98B8E2A">
            <w:pPr>
              <w:spacing w:line="300" w:lineRule="exact"/>
              <w:jc w:val="left"/>
              <w:rPr>
                <w:rFonts w:ascii="仿宋" w:hAnsi="仿宋" w:eastAsia="仿宋"/>
                <w:b/>
              </w:rPr>
            </w:pPr>
            <w:r>
              <w:rPr>
                <w:rFonts w:hint="eastAsia" w:ascii="仿宋" w:hAnsi="仿宋" w:eastAsia="仿宋"/>
                <w:b/>
              </w:rPr>
              <w:t>　　强化公共服务、着力改善民生</w:t>
            </w:r>
          </w:p>
        </w:tc>
        <w:tc>
          <w:tcPr>
            <w:tcW w:w="1276" w:type="dxa"/>
            <w:shd w:val="clear" w:color="auto" w:fill="auto"/>
            <w:vAlign w:val="center"/>
          </w:tcPr>
          <w:p w14:paraId="74225AD1">
            <w:pPr>
              <w:spacing w:line="300" w:lineRule="exact"/>
              <w:jc w:val="left"/>
              <w:rPr>
                <w:rFonts w:ascii="仿宋" w:hAnsi="仿宋" w:eastAsia="仿宋"/>
              </w:rPr>
            </w:pPr>
            <w:r>
              <w:rPr>
                <w:rFonts w:hint="eastAsia" w:ascii="仿宋" w:hAnsi="仿宋" w:eastAsia="仿宋"/>
              </w:rPr>
              <w:t>6</w:t>
            </w:r>
          </w:p>
        </w:tc>
        <w:tc>
          <w:tcPr>
            <w:tcW w:w="2976" w:type="dxa"/>
            <w:shd w:val="clear" w:color="auto" w:fill="auto"/>
            <w:vAlign w:val="center"/>
          </w:tcPr>
          <w:p w14:paraId="07A4885E">
            <w:pPr>
              <w:spacing w:line="300" w:lineRule="exact"/>
              <w:jc w:val="left"/>
              <w:rPr>
                <w:rFonts w:ascii="仿宋" w:hAnsi="仿宋" w:eastAsia="仿宋"/>
              </w:rPr>
            </w:pPr>
            <w:r>
              <w:rPr>
                <w:rFonts w:hint="eastAsia" w:ascii="仿宋" w:hAnsi="仿宋" w:eastAsia="仿宋"/>
              </w:rPr>
              <w:t>拓展服务渠道，改进服务方式，通过</w:t>
            </w:r>
            <w:r>
              <w:rPr>
                <w:rFonts w:hint="cs" w:ascii="仿宋" w:hAnsi="仿宋" w:eastAsia="仿宋"/>
              </w:rPr>
              <w:t>“</w:t>
            </w:r>
            <w:r>
              <w:rPr>
                <w:rFonts w:hint="eastAsia" w:ascii="仿宋" w:hAnsi="仿宋" w:eastAsia="仿宋"/>
              </w:rPr>
              <w:t>一站式</w:t>
            </w:r>
            <w:r>
              <w:rPr>
                <w:rFonts w:hint="cs" w:ascii="仿宋" w:hAnsi="仿宋" w:eastAsia="仿宋"/>
              </w:rPr>
              <w:t>”</w:t>
            </w:r>
            <w:r>
              <w:rPr>
                <w:rFonts w:hint="eastAsia" w:ascii="仿宋" w:hAnsi="仿宋" w:eastAsia="仿宋"/>
              </w:rPr>
              <w:t>服务、办事代理制等多种形式，方便群众办事；推进依法行政，严格依法履行职责；推行行政机关首问办理制度，强化责任意识；着力解决群众生产生活中的突出问题，切实维护农民合法权益；加强农村市场体系建设，增强市场服务能力；加强农田水利基本建设，增强农业抗御自然灾害的能力；加强基础设施建设，改善农民生产生活环境；搞好科技、信息服务，提高农民运用现代信息技术水平；加强对农村劳动力的职业技能培训，做好农村社会保障工作，扩大农村新型合作医疗覆盖面，提高农民参合率，建立健全农村困难群众最底生活保障制度，做好烈军属、五保户养老金的社会化发放和申领资格认证，解除农民后顾之忧；做好育龄妇女普查和生殖健康检查；保证粮食直补，农资直补等各项惠农政策落实到户。</w:t>
            </w:r>
          </w:p>
        </w:tc>
        <w:tc>
          <w:tcPr>
            <w:tcW w:w="2976" w:type="dxa"/>
            <w:shd w:val="clear" w:color="auto" w:fill="auto"/>
            <w:vAlign w:val="center"/>
          </w:tcPr>
          <w:p w14:paraId="7C144896">
            <w:pPr>
              <w:spacing w:line="300" w:lineRule="exact"/>
              <w:jc w:val="left"/>
              <w:rPr>
                <w:rFonts w:ascii="仿宋" w:hAnsi="仿宋" w:eastAsia="仿宋"/>
              </w:rPr>
            </w:pPr>
            <w:r>
              <w:rPr>
                <w:rFonts w:hint="eastAsia" w:ascii="仿宋" w:hAnsi="仿宋" w:eastAsia="仿宋"/>
              </w:rPr>
              <w:t>强化公共服务、着力改善民生</w:t>
            </w:r>
          </w:p>
        </w:tc>
        <w:tc>
          <w:tcPr>
            <w:tcW w:w="1417" w:type="dxa"/>
            <w:shd w:val="clear" w:color="auto" w:fill="auto"/>
            <w:vAlign w:val="center"/>
          </w:tcPr>
          <w:p w14:paraId="17CFE457">
            <w:pPr>
              <w:spacing w:line="300" w:lineRule="exact"/>
              <w:jc w:val="left"/>
              <w:rPr>
                <w:rFonts w:ascii="仿宋" w:hAnsi="仿宋" w:eastAsia="仿宋"/>
              </w:rPr>
            </w:pPr>
            <w:r>
              <w:rPr>
                <w:rFonts w:hint="eastAsia" w:ascii="仿宋" w:hAnsi="仿宋" w:eastAsia="仿宋"/>
              </w:rPr>
              <w:t>强化公共服务、着力改善民生</w:t>
            </w:r>
          </w:p>
        </w:tc>
        <w:tc>
          <w:tcPr>
            <w:tcW w:w="737" w:type="dxa"/>
            <w:shd w:val="clear" w:color="auto" w:fill="auto"/>
            <w:vAlign w:val="center"/>
          </w:tcPr>
          <w:p w14:paraId="3AD441C8">
            <w:pPr>
              <w:spacing w:line="300" w:lineRule="exact"/>
              <w:jc w:val="center"/>
              <w:rPr>
                <w:rFonts w:ascii="仿宋" w:hAnsi="仿宋" w:eastAsia="仿宋"/>
              </w:rPr>
            </w:pPr>
            <w:r>
              <w:rPr>
                <w:rFonts w:hint="eastAsia" w:ascii="仿宋" w:hAnsi="仿宋" w:eastAsia="仿宋"/>
              </w:rPr>
              <w:t>100%</w:t>
            </w:r>
          </w:p>
        </w:tc>
        <w:tc>
          <w:tcPr>
            <w:tcW w:w="737" w:type="dxa"/>
            <w:shd w:val="clear" w:color="auto" w:fill="auto"/>
            <w:vAlign w:val="center"/>
          </w:tcPr>
          <w:p w14:paraId="46287A55">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4F0F7629">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06A33107">
            <w:pPr>
              <w:spacing w:line="300" w:lineRule="exact"/>
              <w:rPr>
                <w:rFonts w:ascii="仿宋" w:hAnsi="仿宋" w:eastAsia="仿宋"/>
              </w:rPr>
            </w:pPr>
            <w:r>
              <w:rPr>
                <w:rFonts w:hint="eastAsia" w:ascii="仿宋" w:hAnsi="仿宋" w:eastAsia="仿宋"/>
              </w:rPr>
              <w:t>≤60%</w:t>
            </w:r>
          </w:p>
        </w:tc>
      </w:tr>
      <w:tr w14:paraId="78EF3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45E81EB">
            <w:pPr>
              <w:spacing w:line="300" w:lineRule="exact"/>
              <w:jc w:val="left"/>
              <w:rPr>
                <w:rFonts w:ascii="仿宋" w:hAnsi="仿宋" w:eastAsia="仿宋"/>
                <w:b/>
              </w:rPr>
            </w:pPr>
            <w:r>
              <w:rPr>
                <w:rFonts w:hint="eastAsia" w:ascii="仿宋" w:hAnsi="仿宋" w:eastAsia="仿宋"/>
                <w:b/>
              </w:rPr>
              <w:t>加强社会管理、维护农村稳定</w:t>
            </w:r>
          </w:p>
        </w:tc>
        <w:tc>
          <w:tcPr>
            <w:tcW w:w="1276" w:type="dxa"/>
            <w:shd w:val="clear" w:color="auto" w:fill="auto"/>
            <w:vAlign w:val="center"/>
          </w:tcPr>
          <w:p w14:paraId="221B2050">
            <w:pPr>
              <w:spacing w:line="300" w:lineRule="exact"/>
              <w:jc w:val="left"/>
              <w:rPr>
                <w:rFonts w:ascii="仿宋" w:hAnsi="仿宋" w:eastAsia="仿宋"/>
              </w:rPr>
            </w:pPr>
          </w:p>
        </w:tc>
        <w:tc>
          <w:tcPr>
            <w:tcW w:w="2976" w:type="dxa"/>
            <w:shd w:val="clear" w:color="auto" w:fill="auto"/>
            <w:vAlign w:val="center"/>
          </w:tcPr>
          <w:p w14:paraId="7BA4487F">
            <w:pPr>
              <w:spacing w:line="300" w:lineRule="exact"/>
              <w:jc w:val="left"/>
              <w:rPr>
                <w:rFonts w:ascii="仿宋" w:hAnsi="仿宋" w:eastAsia="仿宋"/>
              </w:rPr>
            </w:pPr>
            <w:r>
              <w:rPr>
                <w:rFonts w:hint="eastAsia" w:ascii="仿宋" w:hAnsi="仿宋" w:eastAsia="仿宋"/>
              </w:rPr>
              <w:t>抓好农村思想政治建设和精神文明建设，加强农村教育、卫生、文化、体育、环境保护等社会事业的管理，促进农村经济社会的健康、和谐、可持续发展；加强计划生育管理，确保基本国策各项工作落到实处；加强安全生产管理，做好各项安全生产的监督检查、隐患排查，落实安全生产责任制；加强社会治安综合治理，综合发挥人民调解、行政调解和司法调解的作用，及时化解农村社会矛盾，消除社会不稳定因素；协助司法机关打击各类刑事犯罪活动，妥善处理突发性、群体性事件，确保人民群众生命财产安全；切实解决好农村征地、集体资产管理等方面损坏农民利益的突出问题，确保社会稳定；指导村民自治，积极稳妥有序推进农村新民居建设，促进社会组织健康发展，增强社会自治功能，完善村规民约，深化农村平安创建工作。</w:t>
            </w:r>
          </w:p>
        </w:tc>
        <w:tc>
          <w:tcPr>
            <w:tcW w:w="2976" w:type="dxa"/>
            <w:shd w:val="clear" w:color="auto" w:fill="auto"/>
            <w:vAlign w:val="center"/>
          </w:tcPr>
          <w:p w14:paraId="244B1E97">
            <w:pPr>
              <w:spacing w:line="300" w:lineRule="exact"/>
              <w:jc w:val="left"/>
              <w:rPr>
                <w:rFonts w:ascii="仿宋" w:hAnsi="仿宋" w:eastAsia="仿宋"/>
              </w:rPr>
            </w:pPr>
            <w:r>
              <w:rPr>
                <w:rFonts w:hint="eastAsia" w:ascii="仿宋" w:hAnsi="仿宋" w:eastAsia="仿宋"/>
              </w:rPr>
              <w:t>抓好农村思想政治建设和精神文明建设，加强农村教育、卫生、文化、体育、环境保护等社会事业的管理，促进农村经济社会的健康、和谐、可持续发展；加强计划生育管理，确保基本国策各项工作落到实处；加强安全生产管理，做好各项安全生产的监督检查、隐患排查，落实安全生产责任制；加强社会治安综合治理，综合发挥人民调解、行政调解和司法调解的作用，及时化解农村社会矛盾，消除社会不稳定因素；协助司法机关打击各类刑事犯罪活动，妥善处理突发性、群体性事件，确保人民群众生命财产安全；切实解决好农村征地、集体资产管理等方面损坏农民利益的突出问题，确保社会稳定；指导村民自治，积极稳妥有序推进农村新民居建设，促进社会组织健康发展，增强社会自治功能，完善村规民约，深化农村平安创建工作。</w:t>
            </w:r>
          </w:p>
        </w:tc>
        <w:tc>
          <w:tcPr>
            <w:tcW w:w="1417" w:type="dxa"/>
            <w:shd w:val="clear" w:color="auto" w:fill="auto"/>
            <w:vAlign w:val="center"/>
          </w:tcPr>
          <w:p w14:paraId="6DCA5D27">
            <w:pPr>
              <w:spacing w:line="300" w:lineRule="exact"/>
              <w:jc w:val="left"/>
              <w:rPr>
                <w:rFonts w:ascii="仿宋" w:hAnsi="仿宋" w:eastAsia="仿宋"/>
              </w:rPr>
            </w:pPr>
          </w:p>
        </w:tc>
        <w:tc>
          <w:tcPr>
            <w:tcW w:w="737" w:type="dxa"/>
            <w:shd w:val="clear" w:color="auto" w:fill="auto"/>
            <w:vAlign w:val="center"/>
          </w:tcPr>
          <w:p w14:paraId="5E3D45AB">
            <w:pPr>
              <w:spacing w:line="300" w:lineRule="exact"/>
              <w:jc w:val="center"/>
              <w:rPr>
                <w:rFonts w:ascii="仿宋" w:hAnsi="仿宋" w:eastAsia="仿宋"/>
              </w:rPr>
            </w:pPr>
            <w:r>
              <w:rPr>
                <w:rFonts w:hint="eastAsia" w:ascii="仿宋" w:hAnsi="仿宋" w:eastAsia="仿宋"/>
              </w:rPr>
              <w:t>100%</w:t>
            </w:r>
          </w:p>
        </w:tc>
        <w:tc>
          <w:tcPr>
            <w:tcW w:w="737" w:type="dxa"/>
            <w:shd w:val="clear" w:color="auto" w:fill="auto"/>
            <w:vAlign w:val="center"/>
          </w:tcPr>
          <w:p w14:paraId="7EE1DA83">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5D5952D5">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4A41257A">
            <w:pPr>
              <w:spacing w:line="300" w:lineRule="exact"/>
              <w:rPr>
                <w:rFonts w:ascii="仿宋" w:hAnsi="仿宋" w:eastAsia="仿宋"/>
              </w:rPr>
            </w:pPr>
            <w:r>
              <w:rPr>
                <w:rFonts w:hint="eastAsia" w:ascii="仿宋" w:hAnsi="仿宋" w:eastAsia="仿宋"/>
              </w:rPr>
              <w:t>≤60%</w:t>
            </w:r>
          </w:p>
        </w:tc>
      </w:tr>
      <w:tr w14:paraId="74AE7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41031A9">
            <w:pPr>
              <w:spacing w:line="300" w:lineRule="exact"/>
              <w:jc w:val="left"/>
              <w:rPr>
                <w:rFonts w:ascii="仿宋" w:hAnsi="仿宋" w:eastAsia="仿宋"/>
                <w:b/>
              </w:rPr>
            </w:pPr>
            <w:r>
              <w:rPr>
                <w:rFonts w:hint="eastAsia" w:ascii="仿宋" w:hAnsi="仿宋" w:eastAsia="仿宋"/>
                <w:b/>
              </w:rPr>
              <w:t>　　加强社会管理、维护农村稳定</w:t>
            </w:r>
          </w:p>
        </w:tc>
        <w:tc>
          <w:tcPr>
            <w:tcW w:w="1276" w:type="dxa"/>
            <w:shd w:val="clear" w:color="auto" w:fill="auto"/>
            <w:vAlign w:val="center"/>
          </w:tcPr>
          <w:p w14:paraId="09C1465A">
            <w:pPr>
              <w:spacing w:line="300" w:lineRule="exact"/>
              <w:jc w:val="left"/>
              <w:rPr>
                <w:rFonts w:ascii="仿宋" w:hAnsi="仿宋" w:eastAsia="仿宋"/>
              </w:rPr>
            </w:pPr>
          </w:p>
        </w:tc>
        <w:tc>
          <w:tcPr>
            <w:tcW w:w="2976" w:type="dxa"/>
            <w:shd w:val="clear" w:color="auto" w:fill="auto"/>
            <w:vAlign w:val="center"/>
          </w:tcPr>
          <w:p w14:paraId="708EAFBC">
            <w:pPr>
              <w:spacing w:line="300" w:lineRule="exact"/>
              <w:jc w:val="left"/>
              <w:rPr>
                <w:rFonts w:ascii="仿宋" w:hAnsi="仿宋" w:eastAsia="仿宋"/>
              </w:rPr>
            </w:pPr>
            <w:r>
              <w:rPr>
                <w:rFonts w:hint="eastAsia" w:ascii="仿宋" w:hAnsi="仿宋" w:eastAsia="仿宋"/>
              </w:rPr>
              <w:t>抓好农村思想政治建设和精神文明建设，加强农村教育、卫生、文化、体育、环境保护等社会事业的管理，促进农村经济社会的健康、和谐、可持续发展；加强计划生育管理，确保基本国策各项工作落到实处；加强安全生产管理，做好各项安全生产的监督检查、隐患排查，落实安全生产责任制；加强社会治安综合治理，综合发挥人民调解、行政调解和司法调解的作用，及时化解农村社会矛盾，消除社会不稳定因素；协助司法机关打击各类刑事犯罪活动，妥善处理突发性、群体性事件，确保人民群众生命财产安全；切实解决好农村征地、集体资产管理等方面损坏农民利益的突出问题，确保社会稳定；指导村民自治，积极稳妥有序推进农村新民居建设，促进社会组织健康发展，增强社会自治功能，完善村规民约，深化农村平安创建工作。</w:t>
            </w:r>
          </w:p>
        </w:tc>
        <w:tc>
          <w:tcPr>
            <w:tcW w:w="2976" w:type="dxa"/>
            <w:shd w:val="clear" w:color="auto" w:fill="auto"/>
            <w:vAlign w:val="center"/>
          </w:tcPr>
          <w:p w14:paraId="7DC2F8EF">
            <w:pPr>
              <w:spacing w:line="300" w:lineRule="exact"/>
              <w:jc w:val="left"/>
              <w:rPr>
                <w:rFonts w:ascii="仿宋" w:hAnsi="仿宋" w:eastAsia="仿宋"/>
              </w:rPr>
            </w:pPr>
            <w:r>
              <w:rPr>
                <w:rFonts w:hint="eastAsia" w:ascii="仿宋" w:hAnsi="仿宋" w:eastAsia="仿宋"/>
              </w:rPr>
              <w:t>加强社会管理、维护农村稳定</w:t>
            </w:r>
          </w:p>
        </w:tc>
        <w:tc>
          <w:tcPr>
            <w:tcW w:w="1417" w:type="dxa"/>
            <w:shd w:val="clear" w:color="auto" w:fill="auto"/>
            <w:vAlign w:val="center"/>
          </w:tcPr>
          <w:p w14:paraId="4CD2AE5F">
            <w:pPr>
              <w:spacing w:line="300" w:lineRule="exact"/>
              <w:jc w:val="left"/>
              <w:rPr>
                <w:rFonts w:ascii="仿宋" w:hAnsi="仿宋" w:eastAsia="仿宋"/>
              </w:rPr>
            </w:pPr>
            <w:r>
              <w:rPr>
                <w:rFonts w:hint="eastAsia" w:ascii="仿宋" w:hAnsi="仿宋" w:eastAsia="仿宋"/>
              </w:rPr>
              <w:t>加强社会管理、维护农村稳定</w:t>
            </w:r>
          </w:p>
        </w:tc>
        <w:tc>
          <w:tcPr>
            <w:tcW w:w="737" w:type="dxa"/>
            <w:shd w:val="clear" w:color="auto" w:fill="auto"/>
            <w:vAlign w:val="center"/>
          </w:tcPr>
          <w:p w14:paraId="004F478C">
            <w:pPr>
              <w:spacing w:line="300" w:lineRule="exact"/>
              <w:jc w:val="center"/>
              <w:rPr>
                <w:rFonts w:ascii="仿宋" w:hAnsi="仿宋" w:eastAsia="仿宋"/>
              </w:rPr>
            </w:pPr>
            <w:r>
              <w:rPr>
                <w:rFonts w:hint="eastAsia" w:ascii="仿宋" w:hAnsi="仿宋" w:eastAsia="仿宋"/>
              </w:rPr>
              <w:t>100%</w:t>
            </w:r>
          </w:p>
        </w:tc>
        <w:tc>
          <w:tcPr>
            <w:tcW w:w="737" w:type="dxa"/>
            <w:shd w:val="clear" w:color="auto" w:fill="auto"/>
            <w:vAlign w:val="center"/>
          </w:tcPr>
          <w:p w14:paraId="5487FDF3">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6B5C2BA7">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507EC2B8">
            <w:pPr>
              <w:spacing w:line="300" w:lineRule="exact"/>
              <w:rPr>
                <w:rFonts w:ascii="仿宋" w:hAnsi="仿宋" w:eastAsia="仿宋"/>
              </w:rPr>
            </w:pPr>
            <w:r>
              <w:rPr>
                <w:rFonts w:hint="eastAsia" w:ascii="仿宋" w:hAnsi="仿宋" w:eastAsia="仿宋"/>
              </w:rPr>
              <w:t>≤60%</w:t>
            </w:r>
          </w:p>
        </w:tc>
      </w:tr>
      <w:tr w14:paraId="2C163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E5FBF1A">
            <w:pPr>
              <w:spacing w:line="300" w:lineRule="exact"/>
              <w:jc w:val="left"/>
              <w:rPr>
                <w:rFonts w:ascii="仿宋" w:hAnsi="仿宋" w:eastAsia="仿宋"/>
                <w:b/>
              </w:rPr>
            </w:pPr>
            <w:r>
              <w:rPr>
                <w:rFonts w:hint="eastAsia" w:ascii="仿宋" w:hAnsi="仿宋" w:eastAsia="仿宋"/>
                <w:b/>
              </w:rPr>
              <w:t>推进基层民主、促进农村和谐</w:t>
            </w:r>
          </w:p>
        </w:tc>
        <w:tc>
          <w:tcPr>
            <w:tcW w:w="1276" w:type="dxa"/>
            <w:shd w:val="clear" w:color="auto" w:fill="auto"/>
            <w:vAlign w:val="center"/>
          </w:tcPr>
          <w:p w14:paraId="7183175B">
            <w:pPr>
              <w:spacing w:line="300" w:lineRule="exact"/>
              <w:jc w:val="left"/>
              <w:rPr>
                <w:rFonts w:ascii="仿宋" w:hAnsi="仿宋" w:eastAsia="仿宋"/>
              </w:rPr>
            </w:pPr>
          </w:p>
        </w:tc>
        <w:tc>
          <w:tcPr>
            <w:tcW w:w="2976" w:type="dxa"/>
            <w:shd w:val="clear" w:color="auto" w:fill="auto"/>
            <w:vAlign w:val="center"/>
          </w:tcPr>
          <w:p w14:paraId="2D5A1F97">
            <w:pPr>
              <w:spacing w:line="300" w:lineRule="exact"/>
              <w:jc w:val="left"/>
              <w:rPr>
                <w:rFonts w:ascii="仿宋" w:hAnsi="仿宋" w:eastAsia="仿宋"/>
              </w:rPr>
            </w:pPr>
            <w:r>
              <w:rPr>
                <w:rFonts w:hint="eastAsia" w:ascii="仿宋" w:hAnsi="仿宋" w:eastAsia="仿宋"/>
              </w:rPr>
              <w:t>坚持党的领导，保障农民群众的选举权；健全完善村党组织领导的充满活力的村民自治机构，保障村民的参与权；健全村务公开制度，保障农民群众的知情权；规范民主决策机制，拓展村民民主参与村级事务的渠道，调动村民群众生产生活中的突出问题，切实维护农民合法权益；创新方法，不断深化基层民主管理内涵，着力解决基层民主管理中的薄弱问题，进一步密切党群干群关系、巩固党的执政基础，促进和谐社会建设。</w:t>
            </w:r>
          </w:p>
        </w:tc>
        <w:tc>
          <w:tcPr>
            <w:tcW w:w="2976" w:type="dxa"/>
            <w:shd w:val="clear" w:color="auto" w:fill="auto"/>
            <w:vAlign w:val="center"/>
          </w:tcPr>
          <w:p w14:paraId="22D8A397">
            <w:pPr>
              <w:spacing w:line="300" w:lineRule="exact"/>
              <w:jc w:val="left"/>
              <w:rPr>
                <w:rFonts w:ascii="仿宋" w:hAnsi="仿宋" w:eastAsia="仿宋"/>
              </w:rPr>
            </w:pPr>
            <w:r>
              <w:rPr>
                <w:rFonts w:hint="eastAsia" w:ascii="仿宋" w:hAnsi="仿宋" w:eastAsia="仿宋"/>
              </w:rPr>
              <w:t>坚持党的领导，保障农民群众的选举权；健全完善村党组织领导的充满活力的村民自治机构，保障村民的参与权；健全村务公开制度，保障农民群众的知情权；规范民主决策机制，拓展村民民主参与村级事务的渠道，调动村民群众生产生活中的突出问题，切实维护农民合法权益；创新方法，不断深化基层民主管理内涵，着力解决基层民主管理中的薄弱问题，进一步密切党群干群关系、巩固党的执政基础，促进和谐社会建设。</w:t>
            </w:r>
          </w:p>
        </w:tc>
        <w:tc>
          <w:tcPr>
            <w:tcW w:w="1417" w:type="dxa"/>
            <w:shd w:val="clear" w:color="auto" w:fill="auto"/>
            <w:vAlign w:val="center"/>
          </w:tcPr>
          <w:p w14:paraId="64705C11">
            <w:pPr>
              <w:spacing w:line="300" w:lineRule="exact"/>
              <w:jc w:val="left"/>
              <w:rPr>
                <w:rFonts w:ascii="仿宋" w:hAnsi="仿宋" w:eastAsia="仿宋"/>
              </w:rPr>
            </w:pPr>
          </w:p>
        </w:tc>
        <w:tc>
          <w:tcPr>
            <w:tcW w:w="737" w:type="dxa"/>
            <w:shd w:val="clear" w:color="auto" w:fill="auto"/>
            <w:vAlign w:val="center"/>
          </w:tcPr>
          <w:p w14:paraId="12DDDA2D">
            <w:pPr>
              <w:spacing w:line="300" w:lineRule="exact"/>
              <w:jc w:val="center"/>
              <w:rPr>
                <w:rFonts w:ascii="仿宋" w:hAnsi="仿宋" w:eastAsia="仿宋"/>
              </w:rPr>
            </w:pPr>
            <w:r>
              <w:rPr>
                <w:rFonts w:hint="eastAsia" w:ascii="仿宋" w:hAnsi="仿宋" w:eastAsia="仿宋"/>
              </w:rPr>
              <w:t>100%</w:t>
            </w:r>
          </w:p>
        </w:tc>
        <w:tc>
          <w:tcPr>
            <w:tcW w:w="737" w:type="dxa"/>
            <w:shd w:val="clear" w:color="auto" w:fill="auto"/>
            <w:vAlign w:val="center"/>
          </w:tcPr>
          <w:p w14:paraId="4C8FFC11">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356FE982">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343E0837">
            <w:pPr>
              <w:spacing w:line="300" w:lineRule="exact"/>
              <w:rPr>
                <w:rFonts w:ascii="仿宋" w:hAnsi="仿宋" w:eastAsia="仿宋"/>
              </w:rPr>
            </w:pPr>
            <w:r>
              <w:rPr>
                <w:rFonts w:hint="eastAsia" w:ascii="仿宋" w:hAnsi="仿宋" w:eastAsia="仿宋"/>
              </w:rPr>
              <w:t>≤60%</w:t>
            </w:r>
          </w:p>
        </w:tc>
      </w:tr>
      <w:tr w14:paraId="568E6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0F2D419">
            <w:pPr>
              <w:spacing w:line="300" w:lineRule="exact"/>
              <w:jc w:val="left"/>
              <w:rPr>
                <w:rFonts w:ascii="仿宋" w:hAnsi="仿宋" w:eastAsia="仿宋"/>
                <w:b/>
              </w:rPr>
            </w:pPr>
            <w:r>
              <w:rPr>
                <w:rFonts w:hint="eastAsia" w:ascii="仿宋" w:hAnsi="仿宋" w:eastAsia="仿宋"/>
                <w:b/>
              </w:rPr>
              <w:t>　　推进基层民主、促进农村和谐</w:t>
            </w:r>
          </w:p>
        </w:tc>
        <w:tc>
          <w:tcPr>
            <w:tcW w:w="1276" w:type="dxa"/>
            <w:shd w:val="clear" w:color="auto" w:fill="auto"/>
            <w:vAlign w:val="center"/>
          </w:tcPr>
          <w:p w14:paraId="08EB2100">
            <w:pPr>
              <w:spacing w:line="300" w:lineRule="exact"/>
              <w:jc w:val="left"/>
              <w:rPr>
                <w:rFonts w:ascii="仿宋" w:hAnsi="仿宋" w:eastAsia="仿宋"/>
              </w:rPr>
            </w:pPr>
          </w:p>
        </w:tc>
        <w:tc>
          <w:tcPr>
            <w:tcW w:w="2976" w:type="dxa"/>
            <w:shd w:val="clear" w:color="auto" w:fill="auto"/>
            <w:vAlign w:val="center"/>
          </w:tcPr>
          <w:p w14:paraId="0C6FD7EE">
            <w:pPr>
              <w:spacing w:line="300" w:lineRule="exact"/>
              <w:jc w:val="left"/>
              <w:rPr>
                <w:rFonts w:ascii="仿宋" w:hAnsi="仿宋" w:eastAsia="仿宋"/>
              </w:rPr>
            </w:pPr>
            <w:r>
              <w:rPr>
                <w:rFonts w:hint="eastAsia" w:ascii="仿宋" w:hAnsi="仿宋" w:eastAsia="仿宋"/>
              </w:rPr>
              <w:t>坚持党的领导，保障农民群众的选举权；健全完善村党组织领导的充满活力的村民自治机构，保障村民的参与权；健全村务公开制度，保障农民群众的知情权；规范民主决策机制，拓展村民民主参与村级事务的渠道，调动村民群众生产生活中的突出问题，切实维护农民合法权益；创新方法，不断深化基层民主管理内涵，着力解决基层民主管理中的薄弱问题，进一步密切党群干群关系、巩固党的执政基础，促进和谐社会建设。</w:t>
            </w:r>
          </w:p>
        </w:tc>
        <w:tc>
          <w:tcPr>
            <w:tcW w:w="2976" w:type="dxa"/>
            <w:shd w:val="clear" w:color="auto" w:fill="auto"/>
            <w:vAlign w:val="center"/>
          </w:tcPr>
          <w:p w14:paraId="3A72E4D4">
            <w:pPr>
              <w:spacing w:line="300" w:lineRule="exact"/>
              <w:jc w:val="left"/>
              <w:rPr>
                <w:rFonts w:ascii="仿宋" w:hAnsi="仿宋" w:eastAsia="仿宋"/>
              </w:rPr>
            </w:pPr>
            <w:r>
              <w:rPr>
                <w:rFonts w:hint="eastAsia" w:ascii="仿宋" w:hAnsi="仿宋" w:eastAsia="仿宋"/>
              </w:rPr>
              <w:t>推进基层民主、促进农村和谐</w:t>
            </w:r>
          </w:p>
        </w:tc>
        <w:tc>
          <w:tcPr>
            <w:tcW w:w="1417" w:type="dxa"/>
            <w:shd w:val="clear" w:color="auto" w:fill="auto"/>
            <w:vAlign w:val="center"/>
          </w:tcPr>
          <w:p w14:paraId="5A0E36B3">
            <w:pPr>
              <w:spacing w:line="300" w:lineRule="exact"/>
              <w:jc w:val="left"/>
              <w:rPr>
                <w:rFonts w:ascii="仿宋" w:hAnsi="仿宋" w:eastAsia="仿宋"/>
              </w:rPr>
            </w:pPr>
            <w:r>
              <w:rPr>
                <w:rFonts w:hint="eastAsia" w:ascii="仿宋" w:hAnsi="仿宋" w:eastAsia="仿宋"/>
              </w:rPr>
              <w:t>推进基层民主、促进农村和谐</w:t>
            </w:r>
          </w:p>
        </w:tc>
        <w:tc>
          <w:tcPr>
            <w:tcW w:w="737" w:type="dxa"/>
            <w:shd w:val="clear" w:color="auto" w:fill="auto"/>
            <w:vAlign w:val="center"/>
          </w:tcPr>
          <w:p w14:paraId="2AAA9D81">
            <w:pPr>
              <w:spacing w:line="300" w:lineRule="exact"/>
              <w:jc w:val="center"/>
              <w:rPr>
                <w:rFonts w:ascii="仿宋" w:hAnsi="仿宋" w:eastAsia="仿宋"/>
              </w:rPr>
            </w:pPr>
            <w:r>
              <w:rPr>
                <w:rFonts w:ascii="仿宋" w:hAnsi="仿宋" w:eastAsia="仿宋"/>
              </w:rPr>
              <w:t>100</w:t>
            </w:r>
            <w:r>
              <w:rPr>
                <w:rFonts w:hint="eastAsia" w:ascii="仿宋" w:hAnsi="仿宋" w:eastAsia="仿宋"/>
              </w:rPr>
              <w:t>%</w:t>
            </w:r>
          </w:p>
        </w:tc>
        <w:tc>
          <w:tcPr>
            <w:tcW w:w="737" w:type="dxa"/>
            <w:shd w:val="clear" w:color="auto" w:fill="auto"/>
            <w:vAlign w:val="center"/>
          </w:tcPr>
          <w:p w14:paraId="272F2198">
            <w:pPr>
              <w:spacing w:line="300" w:lineRule="exact"/>
              <w:jc w:val="center"/>
              <w:rPr>
                <w:rFonts w:ascii="仿宋" w:hAnsi="仿宋" w:eastAsia="仿宋"/>
              </w:rPr>
            </w:pPr>
            <w:r>
              <w:rPr>
                <w:rFonts w:hint="eastAsia" w:ascii="仿宋" w:hAnsi="仿宋" w:eastAsia="仿宋"/>
              </w:rPr>
              <w:t>≥80%</w:t>
            </w:r>
          </w:p>
        </w:tc>
        <w:tc>
          <w:tcPr>
            <w:tcW w:w="737" w:type="dxa"/>
            <w:shd w:val="clear" w:color="auto" w:fill="auto"/>
            <w:vAlign w:val="center"/>
          </w:tcPr>
          <w:p w14:paraId="7EC97547">
            <w:pPr>
              <w:spacing w:line="300" w:lineRule="exact"/>
              <w:jc w:val="center"/>
              <w:rPr>
                <w:rFonts w:ascii="仿宋" w:hAnsi="仿宋" w:eastAsia="仿宋"/>
              </w:rPr>
            </w:pPr>
            <w:r>
              <w:rPr>
                <w:rFonts w:hint="eastAsia" w:ascii="仿宋" w:hAnsi="仿宋" w:eastAsia="仿宋"/>
              </w:rPr>
              <w:t>≥70%</w:t>
            </w:r>
          </w:p>
        </w:tc>
        <w:tc>
          <w:tcPr>
            <w:tcW w:w="737" w:type="dxa"/>
            <w:shd w:val="clear" w:color="auto" w:fill="auto"/>
            <w:vAlign w:val="center"/>
          </w:tcPr>
          <w:p w14:paraId="0BA79C21">
            <w:pPr>
              <w:spacing w:line="300" w:lineRule="exact"/>
              <w:rPr>
                <w:rFonts w:ascii="仿宋" w:hAnsi="仿宋" w:eastAsia="仿宋"/>
              </w:rPr>
            </w:pPr>
            <w:r>
              <w:rPr>
                <w:rFonts w:hint="eastAsia" w:ascii="仿宋" w:hAnsi="仿宋" w:eastAsia="仿宋"/>
              </w:rPr>
              <w:t>≤60%</w:t>
            </w:r>
          </w:p>
        </w:tc>
      </w:tr>
    </w:tbl>
    <w:p w14:paraId="0D23BC7B">
      <w:pPr>
        <w:spacing w:line="300" w:lineRule="exact"/>
        <w:jc w:val="left"/>
        <w:outlineLvl w:val="0"/>
        <w:rPr>
          <w:rFonts w:ascii="仿宋" w:hAnsi="仿宋" w:eastAsia="仿宋"/>
        </w:rPr>
        <w:sectPr>
          <w:pgSz w:w="16839" w:h="11907" w:orient="landscape"/>
          <w:pgMar w:top="1020" w:right="1361" w:bottom="1020" w:left="1361" w:header="851" w:footer="992" w:gutter="0"/>
          <w:cols w:space="0" w:num="1"/>
          <w:docGrid w:type="lines" w:linePitch="318" w:charSpace="0"/>
        </w:sectPr>
      </w:pPr>
    </w:p>
    <w:p w14:paraId="12BC17E6">
      <w:pPr>
        <w:widowControl/>
        <w:spacing w:line="360" w:lineRule="auto"/>
        <w:ind w:firstLine="640" w:firstLineChars="200"/>
        <w:jc w:val="left"/>
        <w:rPr>
          <w:rFonts w:ascii="黑体" w:hAnsi="黑体" w:eastAsia="黑体" w:cs="黑体"/>
          <w:kern w:val="0"/>
          <w:sz w:val="32"/>
          <w:szCs w:val="32"/>
        </w:rPr>
      </w:pPr>
      <w:r>
        <w:rPr>
          <w:rFonts w:hint="eastAsia" w:ascii="黑体" w:hAnsi="黑体" w:eastAsia="黑体" w:cs="黑体"/>
          <w:kern w:val="0"/>
          <w:sz w:val="32"/>
          <w:szCs w:val="32"/>
        </w:rPr>
        <w:t>六、政府采购预算情况</w:t>
      </w:r>
    </w:p>
    <w:tbl>
      <w:tblPr>
        <w:tblStyle w:val="6"/>
        <w:tblW w:w="1400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53"/>
        <w:gridCol w:w="709"/>
        <w:gridCol w:w="1984"/>
        <w:gridCol w:w="851"/>
        <w:gridCol w:w="708"/>
        <w:gridCol w:w="844"/>
        <w:gridCol w:w="857"/>
        <w:gridCol w:w="851"/>
        <w:gridCol w:w="850"/>
        <w:gridCol w:w="851"/>
        <w:gridCol w:w="709"/>
        <w:gridCol w:w="850"/>
        <w:gridCol w:w="851"/>
        <w:gridCol w:w="933"/>
      </w:tblGrid>
      <w:tr w14:paraId="29596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106" w:type="dxa"/>
            <w:gridSpan w:val="7"/>
            <w:tcBorders>
              <w:top w:val="single" w:color="FFFFFF" w:sz="6" w:space="0"/>
              <w:left w:val="single" w:color="FFFFFF" w:sz="6" w:space="0"/>
              <w:right w:val="single" w:color="FFFFFF" w:sz="6" w:space="0"/>
            </w:tcBorders>
            <w:vAlign w:val="center"/>
          </w:tcPr>
          <w:p w14:paraId="52136F87">
            <w:pPr>
              <w:spacing w:line="560" w:lineRule="exact"/>
              <w:jc w:val="center"/>
              <w:rPr>
                <w:rFonts w:ascii="仿宋" w:hAnsi="仿宋" w:eastAsia="仿宋" w:cs="Times New Roman"/>
              </w:rPr>
            </w:pPr>
            <w:r>
              <w:rPr>
                <w:rFonts w:hint="eastAsia" w:ascii="仿宋" w:hAnsi="仿宋" w:eastAsia="仿宋" w:cs="方正小标宋_GBK"/>
              </w:rPr>
              <w:t>部门（单位）名称：柏寺营乡人民政府</w:t>
            </w:r>
          </w:p>
        </w:tc>
        <w:tc>
          <w:tcPr>
            <w:tcW w:w="5895" w:type="dxa"/>
            <w:gridSpan w:val="7"/>
            <w:tcBorders>
              <w:top w:val="single" w:color="FFFFFF" w:sz="6" w:space="0"/>
              <w:left w:val="single" w:color="FFFFFF" w:sz="6" w:space="0"/>
              <w:right w:val="single" w:color="FFFFFF" w:sz="6" w:space="0"/>
            </w:tcBorders>
            <w:vAlign w:val="center"/>
          </w:tcPr>
          <w:p w14:paraId="58E36432">
            <w:pPr>
              <w:spacing w:line="560" w:lineRule="exact"/>
              <w:jc w:val="center"/>
              <w:rPr>
                <w:rFonts w:ascii="仿宋" w:hAnsi="仿宋" w:eastAsia="仿宋" w:cs="Times New Roman"/>
                <w:sz w:val="24"/>
                <w:szCs w:val="24"/>
              </w:rPr>
            </w:pPr>
            <w:r>
              <w:rPr>
                <w:rFonts w:hint="eastAsia" w:ascii="仿宋" w:hAnsi="仿宋" w:eastAsia="仿宋" w:cs="方正书宋_GBK"/>
                <w:sz w:val="24"/>
                <w:szCs w:val="24"/>
              </w:rPr>
              <w:t>单位：万元</w:t>
            </w:r>
          </w:p>
        </w:tc>
      </w:tr>
      <w:tr w14:paraId="658D9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62" w:type="dxa"/>
            <w:gridSpan w:val="2"/>
            <w:vAlign w:val="center"/>
          </w:tcPr>
          <w:p w14:paraId="6948A30B">
            <w:pPr>
              <w:spacing w:line="560" w:lineRule="exact"/>
              <w:jc w:val="center"/>
              <w:rPr>
                <w:rFonts w:ascii="宋体" w:hAnsi="宋体" w:eastAsia="宋体" w:cs="Times New Roman"/>
                <w:b/>
                <w:bCs/>
              </w:rPr>
            </w:pPr>
            <w:r>
              <w:rPr>
                <w:rFonts w:hint="eastAsia" w:ascii="宋体" w:hAnsi="宋体" w:eastAsia="宋体" w:cs="方正书宋_GBK"/>
                <w:b/>
                <w:bCs/>
              </w:rPr>
              <w:t>政府采购项目来源</w:t>
            </w:r>
          </w:p>
        </w:tc>
        <w:tc>
          <w:tcPr>
            <w:tcW w:w="1984" w:type="dxa"/>
            <w:vMerge w:val="restart"/>
            <w:vAlign w:val="center"/>
          </w:tcPr>
          <w:p w14:paraId="57739786">
            <w:pPr>
              <w:spacing w:line="560" w:lineRule="exact"/>
              <w:jc w:val="center"/>
              <w:rPr>
                <w:rFonts w:ascii="宋体" w:hAnsi="宋体" w:eastAsia="宋体" w:cs="Times New Roman"/>
                <w:b/>
                <w:bCs/>
              </w:rPr>
            </w:pPr>
            <w:r>
              <w:rPr>
                <w:rFonts w:hint="eastAsia" w:ascii="宋体" w:hAnsi="宋体" w:eastAsia="宋体" w:cs="方正书宋_GBK"/>
                <w:b/>
                <w:bCs/>
              </w:rPr>
              <w:t>采购物品名称</w:t>
            </w:r>
          </w:p>
        </w:tc>
        <w:tc>
          <w:tcPr>
            <w:tcW w:w="851" w:type="dxa"/>
            <w:vMerge w:val="restart"/>
            <w:vAlign w:val="center"/>
          </w:tcPr>
          <w:p w14:paraId="09C553ED">
            <w:pPr>
              <w:spacing w:line="280" w:lineRule="exact"/>
              <w:jc w:val="center"/>
              <w:rPr>
                <w:rFonts w:ascii="宋体" w:hAnsi="宋体" w:eastAsia="宋体" w:cs="Times New Roman"/>
                <w:b/>
                <w:bCs/>
              </w:rPr>
            </w:pPr>
            <w:r>
              <w:rPr>
                <w:rFonts w:hint="eastAsia" w:ascii="宋体" w:hAnsi="宋体" w:eastAsia="宋体" w:cs="方正书宋_GBK"/>
                <w:b/>
                <w:bCs/>
              </w:rPr>
              <w:t>政府采购目录序号</w:t>
            </w:r>
          </w:p>
        </w:tc>
        <w:tc>
          <w:tcPr>
            <w:tcW w:w="708" w:type="dxa"/>
            <w:vMerge w:val="restart"/>
            <w:vAlign w:val="center"/>
          </w:tcPr>
          <w:p w14:paraId="7448EA0E">
            <w:pPr>
              <w:spacing w:line="280" w:lineRule="exact"/>
              <w:jc w:val="center"/>
              <w:rPr>
                <w:rFonts w:ascii="宋体" w:hAnsi="宋体" w:eastAsia="宋体" w:cs="Times New Roman"/>
                <w:b/>
                <w:bCs/>
              </w:rPr>
            </w:pPr>
            <w:r>
              <w:rPr>
                <w:rFonts w:hint="eastAsia" w:ascii="宋体" w:hAnsi="宋体" w:eastAsia="宋体" w:cs="方正书宋_GBK"/>
                <w:b/>
                <w:bCs/>
              </w:rPr>
              <w:t>数量单位</w:t>
            </w:r>
          </w:p>
        </w:tc>
        <w:tc>
          <w:tcPr>
            <w:tcW w:w="844" w:type="dxa"/>
            <w:vMerge w:val="restart"/>
            <w:vAlign w:val="center"/>
          </w:tcPr>
          <w:p w14:paraId="5ED922B0">
            <w:pPr>
              <w:spacing w:line="280" w:lineRule="exact"/>
              <w:jc w:val="center"/>
              <w:rPr>
                <w:rFonts w:ascii="宋体" w:hAnsi="宋体" w:eastAsia="宋体" w:cs="Times New Roman"/>
                <w:b/>
                <w:bCs/>
              </w:rPr>
            </w:pPr>
            <w:r>
              <w:rPr>
                <w:rFonts w:hint="eastAsia" w:ascii="宋体" w:hAnsi="宋体" w:eastAsia="宋体" w:cs="方正书宋_GBK"/>
                <w:b/>
                <w:bCs/>
              </w:rPr>
              <w:t>数量</w:t>
            </w:r>
          </w:p>
        </w:tc>
        <w:tc>
          <w:tcPr>
            <w:tcW w:w="857" w:type="dxa"/>
            <w:vMerge w:val="restart"/>
            <w:vAlign w:val="center"/>
          </w:tcPr>
          <w:p w14:paraId="19503B7C">
            <w:pPr>
              <w:spacing w:line="280" w:lineRule="exact"/>
              <w:jc w:val="center"/>
              <w:rPr>
                <w:rFonts w:ascii="宋体" w:hAnsi="宋体" w:eastAsia="宋体" w:cs="Times New Roman"/>
                <w:b/>
                <w:bCs/>
              </w:rPr>
            </w:pPr>
            <w:r>
              <w:rPr>
                <w:rFonts w:hint="eastAsia" w:ascii="宋体" w:hAnsi="宋体" w:eastAsia="宋体" w:cs="方正书宋_GBK"/>
                <w:b/>
                <w:bCs/>
              </w:rPr>
              <w:t>单价</w:t>
            </w:r>
          </w:p>
        </w:tc>
        <w:tc>
          <w:tcPr>
            <w:tcW w:w="5895" w:type="dxa"/>
            <w:gridSpan w:val="7"/>
            <w:vAlign w:val="center"/>
          </w:tcPr>
          <w:p w14:paraId="531560DF">
            <w:pPr>
              <w:spacing w:line="280" w:lineRule="exact"/>
              <w:jc w:val="center"/>
              <w:rPr>
                <w:rFonts w:ascii="宋体" w:hAnsi="宋体" w:eastAsia="宋体" w:cs="Times New Roman"/>
                <w:b/>
                <w:bCs/>
              </w:rPr>
            </w:pPr>
            <w:r>
              <w:rPr>
                <w:rFonts w:hint="eastAsia" w:ascii="宋体" w:hAnsi="宋体" w:eastAsia="宋体" w:cs="方正书宋_GBK"/>
                <w:b/>
                <w:bCs/>
              </w:rPr>
              <w:t>政府采购金额</w:t>
            </w:r>
          </w:p>
        </w:tc>
      </w:tr>
      <w:tr w14:paraId="4E262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53" w:type="dxa"/>
            <w:vMerge w:val="restart"/>
            <w:vAlign w:val="center"/>
          </w:tcPr>
          <w:p w14:paraId="30DD3929">
            <w:pPr>
              <w:spacing w:line="560" w:lineRule="exact"/>
              <w:jc w:val="center"/>
              <w:rPr>
                <w:rFonts w:ascii="宋体" w:hAnsi="宋体" w:eastAsia="宋体" w:cs="Times New Roman"/>
                <w:b/>
                <w:bCs/>
              </w:rPr>
            </w:pPr>
            <w:r>
              <w:rPr>
                <w:rFonts w:hint="eastAsia" w:ascii="宋体" w:hAnsi="宋体" w:eastAsia="宋体" w:cs="方正书宋_GBK"/>
                <w:b/>
                <w:bCs/>
              </w:rPr>
              <w:t>项目名称</w:t>
            </w:r>
          </w:p>
        </w:tc>
        <w:tc>
          <w:tcPr>
            <w:tcW w:w="709" w:type="dxa"/>
            <w:vMerge w:val="restart"/>
            <w:vAlign w:val="center"/>
          </w:tcPr>
          <w:p w14:paraId="2242EC25">
            <w:pPr>
              <w:spacing w:line="560" w:lineRule="exact"/>
              <w:jc w:val="center"/>
              <w:rPr>
                <w:rFonts w:ascii="宋体" w:hAnsi="宋体" w:eastAsia="宋体" w:cs="Times New Roman"/>
                <w:b/>
                <w:bCs/>
              </w:rPr>
            </w:pPr>
            <w:r>
              <w:rPr>
                <w:rFonts w:hint="eastAsia" w:ascii="宋体" w:hAnsi="宋体" w:eastAsia="宋体" w:cs="方正书宋_GBK"/>
                <w:b/>
                <w:bCs/>
              </w:rPr>
              <w:t>预算资金</w:t>
            </w:r>
          </w:p>
        </w:tc>
        <w:tc>
          <w:tcPr>
            <w:tcW w:w="1984" w:type="dxa"/>
            <w:vMerge w:val="continue"/>
            <w:vAlign w:val="center"/>
          </w:tcPr>
          <w:p w14:paraId="1FF0EF27">
            <w:pPr>
              <w:spacing w:line="560" w:lineRule="exact"/>
              <w:jc w:val="center"/>
              <w:outlineLvl w:val="0"/>
              <w:rPr>
                <w:rFonts w:ascii="宋体" w:hAnsi="宋体" w:eastAsia="宋体" w:cs="Times New Roman"/>
              </w:rPr>
            </w:pPr>
          </w:p>
        </w:tc>
        <w:tc>
          <w:tcPr>
            <w:tcW w:w="851" w:type="dxa"/>
            <w:vMerge w:val="continue"/>
            <w:vAlign w:val="center"/>
          </w:tcPr>
          <w:p w14:paraId="041D2E04">
            <w:pPr>
              <w:spacing w:line="280" w:lineRule="exact"/>
              <w:jc w:val="center"/>
              <w:outlineLvl w:val="0"/>
              <w:rPr>
                <w:rFonts w:ascii="宋体" w:hAnsi="宋体" w:eastAsia="宋体" w:cs="Times New Roman"/>
              </w:rPr>
            </w:pPr>
          </w:p>
        </w:tc>
        <w:tc>
          <w:tcPr>
            <w:tcW w:w="708" w:type="dxa"/>
            <w:vMerge w:val="continue"/>
            <w:vAlign w:val="center"/>
          </w:tcPr>
          <w:p w14:paraId="6D9480BE">
            <w:pPr>
              <w:spacing w:line="280" w:lineRule="exact"/>
              <w:jc w:val="center"/>
              <w:outlineLvl w:val="0"/>
              <w:rPr>
                <w:rFonts w:ascii="宋体" w:hAnsi="宋体" w:eastAsia="宋体" w:cs="Times New Roman"/>
              </w:rPr>
            </w:pPr>
          </w:p>
        </w:tc>
        <w:tc>
          <w:tcPr>
            <w:tcW w:w="844" w:type="dxa"/>
            <w:vMerge w:val="continue"/>
            <w:vAlign w:val="center"/>
          </w:tcPr>
          <w:p w14:paraId="7DB43D44">
            <w:pPr>
              <w:spacing w:line="280" w:lineRule="exact"/>
              <w:jc w:val="center"/>
              <w:outlineLvl w:val="0"/>
              <w:rPr>
                <w:rFonts w:ascii="宋体" w:hAnsi="宋体" w:eastAsia="宋体" w:cs="Times New Roman"/>
              </w:rPr>
            </w:pPr>
          </w:p>
        </w:tc>
        <w:tc>
          <w:tcPr>
            <w:tcW w:w="857" w:type="dxa"/>
            <w:vMerge w:val="continue"/>
            <w:vAlign w:val="center"/>
          </w:tcPr>
          <w:p w14:paraId="6BD0EEBA">
            <w:pPr>
              <w:spacing w:line="280" w:lineRule="exact"/>
              <w:jc w:val="center"/>
              <w:outlineLvl w:val="0"/>
              <w:rPr>
                <w:rFonts w:ascii="宋体" w:hAnsi="宋体" w:eastAsia="宋体" w:cs="Times New Roman"/>
              </w:rPr>
            </w:pPr>
          </w:p>
        </w:tc>
        <w:tc>
          <w:tcPr>
            <w:tcW w:w="851" w:type="dxa"/>
            <w:vMerge w:val="restart"/>
            <w:vAlign w:val="center"/>
          </w:tcPr>
          <w:p w14:paraId="1728D90F">
            <w:pPr>
              <w:spacing w:line="280" w:lineRule="exact"/>
              <w:jc w:val="center"/>
              <w:rPr>
                <w:rFonts w:ascii="宋体" w:hAnsi="宋体" w:eastAsia="宋体" w:cs="Times New Roman"/>
                <w:b/>
                <w:bCs/>
              </w:rPr>
            </w:pPr>
            <w:r>
              <w:rPr>
                <w:rFonts w:hint="eastAsia" w:ascii="宋体" w:hAnsi="宋体" w:eastAsia="宋体" w:cs="方正书宋_GBK"/>
                <w:b/>
                <w:bCs/>
              </w:rPr>
              <w:t>总计</w:t>
            </w:r>
          </w:p>
        </w:tc>
        <w:tc>
          <w:tcPr>
            <w:tcW w:w="4111" w:type="dxa"/>
            <w:gridSpan w:val="5"/>
            <w:vAlign w:val="center"/>
          </w:tcPr>
          <w:p w14:paraId="67084166">
            <w:pPr>
              <w:spacing w:line="280" w:lineRule="exact"/>
              <w:jc w:val="center"/>
              <w:rPr>
                <w:rFonts w:ascii="宋体" w:hAnsi="宋体" w:eastAsia="宋体" w:cs="Times New Roman"/>
                <w:b/>
                <w:bCs/>
              </w:rPr>
            </w:pPr>
            <w:r>
              <w:rPr>
                <w:rFonts w:hint="eastAsia" w:ascii="宋体" w:hAnsi="宋体" w:eastAsia="宋体" w:cs="方正书宋_GBK"/>
                <w:b/>
                <w:bCs/>
              </w:rPr>
              <w:t>当年部门预算安排资金</w:t>
            </w:r>
          </w:p>
        </w:tc>
        <w:tc>
          <w:tcPr>
            <w:tcW w:w="933" w:type="dxa"/>
            <w:vMerge w:val="restart"/>
            <w:vAlign w:val="center"/>
          </w:tcPr>
          <w:p w14:paraId="015478D3">
            <w:pPr>
              <w:spacing w:line="280" w:lineRule="exact"/>
              <w:jc w:val="center"/>
              <w:rPr>
                <w:rFonts w:ascii="宋体" w:hAnsi="宋体" w:eastAsia="宋体" w:cs="Times New Roman"/>
                <w:b/>
                <w:bCs/>
              </w:rPr>
            </w:pPr>
            <w:r>
              <w:rPr>
                <w:rFonts w:hint="eastAsia" w:ascii="宋体" w:hAnsi="宋体" w:eastAsia="宋体" w:cs="方正书宋_GBK"/>
                <w:b/>
                <w:bCs/>
              </w:rPr>
              <w:t>其他渠道资金</w:t>
            </w:r>
          </w:p>
        </w:tc>
      </w:tr>
      <w:tr w14:paraId="6D3C9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53" w:type="dxa"/>
            <w:vMerge w:val="continue"/>
            <w:vAlign w:val="center"/>
          </w:tcPr>
          <w:p w14:paraId="5720FBBF">
            <w:pPr>
              <w:spacing w:line="560" w:lineRule="exact"/>
              <w:jc w:val="center"/>
              <w:outlineLvl w:val="0"/>
              <w:rPr>
                <w:rFonts w:ascii="宋体" w:hAnsi="宋体" w:eastAsia="宋体" w:cs="Times New Roman"/>
              </w:rPr>
            </w:pPr>
          </w:p>
        </w:tc>
        <w:tc>
          <w:tcPr>
            <w:tcW w:w="709" w:type="dxa"/>
            <w:vMerge w:val="continue"/>
            <w:vAlign w:val="center"/>
          </w:tcPr>
          <w:p w14:paraId="3ECED07D">
            <w:pPr>
              <w:spacing w:line="560" w:lineRule="exact"/>
              <w:jc w:val="center"/>
              <w:outlineLvl w:val="0"/>
              <w:rPr>
                <w:rFonts w:ascii="宋体" w:hAnsi="宋体" w:eastAsia="宋体" w:cs="Times New Roman"/>
              </w:rPr>
            </w:pPr>
          </w:p>
        </w:tc>
        <w:tc>
          <w:tcPr>
            <w:tcW w:w="1984" w:type="dxa"/>
            <w:vMerge w:val="continue"/>
            <w:vAlign w:val="center"/>
          </w:tcPr>
          <w:p w14:paraId="1284FCEF">
            <w:pPr>
              <w:spacing w:line="560" w:lineRule="exact"/>
              <w:jc w:val="center"/>
              <w:outlineLvl w:val="0"/>
              <w:rPr>
                <w:rFonts w:ascii="宋体" w:hAnsi="宋体" w:eastAsia="宋体" w:cs="Times New Roman"/>
              </w:rPr>
            </w:pPr>
          </w:p>
        </w:tc>
        <w:tc>
          <w:tcPr>
            <w:tcW w:w="851" w:type="dxa"/>
            <w:vMerge w:val="continue"/>
            <w:vAlign w:val="center"/>
          </w:tcPr>
          <w:p w14:paraId="7CC802B5">
            <w:pPr>
              <w:spacing w:line="280" w:lineRule="exact"/>
              <w:jc w:val="center"/>
              <w:outlineLvl w:val="0"/>
              <w:rPr>
                <w:rFonts w:ascii="宋体" w:hAnsi="宋体" w:eastAsia="宋体" w:cs="Times New Roman"/>
              </w:rPr>
            </w:pPr>
          </w:p>
        </w:tc>
        <w:tc>
          <w:tcPr>
            <w:tcW w:w="708" w:type="dxa"/>
            <w:vMerge w:val="continue"/>
            <w:vAlign w:val="center"/>
          </w:tcPr>
          <w:p w14:paraId="5AFF64C3">
            <w:pPr>
              <w:spacing w:line="280" w:lineRule="exact"/>
              <w:jc w:val="center"/>
              <w:outlineLvl w:val="0"/>
              <w:rPr>
                <w:rFonts w:ascii="宋体" w:hAnsi="宋体" w:eastAsia="宋体" w:cs="Times New Roman"/>
              </w:rPr>
            </w:pPr>
          </w:p>
        </w:tc>
        <w:tc>
          <w:tcPr>
            <w:tcW w:w="844" w:type="dxa"/>
            <w:vMerge w:val="continue"/>
            <w:vAlign w:val="center"/>
          </w:tcPr>
          <w:p w14:paraId="446584D2">
            <w:pPr>
              <w:spacing w:line="280" w:lineRule="exact"/>
              <w:jc w:val="center"/>
              <w:outlineLvl w:val="0"/>
              <w:rPr>
                <w:rFonts w:ascii="宋体" w:hAnsi="宋体" w:eastAsia="宋体" w:cs="Times New Roman"/>
              </w:rPr>
            </w:pPr>
          </w:p>
        </w:tc>
        <w:tc>
          <w:tcPr>
            <w:tcW w:w="857" w:type="dxa"/>
            <w:vMerge w:val="continue"/>
            <w:vAlign w:val="center"/>
          </w:tcPr>
          <w:p w14:paraId="6A16FA90">
            <w:pPr>
              <w:spacing w:line="280" w:lineRule="exact"/>
              <w:jc w:val="center"/>
              <w:outlineLvl w:val="0"/>
              <w:rPr>
                <w:rFonts w:ascii="宋体" w:hAnsi="宋体" w:eastAsia="宋体" w:cs="Times New Roman"/>
              </w:rPr>
            </w:pPr>
          </w:p>
        </w:tc>
        <w:tc>
          <w:tcPr>
            <w:tcW w:w="851" w:type="dxa"/>
            <w:vMerge w:val="continue"/>
            <w:vAlign w:val="center"/>
          </w:tcPr>
          <w:p w14:paraId="2B75D7A5">
            <w:pPr>
              <w:spacing w:line="280" w:lineRule="exact"/>
              <w:jc w:val="center"/>
              <w:outlineLvl w:val="0"/>
              <w:rPr>
                <w:rFonts w:ascii="宋体" w:hAnsi="宋体" w:eastAsia="宋体" w:cs="Times New Roman"/>
              </w:rPr>
            </w:pPr>
          </w:p>
        </w:tc>
        <w:tc>
          <w:tcPr>
            <w:tcW w:w="850" w:type="dxa"/>
            <w:vAlign w:val="center"/>
          </w:tcPr>
          <w:p w14:paraId="353FED17">
            <w:pPr>
              <w:spacing w:line="280" w:lineRule="exact"/>
              <w:jc w:val="center"/>
              <w:rPr>
                <w:rFonts w:ascii="宋体" w:hAnsi="宋体" w:eastAsia="宋体" w:cs="Times New Roman"/>
                <w:b/>
                <w:bCs/>
              </w:rPr>
            </w:pPr>
            <w:r>
              <w:rPr>
                <w:rFonts w:hint="eastAsia" w:ascii="宋体" w:hAnsi="宋体" w:eastAsia="宋体" w:cs="方正书宋_GBK"/>
                <w:b/>
                <w:bCs/>
              </w:rPr>
              <w:t>合计</w:t>
            </w:r>
          </w:p>
        </w:tc>
        <w:tc>
          <w:tcPr>
            <w:tcW w:w="851" w:type="dxa"/>
            <w:vAlign w:val="center"/>
          </w:tcPr>
          <w:p w14:paraId="0465AB9D">
            <w:pPr>
              <w:spacing w:line="280" w:lineRule="exact"/>
              <w:jc w:val="center"/>
              <w:rPr>
                <w:rFonts w:ascii="宋体" w:hAnsi="宋体" w:eastAsia="宋体" w:cs="Times New Roman"/>
                <w:b/>
                <w:bCs/>
              </w:rPr>
            </w:pPr>
            <w:r>
              <w:rPr>
                <w:rFonts w:hint="eastAsia" w:ascii="宋体" w:hAnsi="宋体" w:eastAsia="宋体" w:cs="方正书宋_GBK"/>
                <w:b/>
                <w:bCs/>
              </w:rPr>
              <w:t>一般公共预算拨款</w:t>
            </w:r>
          </w:p>
        </w:tc>
        <w:tc>
          <w:tcPr>
            <w:tcW w:w="709" w:type="dxa"/>
            <w:vAlign w:val="center"/>
          </w:tcPr>
          <w:p w14:paraId="7DB655C5">
            <w:pPr>
              <w:spacing w:line="280" w:lineRule="exact"/>
              <w:jc w:val="center"/>
              <w:rPr>
                <w:rFonts w:ascii="宋体" w:hAnsi="宋体" w:eastAsia="宋体" w:cs="Times New Roman"/>
                <w:b/>
                <w:bCs/>
              </w:rPr>
            </w:pPr>
            <w:r>
              <w:rPr>
                <w:rFonts w:hint="eastAsia" w:ascii="宋体" w:hAnsi="宋体" w:eastAsia="宋体" w:cs="方正书宋_GBK"/>
                <w:b/>
                <w:bCs/>
              </w:rPr>
              <w:t>基金预算拨款</w:t>
            </w:r>
          </w:p>
        </w:tc>
        <w:tc>
          <w:tcPr>
            <w:tcW w:w="850" w:type="dxa"/>
            <w:vAlign w:val="center"/>
          </w:tcPr>
          <w:p w14:paraId="75D1602D">
            <w:pPr>
              <w:spacing w:line="280" w:lineRule="exact"/>
              <w:jc w:val="center"/>
              <w:rPr>
                <w:rFonts w:ascii="宋体" w:hAnsi="宋体" w:eastAsia="宋体" w:cs="Times New Roman"/>
                <w:b/>
                <w:bCs/>
              </w:rPr>
            </w:pPr>
            <w:r>
              <w:rPr>
                <w:rFonts w:hint="eastAsia" w:ascii="宋体" w:hAnsi="宋体" w:eastAsia="宋体" w:cs="方正书宋_GBK"/>
                <w:b/>
                <w:bCs/>
              </w:rPr>
              <w:t>财政专户核拨</w:t>
            </w:r>
          </w:p>
        </w:tc>
        <w:tc>
          <w:tcPr>
            <w:tcW w:w="851" w:type="dxa"/>
            <w:vAlign w:val="center"/>
          </w:tcPr>
          <w:p w14:paraId="52A71DBB">
            <w:pPr>
              <w:spacing w:line="280" w:lineRule="exact"/>
              <w:jc w:val="center"/>
              <w:rPr>
                <w:rFonts w:ascii="宋体" w:hAnsi="宋体" w:eastAsia="宋体" w:cs="Times New Roman"/>
                <w:b/>
                <w:bCs/>
              </w:rPr>
            </w:pPr>
            <w:r>
              <w:rPr>
                <w:rFonts w:hint="eastAsia" w:ascii="宋体" w:hAnsi="宋体" w:eastAsia="宋体" w:cs="方正书宋_GBK"/>
                <w:b/>
                <w:bCs/>
              </w:rPr>
              <w:t>其他来源收入</w:t>
            </w:r>
          </w:p>
        </w:tc>
        <w:tc>
          <w:tcPr>
            <w:tcW w:w="933" w:type="dxa"/>
            <w:vMerge w:val="continue"/>
            <w:vAlign w:val="center"/>
          </w:tcPr>
          <w:p w14:paraId="32702F4C">
            <w:pPr>
              <w:spacing w:line="560" w:lineRule="exact"/>
              <w:jc w:val="center"/>
              <w:outlineLvl w:val="0"/>
              <w:rPr>
                <w:rFonts w:ascii="宋体" w:hAnsi="宋体" w:eastAsia="宋体" w:cs="Times New Roman"/>
              </w:rPr>
            </w:pPr>
          </w:p>
        </w:tc>
      </w:tr>
      <w:tr w14:paraId="6554A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391C9546">
            <w:pPr>
              <w:rPr>
                <w:rFonts w:ascii="宋体" w:hAnsi="宋体" w:eastAsia="宋体" w:cs="宋体"/>
                <w:color w:val="000000"/>
                <w:sz w:val="18"/>
                <w:szCs w:val="18"/>
              </w:rPr>
            </w:pPr>
            <w:r>
              <w:rPr>
                <w:rFonts w:hint="eastAsia" w:eastAsia="宋体"/>
                <w:color w:val="000000" w:themeColor="text1"/>
                <w:sz w:val="18"/>
                <w:szCs w:val="18"/>
              </w:rPr>
              <w:t>日常公用经费</w:t>
            </w:r>
          </w:p>
        </w:tc>
        <w:tc>
          <w:tcPr>
            <w:tcW w:w="709" w:type="dxa"/>
            <w:vAlign w:val="center"/>
          </w:tcPr>
          <w:p w14:paraId="66CE12F7">
            <w:pPr>
              <w:spacing w:line="560" w:lineRule="exact"/>
              <w:jc w:val="center"/>
              <w:rPr>
                <w:rFonts w:ascii="宋体" w:hAnsi="宋体" w:eastAsia="宋体" w:cs="Times New Roman"/>
              </w:rPr>
            </w:pPr>
            <w:r>
              <w:rPr>
                <w:rFonts w:hint="eastAsia" w:ascii="宋体" w:hAnsi="宋体" w:eastAsia="宋体" w:cs="Times New Roman"/>
              </w:rPr>
              <w:t>2</w:t>
            </w:r>
          </w:p>
        </w:tc>
        <w:tc>
          <w:tcPr>
            <w:tcW w:w="1984" w:type="dxa"/>
            <w:vAlign w:val="center"/>
          </w:tcPr>
          <w:p w14:paraId="5C563330">
            <w:pPr>
              <w:jc w:val="center"/>
              <w:rPr>
                <w:rFonts w:ascii="宋体" w:hAnsi="宋体" w:eastAsia="宋体" w:cs="宋体"/>
                <w:color w:val="000000"/>
                <w:sz w:val="18"/>
                <w:szCs w:val="18"/>
              </w:rPr>
            </w:pPr>
            <w:r>
              <w:rPr>
                <w:rFonts w:hint="eastAsia"/>
                <w:color w:val="000000"/>
                <w:sz w:val="18"/>
                <w:szCs w:val="18"/>
              </w:rPr>
              <w:t>A</w:t>
            </w:r>
            <w:r>
              <w:rPr>
                <w:rStyle w:val="11"/>
                <w:rFonts w:hint="default"/>
              </w:rPr>
              <w:t>02010104台式计算机</w:t>
            </w:r>
          </w:p>
        </w:tc>
        <w:tc>
          <w:tcPr>
            <w:tcW w:w="851" w:type="dxa"/>
            <w:vAlign w:val="center"/>
          </w:tcPr>
          <w:p w14:paraId="527A16D7">
            <w:pPr>
              <w:spacing w:line="560" w:lineRule="exact"/>
              <w:jc w:val="left"/>
              <w:rPr>
                <w:rFonts w:ascii="宋体" w:hAnsi="宋体" w:eastAsia="宋体" w:cs="Times New Roman"/>
              </w:rPr>
            </w:pPr>
            <w:r>
              <w:rPr>
                <w:rFonts w:hint="eastAsia" w:ascii="宋体" w:hAnsi="宋体" w:eastAsia="宋体" w:cs="Times New Roman"/>
                <w:sz w:val="18"/>
                <w:szCs w:val="18"/>
              </w:rPr>
              <w:t>A02010104</w:t>
            </w:r>
          </w:p>
        </w:tc>
        <w:tc>
          <w:tcPr>
            <w:tcW w:w="708" w:type="dxa"/>
            <w:vAlign w:val="center"/>
          </w:tcPr>
          <w:p w14:paraId="380A85FB">
            <w:pPr>
              <w:spacing w:line="560" w:lineRule="exact"/>
              <w:jc w:val="center"/>
              <w:rPr>
                <w:rFonts w:ascii="宋体" w:hAnsi="宋体" w:eastAsia="宋体" w:cs="Times New Roman"/>
              </w:rPr>
            </w:pPr>
            <w:r>
              <w:rPr>
                <w:rFonts w:hint="eastAsia" w:ascii="宋体" w:hAnsi="宋体" w:eastAsia="宋体" w:cs="Times New Roman"/>
              </w:rPr>
              <w:t>台</w:t>
            </w:r>
          </w:p>
        </w:tc>
        <w:tc>
          <w:tcPr>
            <w:tcW w:w="844" w:type="dxa"/>
            <w:vAlign w:val="center"/>
          </w:tcPr>
          <w:p w14:paraId="7B692EB2">
            <w:pPr>
              <w:spacing w:line="560" w:lineRule="exact"/>
              <w:jc w:val="center"/>
              <w:rPr>
                <w:rFonts w:ascii="宋体" w:hAnsi="宋体" w:eastAsia="宋体" w:cs="Times New Roman"/>
              </w:rPr>
            </w:pPr>
            <w:r>
              <w:rPr>
                <w:rFonts w:hint="eastAsia" w:ascii="宋体" w:hAnsi="宋体" w:eastAsia="宋体" w:cs="Times New Roman"/>
              </w:rPr>
              <w:t>5</w:t>
            </w:r>
          </w:p>
        </w:tc>
        <w:tc>
          <w:tcPr>
            <w:tcW w:w="857" w:type="dxa"/>
            <w:vAlign w:val="center"/>
          </w:tcPr>
          <w:p w14:paraId="548F7DB9">
            <w:pPr>
              <w:spacing w:line="560" w:lineRule="exact"/>
              <w:jc w:val="center"/>
              <w:rPr>
                <w:rFonts w:ascii="宋体" w:hAnsi="宋体" w:eastAsia="宋体" w:cs="Times New Roman"/>
              </w:rPr>
            </w:pPr>
            <w:r>
              <w:rPr>
                <w:rFonts w:hint="eastAsia" w:ascii="宋体" w:hAnsi="宋体" w:eastAsia="宋体" w:cs="Times New Roman"/>
              </w:rPr>
              <w:t>0.4</w:t>
            </w:r>
          </w:p>
        </w:tc>
        <w:tc>
          <w:tcPr>
            <w:tcW w:w="851" w:type="dxa"/>
            <w:vAlign w:val="center"/>
          </w:tcPr>
          <w:p w14:paraId="526F06E7">
            <w:pPr>
              <w:spacing w:line="560" w:lineRule="exact"/>
              <w:jc w:val="center"/>
              <w:rPr>
                <w:rFonts w:ascii="宋体" w:hAnsi="宋体" w:eastAsia="宋体" w:cs="Times New Roman"/>
              </w:rPr>
            </w:pPr>
            <w:r>
              <w:rPr>
                <w:rFonts w:hint="eastAsia" w:ascii="宋体" w:hAnsi="宋体" w:eastAsia="宋体" w:cs="Times New Roman"/>
              </w:rPr>
              <w:t>2</w:t>
            </w:r>
          </w:p>
        </w:tc>
        <w:tc>
          <w:tcPr>
            <w:tcW w:w="850" w:type="dxa"/>
            <w:vAlign w:val="center"/>
          </w:tcPr>
          <w:p w14:paraId="36AA7E24">
            <w:pPr>
              <w:spacing w:line="560" w:lineRule="exact"/>
              <w:jc w:val="center"/>
              <w:rPr>
                <w:rFonts w:ascii="宋体" w:hAnsi="宋体" w:eastAsia="宋体" w:cs="Times New Roman"/>
              </w:rPr>
            </w:pPr>
            <w:r>
              <w:rPr>
                <w:rFonts w:hint="eastAsia" w:ascii="宋体" w:hAnsi="宋体" w:eastAsia="宋体" w:cs="Times New Roman"/>
              </w:rPr>
              <w:t>2</w:t>
            </w:r>
          </w:p>
        </w:tc>
        <w:tc>
          <w:tcPr>
            <w:tcW w:w="851" w:type="dxa"/>
            <w:vAlign w:val="center"/>
          </w:tcPr>
          <w:p w14:paraId="423F09B3">
            <w:pPr>
              <w:spacing w:line="560" w:lineRule="exact"/>
              <w:jc w:val="center"/>
              <w:rPr>
                <w:rFonts w:ascii="宋体" w:hAnsi="宋体" w:eastAsia="宋体" w:cs="Times New Roman"/>
              </w:rPr>
            </w:pPr>
            <w:r>
              <w:rPr>
                <w:rFonts w:hint="eastAsia" w:ascii="宋体" w:hAnsi="宋体" w:eastAsia="宋体" w:cs="Times New Roman"/>
              </w:rPr>
              <w:t>2</w:t>
            </w:r>
          </w:p>
        </w:tc>
        <w:tc>
          <w:tcPr>
            <w:tcW w:w="709" w:type="dxa"/>
            <w:vAlign w:val="center"/>
          </w:tcPr>
          <w:p w14:paraId="35B89982">
            <w:pPr>
              <w:spacing w:line="560" w:lineRule="exact"/>
              <w:jc w:val="center"/>
              <w:rPr>
                <w:rFonts w:ascii="宋体" w:hAnsi="宋体" w:eastAsia="宋体" w:cs="Times New Roman"/>
              </w:rPr>
            </w:pPr>
          </w:p>
        </w:tc>
        <w:tc>
          <w:tcPr>
            <w:tcW w:w="850" w:type="dxa"/>
            <w:vAlign w:val="center"/>
          </w:tcPr>
          <w:p w14:paraId="39DAE499">
            <w:pPr>
              <w:spacing w:line="560" w:lineRule="exact"/>
              <w:jc w:val="center"/>
              <w:rPr>
                <w:rFonts w:ascii="宋体" w:hAnsi="宋体" w:eastAsia="宋体" w:cs="Times New Roman"/>
              </w:rPr>
            </w:pPr>
          </w:p>
        </w:tc>
        <w:tc>
          <w:tcPr>
            <w:tcW w:w="851" w:type="dxa"/>
            <w:vAlign w:val="center"/>
          </w:tcPr>
          <w:p w14:paraId="78AD137E">
            <w:pPr>
              <w:spacing w:line="560" w:lineRule="exact"/>
              <w:jc w:val="center"/>
              <w:rPr>
                <w:rFonts w:ascii="宋体" w:hAnsi="宋体" w:eastAsia="宋体" w:cs="Times New Roman"/>
              </w:rPr>
            </w:pPr>
          </w:p>
        </w:tc>
        <w:tc>
          <w:tcPr>
            <w:tcW w:w="933" w:type="dxa"/>
            <w:vAlign w:val="center"/>
          </w:tcPr>
          <w:p w14:paraId="5B4889AC">
            <w:pPr>
              <w:spacing w:line="560" w:lineRule="exact"/>
              <w:jc w:val="center"/>
              <w:rPr>
                <w:rFonts w:ascii="宋体" w:hAnsi="宋体" w:eastAsia="宋体" w:cs="Times New Roman"/>
              </w:rPr>
            </w:pPr>
          </w:p>
        </w:tc>
      </w:tr>
      <w:tr w14:paraId="14C97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01E1D357">
            <w:pPr>
              <w:rPr>
                <w:rFonts w:ascii="宋体" w:hAnsi="宋体" w:eastAsia="宋体" w:cs="宋体"/>
                <w:color w:val="000000"/>
                <w:sz w:val="18"/>
                <w:szCs w:val="18"/>
              </w:rPr>
            </w:pPr>
            <w:r>
              <w:rPr>
                <w:rFonts w:hint="eastAsia" w:eastAsia="宋体"/>
                <w:color w:val="000000"/>
                <w:sz w:val="18"/>
                <w:szCs w:val="18"/>
              </w:rPr>
              <w:t>日常公用经费</w:t>
            </w:r>
          </w:p>
        </w:tc>
        <w:tc>
          <w:tcPr>
            <w:tcW w:w="709" w:type="dxa"/>
            <w:vAlign w:val="center"/>
          </w:tcPr>
          <w:p w14:paraId="55679E07">
            <w:pPr>
              <w:spacing w:line="560" w:lineRule="exact"/>
              <w:jc w:val="center"/>
              <w:rPr>
                <w:rFonts w:ascii="宋体" w:hAnsi="宋体" w:eastAsia="宋体" w:cs="Times New Roman"/>
              </w:rPr>
            </w:pPr>
            <w:r>
              <w:rPr>
                <w:rFonts w:hint="eastAsia" w:ascii="宋体" w:hAnsi="宋体" w:eastAsia="宋体" w:cs="Times New Roman"/>
              </w:rPr>
              <w:t>1</w:t>
            </w:r>
          </w:p>
        </w:tc>
        <w:tc>
          <w:tcPr>
            <w:tcW w:w="1984" w:type="dxa"/>
            <w:vAlign w:val="center"/>
          </w:tcPr>
          <w:p w14:paraId="4D567F19">
            <w:pPr>
              <w:jc w:val="center"/>
              <w:rPr>
                <w:rFonts w:ascii="宋体" w:hAnsi="宋体" w:eastAsia="宋体" w:cs="宋体"/>
                <w:color w:val="000000"/>
                <w:sz w:val="18"/>
                <w:szCs w:val="18"/>
              </w:rPr>
            </w:pPr>
            <w:r>
              <w:rPr>
                <w:rFonts w:hint="eastAsia"/>
                <w:color w:val="000000"/>
                <w:sz w:val="18"/>
                <w:szCs w:val="18"/>
              </w:rPr>
              <w:t>复印机</w:t>
            </w:r>
          </w:p>
        </w:tc>
        <w:tc>
          <w:tcPr>
            <w:tcW w:w="851" w:type="dxa"/>
            <w:vAlign w:val="center"/>
          </w:tcPr>
          <w:p w14:paraId="5D6EC2FE">
            <w:pPr>
              <w:spacing w:line="560" w:lineRule="exact"/>
              <w:jc w:val="left"/>
              <w:rPr>
                <w:rFonts w:ascii="宋体" w:hAnsi="宋体" w:eastAsia="宋体" w:cs="Times New Roman"/>
              </w:rPr>
            </w:pPr>
            <w:r>
              <w:rPr>
                <w:rFonts w:hint="eastAsia" w:ascii="宋体" w:hAnsi="宋体" w:eastAsia="宋体" w:cs="Times New Roman"/>
                <w:sz w:val="18"/>
                <w:szCs w:val="18"/>
              </w:rPr>
              <w:t>A020201</w:t>
            </w:r>
          </w:p>
        </w:tc>
        <w:tc>
          <w:tcPr>
            <w:tcW w:w="708" w:type="dxa"/>
            <w:vAlign w:val="center"/>
          </w:tcPr>
          <w:p w14:paraId="55DEF1E5">
            <w:pPr>
              <w:spacing w:line="560" w:lineRule="exact"/>
              <w:jc w:val="center"/>
              <w:rPr>
                <w:rFonts w:ascii="宋体" w:hAnsi="宋体" w:eastAsia="宋体" w:cs="Times New Roman"/>
              </w:rPr>
            </w:pPr>
            <w:r>
              <w:rPr>
                <w:rFonts w:hint="eastAsia" w:ascii="宋体" w:hAnsi="宋体" w:eastAsia="宋体" w:cs="Times New Roman"/>
              </w:rPr>
              <w:t>台</w:t>
            </w:r>
          </w:p>
        </w:tc>
        <w:tc>
          <w:tcPr>
            <w:tcW w:w="844" w:type="dxa"/>
            <w:vAlign w:val="center"/>
          </w:tcPr>
          <w:p w14:paraId="2481C754">
            <w:pPr>
              <w:spacing w:line="560" w:lineRule="exact"/>
              <w:jc w:val="center"/>
              <w:rPr>
                <w:rFonts w:ascii="宋体" w:hAnsi="宋体" w:eastAsia="宋体" w:cs="Times New Roman"/>
              </w:rPr>
            </w:pPr>
            <w:r>
              <w:rPr>
                <w:rFonts w:hint="eastAsia" w:ascii="宋体" w:hAnsi="宋体" w:eastAsia="宋体" w:cs="Times New Roman"/>
              </w:rPr>
              <w:t>2</w:t>
            </w:r>
          </w:p>
        </w:tc>
        <w:tc>
          <w:tcPr>
            <w:tcW w:w="857" w:type="dxa"/>
            <w:vAlign w:val="center"/>
          </w:tcPr>
          <w:p w14:paraId="043D60EF">
            <w:pPr>
              <w:spacing w:line="560" w:lineRule="exact"/>
              <w:jc w:val="center"/>
              <w:rPr>
                <w:rFonts w:ascii="宋体" w:hAnsi="宋体" w:eastAsia="宋体" w:cs="Times New Roman"/>
              </w:rPr>
            </w:pPr>
            <w:r>
              <w:rPr>
                <w:rFonts w:hint="eastAsia" w:ascii="宋体" w:hAnsi="宋体" w:eastAsia="宋体" w:cs="Times New Roman"/>
              </w:rPr>
              <w:t>0.5</w:t>
            </w:r>
          </w:p>
        </w:tc>
        <w:tc>
          <w:tcPr>
            <w:tcW w:w="851" w:type="dxa"/>
            <w:vAlign w:val="center"/>
          </w:tcPr>
          <w:p w14:paraId="0D479128">
            <w:pPr>
              <w:spacing w:line="560" w:lineRule="exact"/>
              <w:jc w:val="center"/>
              <w:rPr>
                <w:rFonts w:ascii="宋体" w:hAnsi="宋体" w:eastAsia="宋体" w:cs="Times New Roman"/>
              </w:rPr>
            </w:pPr>
            <w:r>
              <w:rPr>
                <w:rFonts w:hint="eastAsia" w:ascii="宋体" w:hAnsi="宋体" w:eastAsia="宋体" w:cs="Times New Roman"/>
              </w:rPr>
              <w:t>1</w:t>
            </w:r>
          </w:p>
        </w:tc>
        <w:tc>
          <w:tcPr>
            <w:tcW w:w="850" w:type="dxa"/>
            <w:vAlign w:val="center"/>
          </w:tcPr>
          <w:p w14:paraId="51B63D9F">
            <w:pPr>
              <w:spacing w:line="560" w:lineRule="exact"/>
              <w:jc w:val="center"/>
              <w:rPr>
                <w:rFonts w:ascii="宋体" w:hAnsi="宋体" w:eastAsia="宋体" w:cs="Times New Roman"/>
              </w:rPr>
            </w:pPr>
            <w:r>
              <w:rPr>
                <w:rFonts w:hint="eastAsia" w:ascii="宋体" w:hAnsi="宋体" w:eastAsia="宋体" w:cs="Times New Roman"/>
              </w:rPr>
              <w:t>1</w:t>
            </w:r>
          </w:p>
        </w:tc>
        <w:tc>
          <w:tcPr>
            <w:tcW w:w="851" w:type="dxa"/>
            <w:vAlign w:val="center"/>
          </w:tcPr>
          <w:p w14:paraId="7EE40B8B">
            <w:pPr>
              <w:spacing w:line="560" w:lineRule="exact"/>
              <w:jc w:val="center"/>
              <w:rPr>
                <w:rFonts w:ascii="宋体" w:hAnsi="宋体" w:eastAsia="宋体" w:cs="Times New Roman"/>
              </w:rPr>
            </w:pPr>
            <w:r>
              <w:rPr>
                <w:rFonts w:hint="eastAsia" w:ascii="宋体" w:hAnsi="宋体" w:eastAsia="宋体" w:cs="Times New Roman"/>
              </w:rPr>
              <w:t>1</w:t>
            </w:r>
          </w:p>
        </w:tc>
        <w:tc>
          <w:tcPr>
            <w:tcW w:w="709" w:type="dxa"/>
            <w:vAlign w:val="center"/>
          </w:tcPr>
          <w:p w14:paraId="7514A16B">
            <w:pPr>
              <w:spacing w:line="560" w:lineRule="exact"/>
              <w:jc w:val="center"/>
              <w:rPr>
                <w:rFonts w:ascii="宋体" w:hAnsi="宋体" w:eastAsia="宋体" w:cs="Times New Roman"/>
              </w:rPr>
            </w:pPr>
          </w:p>
        </w:tc>
        <w:tc>
          <w:tcPr>
            <w:tcW w:w="850" w:type="dxa"/>
            <w:vAlign w:val="center"/>
          </w:tcPr>
          <w:p w14:paraId="7C5BD1C4">
            <w:pPr>
              <w:spacing w:line="560" w:lineRule="exact"/>
              <w:jc w:val="center"/>
              <w:rPr>
                <w:rFonts w:ascii="宋体" w:hAnsi="宋体" w:eastAsia="宋体" w:cs="Times New Roman"/>
              </w:rPr>
            </w:pPr>
          </w:p>
        </w:tc>
        <w:tc>
          <w:tcPr>
            <w:tcW w:w="851" w:type="dxa"/>
            <w:vAlign w:val="center"/>
          </w:tcPr>
          <w:p w14:paraId="4900C937">
            <w:pPr>
              <w:spacing w:line="560" w:lineRule="exact"/>
              <w:jc w:val="center"/>
              <w:rPr>
                <w:rFonts w:ascii="宋体" w:hAnsi="宋体" w:eastAsia="宋体" w:cs="Times New Roman"/>
              </w:rPr>
            </w:pPr>
          </w:p>
        </w:tc>
        <w:tc>
          <w:tcPr>
            <w:tcW w:w="933" w:type="dxa"/>
            <w:vAlign w:val="center"/>
          </w:tcPr>
          <w:p w14:paraId="3094A30C">
            <w:pPr>
              <w:spacing w:line="560" w:lineRule="exact"/>
              <w:jc w:val="center"/>
              <w:rPr>
                <w:rFonts w:ascii="宋体" w:hAnsi="宋体" w:eastAsia="宋体" w:cs="Times New Roman"/>
              </w:rPr>
            </w:pPr>
          </w:p>
        </w:tc>
      </w:tr>
      <w:tr w14:paraId="03E63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6062A652">
            <w:pPr>
              <w:rPr>
                <w:rFonts w:ascii="宋体" w:hAnsi="宋体" w:eastAsia="宋体" w:cs="宋体"/>
                <w:color w:val="000000"/>
                <w:sz w:val="18"/>
                <w:szCs w:val="18"/>
              </w:rPr>
            </w:pPr>
            <w:r>
              <w:rPr>
                <w:rFonts w:hint="eastAsia" w:eastAsia="宋体"/>
                <w:color w:val="000000"/>
                <w:sz w:val="18"/>
                <w:szCs w:val="18"/>
              </w:rPr>
              <w:t>日常公用经费</w:t>
            </w:r>
          </w:p>
        </w:tc>
        <w:tc>
          <w:tcPr>
            <w:tcW w:w="709" w:type="dxa"/>
            <w:vAlign w:val="center"/>
          </w:tcPr>
          <w:p w14:paraId="0B7B74D9">
            <w:pPr>
              <w:spacing w:line="560" w:lineRule="exact"/>
              <w:jc w:val="center"/>
              <w:rPr>
                <w:rFonts w:ascii="宋体" w:hAnsi="宋体" w:eastAsia="宋体" w:cs="Times New Roman"/>
              </w:rPr>
            </w:pPr>
            <w:r>
              <w:rPr>
                <w:rFonts w:hint="eastAsia" w:ascii="宋体" w:hAnsi="宋体" w:eastAsia="宋体" w:cs="Times New Roman"/>
              </w:rPr>
              <w:t>2</w:t>
            </w:r>
          </w:p>
        </w:tc>
        <w:tc>
          <w:tcPr>
            <w:tcW w:w="1984" w:type="dxa"/>
            <w:vAlign w:val="center"/>
          </w:tcPr>
          <w:p w14:paraId="004EA816">
            <w:pPr>
              <w:jc w:val="center"/>
              <w:rPr>
                <w:rFonts w:ascii="宋体" w:hAnsi="宋体" w:eastAsia="宋体" w:cs="宋体"/>
                <w:color w:val="000000"/>
                <w:sz w:val="18"/>
                <w:szCs w:val="18"/>
              </w:rPr>
            </w:pPr>
            <w:r>
              <w:rPr>
                <w:rFonts w:hint="eastAsia"/>
                <w:color w:val="000000"/>
                <w:sz w:val="18"/>
                <w:szCs w:val="18"/>
              </w:rPr>
              <w:t>空调</w:t>
            </w:r>
          </w:p>
        </w:tc>
        <w:tc>
          <w:tcPr>
            <w:tcW w:w="851" w:type="dxa"/>
            <w:vAlign w:val="center"/>
          </w:tcPr>
          <w:p w14:paraId="5F7AA427">
            <w:pPr>
              <w:spacing w:line="560" w:lineRule="exact"/>
              <w:jc w:val="left"/>
              <w:rPr>
                <w:rFonts w:ascii="宋体" w:hAnsi="宋体" w:eastAsia="宋体" w:cs="Times New Roman"/>
              </w:rPr>
            </w:pPr>
            <w:r>
              <w:rPr>
                <w:rFonts w:hint="eastAsia" w:ascii="宋体" w:hAnsi="宋体" w:eastAsia="宋体" w:cs="Times New Roman"/>
                <w:sz w:val="18"/>
                <w:szCs w:val="18"/>
              </w:rPr>
              <w:t>A020523</w:t>
            </w:r>
          </w:p>
        </w:tc>
        <w:tc>
          <w:tcPr>
            <w:tcW w:w="708" w:type="dxa"/>
            <w:vAlign w:val="center"/>
          </w:tcPr>
          <w:p w14:paraId="2998DE12">
            <w:pPr>
              <w:spacing w:line="560" w:lineRule="exact"/>
              <w:jc w:val="center"/>
              <w:rPr>
                <w:rFonts w:ascii="宋体" w:hAnsi="宋体" w:eastAsia="宋体" w:cs="Times New Roman"/>
              </w:rPr>
            </w:pPr>
            <w:r>
              <w:rPr>
                <w:rFonts w:hint="eastAsia" w:ascii="宋体" w:hAnsi="宋体" w:eastAsia="宋体" w:cs="Times New Roman"/>
              </w:rPr>
              <w:t>台</w:t>
            </w:r>
          </w:p>
        </w:tc>
        <w:tc>
          <w:tcPr>
            <w:tcW w:w="844" w:type="dxa"/>
            <w:vAlign w:val="center"/>
          </w:tcPr>
          <w:p w14:paraId="554D1EDC">
            <w:pPr>
              <w:spacing w:line="560" w:lineRule="exact"/>
              <w:jc w:val="center"/>
              <w:rPr>
                <w:rFonts w:ascii="宋体" w:hAnsi="宋体" w:eastAsia="宋体" w:cs="Times New Roman"/>
              </w:rPr>
            </w:pPr>
            <w:r>
              <w:rPr>
                <w:rFonts w:hint="eastAsia" w:ascii="宋体" w:hAnsi="宋体" w:eastAsia="宋体" w:cs="Times New Roman"/>
              </w:rPr>
              <w:t>5</w:t>
            </w:r>
          </w:p>
        </w:tc>
        <w:tc>
          <w:tcPr>
            <w:tcW w:w="857" w:type="dxa"/>
            <w:vAlign w:val="center"/>
          </w:tcPr>
          <w:p w14:paraId="6895B9A6">
            <w:pPr>
              <w:spacing w:line="560" w:lineRule="exact"/>
              <w:jc w:val="center"/>
              <w:rPr>
                <w:rFonts w:ascii="宋体" w:hAnsi="宋体" w:eastAsia="宋体" w:cs="Times New Roman"/>
              </w:rPr>
            </w:pPr>
            <w:r>
              <w:rPr>
                <w:rFonts w:hint="eastAsia" w:ascii="宋体" w:hAnsi="宋体" w:eastAsia="宋体" w:cs="Times New Roman"/>
              </w:rPr>
              <w:t>0.4</w:t>
            </w:r>
          </w:p>
        </w:tc>
        <w:tc>
          <w:tcPr>
            <w:tcW w:w="851" w:type="dxa"/>
            <w:vAlign w:val="center"/>
          </w:tcPr>
          <w:p w14:paraId="3FAD6786">
            <w:pPr>
              <w:spacing w:line="560" w:lineRule="exact"/>
              <w:jc w:val="center"/>
              <w:rPr>
                <w:rFonts w:ascii="宋体" w:hAnsi="宋体" w:eastAsia="宋体" w:cs="Times New Roman"/>
              </w:rPr>
            </w:pPr>
            <w:r>
              <w:rPr>
                <w:rFonts w:hint="eastAsia" w:ascii="宋体" w:hAnsi="宋体" w:eastAsia="宋体" w:cs="Times New Roman"/>
              </w:rPr>
              <w:t>2</w:t>
            </w:r>
          </w:p>
        </w:tc>
        <w:tc>
          <w:tcPr>
            <w:tcW w:w="850" w:type="dxa"/>
            <w:vAlign w:val="center"/>
          </w:tcPr>
          <w:p w14:paraId="70BE238C">
            <w:pPr>
              <w:spacing w:line="560" w:lineRule="exact"/>
              <w:jc w:val="center"/>
              <w:rPr>
                <w:rFonts w:ascii="宋体" w:hAnsi="宋体" w:eastAsia="宋体" w:cs="Times New Roman"/>
              </w:rPr>
            </w:pPr>
            <w:r>
              <w:rPr>
                <w:rFonts w:hint="eastAsia" w:ascii="宋体" w:hAnsi="宋体" w:eastAsia="宋体" w:cs="Times New Roman"/>
              </w:rPr>
              <w:t>2</w:t>
            </w:r>
          </w:p>
        </w:tc>
        <w:tc>
          <w:tcPr>
            <w:tcW w:w="851" w:type="dxa"/>
            <w:vAlign w:val="center"/>
          </w:tcPr>
          <w:p w14:paraId="7D846C3A">
            <w:pPr>
              <w:spacing w:line="560" w:lineRule="exact"/>
              <w:jc w:val="center"/>
              <w:rPr>
                <w:rFonts w:ascii="宋体" w:hAnsi="宋体" w:eastAsia="宋体" w:cs="Times New Roman"/>
              </w:rPr>
            </w:pPr>
            <w:r>
              <w:rPr>
                <w:rFonts w:hint="eastAsia" w:ascii="宋体" w:hAnsi="宋体" w:eastAsia="宋体" w:cs="Times New Roman"/>
              </w:rPr>
              <w:t>2</w:t>
            </w:r>
          </w:p>
        </w:tc>
        <w:tc>
          <w:tcPr>
            <w:tcW w:w="709" w:type="dxa"/>
            <w:vAlign w:val="center"/>
          </w:tcPr>
          <w:p w14:paraId="1BEFD929">
            <w:pPr>
              <w:spacing w:line="560" w:lineRule="exact"/>
              <w:jc w:val="center"/>
              <w:rPr>
                <w:rFonts w:ascii="宋体" w:hAnsi="宋体" w:eastAsia="宋体" w:cs="Times New Roman"/>
              </w:rPr>
            </w:pPr>
          </w:p>
        </w:tc>
        <w:tc>
          <w:tcPr>
            <w:tcW w:w="850" w:type="dxa"/>
            <w:vAlign w:val="center"/>
          </w:tcPr>
          <w:p w14:paraId="63E67A62">
            <w:pPr>
              <w:spacing w:line="560" w:lineRule="exact"/>
              <w:jc w:val="center"/>
              <w:rPr>
                <w:rFonts w:ascii="宋体" w:hAnsi="宋体" w:eastAsia="宋体" w:cs="Times New Roman"/>
              </w:rPr>
            </w:pPr>
          </w:p>
        </w:tc>
        <w:tc>
          <w:tcPr>
            <w:tcW w:w="851" w:type="dxa"/>
            <w:vAlign w:val="center"/>
          </w:tcPr>
          <w:p w14:paraId="5CCD5BA0">
            <w:pPr>
              <w:spacing w:line="560" w:lineRule="exact"/>
              <w:jc w:val="center"/>
              <w:rPr>
                <w:rFonts w:ascii="宋体" w:hAnsi="宋体" w:eastAsia="宋体" w:cs="Times New Roman"/>
              </w:rPr>
            </w:pPr>
          </w:p>
        </w:tc>
        <w:tc>
          <w:tcPr>
            <w:tcW w:w="933" w:type="dxa"/>
            <w:vAlign w:val="center"/>
          </w:tcPr>
          <w:p w14:paraId="1F5D8757">
            <w:pPr>
              <w:spacing w:line="560" w:lineRule="exact"/>
              <w:jc w:val="center"/>
              <w:rPr>
                <w:rFonts w:ascii="宋体" w:hAnsi="宋体" w:eastAsia="宋体" w:cs="Times New Roman"/>
              </w:rPr>
            </w:pPr>
          </w:p>
        </w:tc>
      </w:tr>
      <w:tr w14:paraId="4FF4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4D67B2A6">
            <w:pPr>
              <w:rPr>
                <w:rFonts w:ascii="宋体" w:hAnsi="宋体" w:eastAsia="宋体" w:cs="宋体"/>
                <w:color w:val="000000"/>
                <w:sz w:val="18"/>
                <w:szCs w:val="18"/>
              </w:rPr>
            </w:pPr>
            <w:r>
              <w:rPr>
                <w:rFonts w:hint="eastAsia" w:eastAsia="宋体"/>
                <w:color w:val="000000"/>
                <w:sz w:val="18"/>
                <w:szCs w:val="18"/>
              </w:rPr>
              <w:t>日常公用经费</w:t>
            </w:r>
          </w:p>
        </w:tc>
        <w:tc>
          <w:tcPr>
            <w:tcW w:w="709" w:type="dxa"/>
            <w:vAlign w:val="center"/>
          </w:tcPr>
          <w:p w14:paraId="217187F0">
            <w:pPr>
              <w:spacing w:line="560" w:lineRule="exact"/>
              <w:jc w:val="center"/>
              <w:rPr>
                <w:rFonts w:ascii="宋体" w:hAnsi="宋体" w:eastAsia="宋体" w:cs="Times New Roman"/>
              </w:rPr>
            </w:pPr>
            <w:r>
              <w:rPr>
                <w:rFonts w:hint="eastAsia" w:ascii="宋体" w:hAnsi="宋体" w:eastAsia="宋体" w:cs="Times New Roman"/>
              </w:rPr>
              <w:t>1.5</w:t>
            </w:r>
          </w:p>
        </w:tc>
        <w:tc>
          <w:tcPr>
            <w:tcW w:w="1984" w:type="dxa"/>
            <w:vAlign w:val="center"/>
          </w:tcPr>
          <w:p w14:paraId="41A0A7B9">
            <w:pPr>
              <w:jc w:val="center"/>
              <w:rPr>
                <w:rFonts w:ascii="宋体" w:hAnsi="宋体" w:eastAsia="宋体" w:cs="宋体"/>
                <w:color w:val="000000"/>
                <w:sz w:val="18"/>
                <w:szCs w:val="18"/>
              </w:rPr>
            </w:pPr>
            <w:r>
              <w:rPr>
                <w:rFonts w:hint="eastAsia"/>
                <w:color w:val="000000"/>
                <w:sz w:val="18"/>
                <w:szCs w:val="18"/>
              </w:rPr>
              <w:t>桌子</w:t>
            </w:r>
          </w:p>
        </w:tc>
        <w:tc>
          <w:tcPr>
            <w:tcW w:w="851" w:type="dxa"/>
            <w:vAlign w:val="center"/>
          </w:tcPr>
          <w:p w14:paraId="75E6945F">
            <w:pPr>
              <w:spacing w:line="560" w:lineRule="exact"/>
              <w:jc w:val="left"/>
              <w:rPr>
                <w:rFonts w:ascii="宋体" w:hAnsi="宋体" w:eastAsia="宋体" w:cs="Times New Roman"/>
              </w:rPr>
            </w:pPr>
            <w:r>
              <w:rPr>
                <w:rFonts w:hint="eastAsia" w:ascii="宋体" w:hAnsi="宋体" w:eastAsia="宋体" w:cs="Times New Roman"/>
                <w:sz w:val="18"/>
                <w:szCs w:val="18"/>
              </w:rPr>
              <w:t>A060205</w:t>
            </w:r>
          </w:p>
        </w:tc>
        <w:tc>
          <w:tcPr>
            <w:tcW w:w="708" w:type="dxa"/>
            <w:vAlign w:val="center"/>
          </w:tcPr>
          <w:p w14:paraId="07DED7AA">
            <w:pPr>
              <w:spacing w:line="560" w:lineRule="exact"/>
              <w:jc w:val="center"/>
              <w:rPr>
                <w:rFonts w:ascii="宋体" w:hAnsi="宋体" w:eastAsia="宋体" w:cs="Times New Roman"/>
              </w:rPr>
            </w:pPr>
            <w:r>
              <w:rPr>
                <w:rFonts w:hint="eastAsia" w:ascii="宋体" w:hAnsi="宋体" w:eastAsia="宋体" w:cs="Times New Roman"/>
              </w:rPr>
              <w:t>张</w:t>
            </w:r>
          </w:p>
        </w:tc>
        <w:tc>
          <w:tcPr>
            <w:tcW w:w="844" w:type="dxa"/>
            <w:vAlign w:val="center"/>
          </w:tcPr>
          <w:p w14:paraId="75A55925">
            <w:pPr>
              <w:spacing w:line="560" w:lineRule="exact"/>
              <w:jc w:val="center"/>
              <w:rPr>
                <w:rFonts w:ascii="宋体" w:hAnsi="宋体" w:eastAsia="宋体" w:cs="Times New Roman"/>
              </w:rPr>
            </w:pPr>
            <w:r>
              <w:rPr>
                <w:rFonts w:hint="eastAsia" w:ascii="宋体" w:hAnsi="宋体" w:eastAsia="宋体" w:cs="Times New Roman"/>
              </w:rPr>
              <w:t>15</w:t>
            </w:r>
          </w:p>
        </w:tc>
        <w:tc>
          <w:tcPr>
            <w:tcW w:w="857" w:type="dxa"/>
            <w:vAlign w:val="center"/>
          </w:tcPr>
          <w:p w14:paraId="18886E58">
            <w:pPr>
              <w:spacing w:line="560" w:lineRule="exact"/>
              <w:jc w:val="center"/>
              <w:rPr>
                <w:rFonts w:ascii="宋体" w:hAnsi="宋体" w:eastAsia="宋体" w:cs="Times New Roman"/>
              </w:rPr>
            </w:pPr>
            <w:r>
              <w:rPr>
                <w:rFonts w:hint="eastAsia" w:ascii="宋体" w:hAnsi="宋体" w:eastAsia="宋体" w:cs="Times New Roman"/>
              </w:rPr>
              <w:t>0.1</w:t>
            </w:r>
          </w:p>
        </w:tc>
        <w:tc>
          <w:tcPr>
            <w:tcW w:w="851" w:type="dxa"/>
            <w:vAlign w:val="center"/>
          </w:tcPr>
          <w:p w14:paraId="501FDB65">
            <w:pPr>
              <w:spacing w:line="560" w:lineRule="exact"/>
              <w:jc w:val="center"/>
              <w:rPr>
                <w:rFonts w:ascii="宋体" w:hAnsi="宋体" w:eastAsia="宋体" w:cs="Times New Roman"/>
              </w:rPr>
            </w:pPr>
            <w:r>
              <w:rPr>
                <w:rFonts w:hint="eastAsia" w:ascii="宋体" w:hAnsi="宋体" w:eastAsia="宋体" w:cs="Times New Roman"/>
              </w:rPr>
              <w:t>1.5</w:t>
            </w:r>
          </w:p>
        </w:tc>
        <w:tc>
          <w:tcPr>
            <w:tcW w:w="850" w:type="dxa"/>
            <w:vAlign w:val="center"/>
          </w:tcPr>
          <w:p w14:paraId="326E5B8E">
            <w:pPr>
              <w:spacing w:line="560" w:lineRule="exact"/>
              <w:jc w:val="center"/>
              <w:rPr>
                <w:rFonts w:ascii="宋体" w:hAnsi="宋体" w:eastAsia="宋体" w:cs="Times New Roman"/>
              </w:rPr>
            </w:pPr>
            <w:r>
              <w:rPr>
                <w:rFonts w:hint="eastAsia" w:ascii="宋体" w:hAnsi="宋体" w:eastAsia="宋体" w:cs="Times New Roman"/>
              </w:rPr>
              <w:t>1.5</w:t>
            </w:r>
          </w:p>
        </w:tc>
        <w:tc>
          <w:tcPr>
            <w:tcW w:w="851" w:type="dxa"/>
            <w:vAlign w:val="center"/>
          </w:tcPr>
          <w:p w14:paraId="7EB536D9">
            <w:pPr>
              <w:spacing w:line="560" w:lineRule="exact"/>
              <w:jc w:val="center"/>
              <w:rPr>
                <w:rFonts w:ascii="宋体" w:hAnsi="宋体" w:eastAsia="宋体" w:cs="Times New Roman"/>
              </w:rPr>
            </w:pPr>
            <w:r>
              <w:rPr>
                <w:rFonts w:hint="eastAsia" w:ascii="宋体" w:hAnsi="宋体" w:eastAsia="宋体" w:cs="Times New Roman"/>
              </w:rPr>
              <w:t>1.5</w:t>
            </w:r>
          </w:p>
        </w:tc>
        <w:tc>
          <w:tcPr>
            <w:tcW w:w="709" w:type="dxa"/>
            <w:vAlign w:val="center"/>
          </w:tcPr>
          <w:p w14:paraId="69A4AE35">
            <w:pPr>
              <w:spacing w:line="560" w:lineRule="exact"/>
              <w:jc w:val="center"/>
              <w:rPr>
                <w:rFonts w:ascii="宋体" w:hAnsi="宋体" w:eastAsia="宋体" w:cs="Times New Roman"/>
              </w:rPr>
            </w:pPr>
          </w:p>
        </w:tc>
        <w:tc>
          <w:tcPr>
            <w:tcW w:w="850" w:type="dxa"/>
            <w:vAlign w:val="center"/>
          </w:tcPr>
          <w:p w14:paraId="318368E9">
            <w:pPr>
              <w:spacing w:line="560" w:lineRule="exact"/>
              <w:jc w:val="center"/>
              <w:rPr>
                <w:rFonts w:ascii="宋体" w:hAnsi="宋体" w:eastAsia="宋体" w:cs="Times New Roman"/>
              </w:rPr>
            </w:pPr>
          </w:p>
        </w:tc>
        <w:tc>
          <w:tcPr>
            <w:tcW w:w="851" w:type="dxa"/>
            <w:vAlign w:val="center"/>
          </w:tcPr>
          <w:p w14:paraId="2E5A7ADB">
            <w:pPr>
              <w:spacing w:line="560" w:lineRule="exact"/>
              <w:jc w:val="center"/>
              <w:rPr>
                <w:rFonts w:ascii="宋体" w:hAnsi="宋体" w:eastAsia="宋体" w:cs="Times New Roman"/>
              </w:rPr>
            </w:pPr>
          </w:p>
        </w:tc>
        <w:tc>
          <w:tcPr>
            <w:tcW w:w="933" w:type="dxa"/>
            <w:vAlign w:val="center"/>
          </w:tcPr>
          <w:p w14:paraId="6506363F">
            <w:pPr>
              <w:spacing w:line="560" w:lineRule="exact"/>
              <w:jc w:val="center"/>
              <w:rPr>
                <w:rFonts w:ascii="宋体" w:hAnsi="宋体" w:eastAsia="宋体" w:cs="Times New Roman"/>
              </w:rPr>
            </w:pPr>
          </w:p>
        </w:tc>
      </w:tr>
      <w:tr w14:paraId="7CD6D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6A7BBFE9">
            <w:pPr>
              <w:rPr>
                <w:rFonts w:ascii="宋体" w:hAnsi="宋体" w:eastAsia="宋体" w:cs="宋体"/>
                <w:color w:val="000000"/>
                <w:sz w:val="18"/>
                <w:szCs w:val="18"/>
              </w:rPr>
            </w:pPr>
            <w:r>
              <w:rPr>
                <w:rFonts w:hint="eastAsia" w:eastAsia="宋体"/>
                <w:color w:val="000000"/>
                <w:sz w:val="18"/>
                <w:szCs w:val="18"/>
              </w:rPr>
              <w:t>日常公用经费</w:t>
            </w:r>
          </w:p>
        </w:tc>
        <w:tc>
          <w:tcPr>
            <w:tcW w:w="709" w:type="dxa"/>
            <w:vAlign w:val="center"/>
          </w:tcPr>
          <w:p w14:paraId="6C0FA7D6">
            <w:pPr>
              <w:spacing w:line="560" w:lineRule="exact"/>
              <w:jc w:val="center"/>
              <w:rPr>
                <w:rFonts w:ascii="宋体" w:hAnsi="宋体" w:eastAsia="宋体" w:cs="Times New Roman"/>
              </w:rPr>
            </w:pPr>
            <w:r>
              <w:rPr>
                <w:rFonts w:hint="eastAsia" w:ascii="宋体" w:hAnsi="宋体" w:eastAsia="宋体" w:cs="Times New Roman"/>
              </w:rPr>
              <w:t>1.75</w:t>
            </w:r>
          </w:p>
        </w:tc>
        <w:tc>
          <w:tcPr>
            <w:tcW w:w="1984" w:type="dxa"/>
            <w:vAlign w:val="center"/>
          </w:tcPr>
          <w:p w14:paraId="52F76FA7">
            <w:pPr>
              <w:jc w:val="center"/>
              <w:rPr>
                <w:rFonts w:ascii="宋体" w:hAnsi="宋体" w:eastAsia="宋体" w:cs="宋体"/>
                <w:color w:val="000000"/>
                <w:sz w:val="18"/>
                <w:szCs w:val="18"/>
              </w:rPr>
            </w:pPr>
            <w:r>
              <w:rPr>
                <w:rFonts w:hint="eastAsia"/>
                <w:color w:val="000000"/>
                <w:sz w:val="18"/>
                <w:szCs w:val="18"/>
              </w:rPr>
              <w:t>椅子</w:t>
            </w:r>
          </w:p>
        </w:tc>
        <w:tc>
          <w:tcPr>
            <w:tcW w:w="851" w:type="dxa"/>
            <w:vAlign w:val="center"/>
          </w:tcPr>
          <w:p w14:paraId="5F83F1D1">
            <w:pPr>
              <w:spacing w:line="560" w:lineRule="exact"/>
              <w:jc w:val="left"/>
              <w:rPr>
                <w:rFonts w:ascii="宋体" w:hAnsi="宋体" w:eastAsia="宋体" w:cs="Times New Roman"/>
              </w:rPr>
            </w:pPr>
            <w:r>
              <w:rPr>
                <w:rFonts w:hint="eastAsia" w:ascii="宋体" w:hAnsi="宋体" w:eastAsia="宋体" w:cs="Times New Roman"/>
                <w:sz w:val="18"/>
                <w:szCs w:val="18"/>
              </w:rPr>
              <w:t>A0699</w:t>
            </w:r>
          </w:p>
        </w:tc>
        <w:tc>
          <w:tcPr>
            <w:tcW w:w="708" w:type="dxa"/>
            <w:vAlign w:val="center"/>
          </w:tcPr>
          <w:p w14:paraId="7ECB6EB1">
            <w:pPr>
              <w:spacing w:line="560" w:lineRule="exact"/>
              <w:jc w:val="center"/>
              <w:rPr>
                <w:rFonts w:ascii="宋体" w:hAnsi="宋体" w:eastAsia="宋体" w:cs="Times New Roman"/>
              </w:rPr>
            </w:pPr>
            <w:r>
              <w:rPr>
                <w:rFonts w:hint="eastAsia" w:ascii="宋体" w:hAnsi="宋体" w:eastAsia="宋体" w:cs="Times New Roman"/>
              </w:rPr>
              <w:t>把</w:t>
            </w:r>
          </w:p>
        </w:tc>
        <w:tc>
          <w:tcPr>
            <w:tcW w:w="844" w:type="dxa"/>
            <w:vAlign w:val="center"/>
          </w:tcPr>
          <w:p w14:paraId="571E96A6">
            <w:pPr>
              <w:spacing w:line="560" w:lineRule="exact"/>
              <w:jc w:val="center"/>
              <w:rPr>
                <w:rFonts w:ascii="宋体" w:hAnsi="宋体" w:eastAsia="宋体" w:cs="Times New Roman"/>
              </w:rPr>
            </w:pPr>
            <w:r>
              <w:rPr>
                <w:rFonts w:hint="eastAsia" w:ascii="宋体" w:hAnsi="宋体" w:eastAsia="宋体" w:cs="Times New Roman"/>
              </w:rPr>
              <w:t>25</w:t>
            </w:r>
          </w:p>
        </w:tc>
        <w:tc>
          <w:tcPr>
            <w:tcW w:w="857" w:type="dxa"/>
            <w:vAlign w:val="center"/>
          </w:tcPr>
          <w:p w14:paraId="7CB40BA0">
            <w:pPr>
              <w:spacing w:line="560" w:lineRule="exact"/>
              <w:jc w:val="center"/>
              <w:rPr>
                <w:rFonts w:ascii="宋体" w:hAnsi="宋体" w:eastAsia="宋体" w:cs="Times New Roman"/>
              </w:rPr>
            </w:pPr>
            <w:r>
              <w:rPr>
                <w:rFonts w:hint="eastAsia" w:ascii="宋体" w:hAnsi="宋体" w:eastAsia="宋体" w:cs="Times New Roman"/>
              </w:rPr>
              <w:t>0.07</w:t>
            </w:r>
          </w:p>
        </w:tc>
        <w:tc>
          <w:tcPr>
            <w:tcW w:w="851" w:type="dxa"/>
            <w:vAlign w:val="center"/>
          </w:tcPr>
          <w:p w14:paraId="15BE0C06">
            <w:pPr>
              <w:spacing w:line="560" w:lineRule="exact"/>
              <w:jc w:val="center"/>
              <w:rPr>
                <w:rFonts w:ascii="宋体" w:hAnsi="宋体" w:eastAsia="宋体" w:cs="Times New Roman"/>
              </w:rPr>
            </w:pPr>
            <w:r>
              <w:rPr>
                <w:rFonts w:hint="eastAsia" w:ascii="宋体" w:hAnsi="宋体" w:eastAsia="宋体" w:cs="Times New Roman"/>
              </w:rPr>
              <w:t>1.75</w:t>
            </w:r>
          </w:p>
        </w:tc>
        <w:tc>
          <w:tcPr>
            <w:tcW w:w="850" w:type="dxa"/>
            <w:vAlign w:val="center"/>
          </w:tcPr>
          <w:p w14:paraId="448C8B16">
            <w:pPr>
              <w:spacing w:line="560" w:lineRule="exact"/>
              <w:jc w:val="center"/>
              <w:rPr>
                <w:rFonts w:ascii="宋体" w:hAnsi="宋体" w:eastAsia="宋体" w:cs="Times New Roman"/>
              </w:rPr>
            </w:pPr>
            <w:r>
              <w:rPr>
                <w:rFonts w:hint="eastAsia" w:ascii="宋体" w:hAnsi="宋体" w:eastAsia="宋体" w:cs="Times New Roman"/>
              </w:rPr>
              <w:t>1.75</w:t>
            </w:r>
          </w:p>
        </w:tc>
        <w:tc>
          <w:tcPr>
            <w:tcW w:w="851" w:type="dxa"/>
            <w:vAlign w:val="center"/>
          </w:tcPr>
          <w:p w14:paraId="5E388BA5">
            <w:pPr>
              <w:spacing w:line="560" w:lineRule="exact"/>
              <w:jc w:val="center"/>
              <w:rPr>
                <w:rFonts w:ascii="宋体" w:hAnsi="宋体" w:eastAsia="宋体" w:cs="Times New Roman"/>
              </w:rPr>
            </w:pPr>
            <w:r>
              <w:rPr>
                <w:rFonts w:hint="eastAsia" w:ascii="宋体" w:hAnsi="宋体" w:eastAsia="宋体" w:cs="Times New Roman"/>
              </w:rPr>
              <w:t>1.75</w:t>
            </w:r>
          </w:p>
        </w:tc>
        <w:tc>
          <w:tcPr>
            <w:tcW w:w="709" w:type="dxa"/>
            <w:vAlign w:val="center"/>
          </w:tcPr>
          <w:p w14:paraId="4D76F784">
            <w:pPr>
              <w:spacing w:line="560" w:lineRule="exact"/>
              <w:jc w:val="center"/>
              <w:rPr>
                <w:rFonts w:ascii="宋体" w:hAnsi="宋体" w:eastAsia="宋体" w:cs="Times New Roman"/>
              </w:rPr>
            </w:pPr>
          </w:p>
        </w:tc>
        <w:tc>
          <w:tcPr>
            <w:tcW w:w="850" w:type="dxa"/>
            <w:vAlign w:val="center"/>
          </w:tcPr>
          <w:p w14:paraId="59106421">
            <w:pPr>
              <w:spacing w:line="560" w:lineRule="exact"/>
              <w:jc w:val="center"/>
              <w:rPr>
                <w:rFonts w:ascii="宋体" w:hAnsi="宋体" w:eastAsia="宋体" w:cs="Times New Roman"/>
              </w:rPr>
            </w:pPr>
          </w:p>
        </w:tc>
        <w:tc>
          <w:tcPr>
            <w:tcW w:w="851" w:type="dxa"/>
            <w:vAlign w:val="center"/>
          </w:tcPr>
          <w:p w14:paraId="6AA2B133">
            <w:pPr>
              <w:spacing w:line="560" w:lineRule="exact"/>
              <w:jc w:val="center"/>
              <w:rPr>
                <w:rFonts w:ascii="宋体" w:hAnsi="宋体" w:eastAsia="宋体" w:cs="Times New Roman"/>
              </w:rPr>
            </w:pPr>
          </w:p>
        </w:tc>
        <w:tc>
          <w:tcPr>
            <w:tcW w:w="933" w:type="dxa"/>
            <w:vAlign w:val="center"/>
          </w:tcPr>
          <w:p w14:paraId="5F3E69C5">
            <w:pPr>
              <w:spacing w:line="560" w:lineRule="exact"/>
              <w:jc w:val="center"/>
              <w:rPr>
                <w:rFonts w:ascii="宋体" w:hAnsi="宋体" w:eastAsia="宋体" w:cs="Times New Roman"/>
              </w:rPr>
            </w:pPr>
          </w:p>
        </w:tc>
      </w:tr>
      <w:tr w14:paraId="6F927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6A5B8FD1">
            <w:pPr>
              <w:rPr>
                <w:rFonts w:ascii="宋体" w:hAnsi="宋体" w:eastAsia="宋体" w:cs="宋体"/>
                <w:color w:val="000000"/>
                <w:sz w:val="18"/>
                <w:szCs w:val="18"/>
              </w:rPr>
            </w:pPr>
            <w:r>
              <w:rPr>
                <w:rFonts w:hint="eastAsia" w:eastAsia="宋体"/>
                <w:color w:val="000000"/>
                <w:sz w:val="18"/>
                <w:szCs w:val="18"/>
              </w:rPr>
              <w:t>日常公用经费</w:t>
            </w:r>
          </w:p>
        </w:tc>
        <w:tc>
          <w:tcPr>
            <w:tcW w:w="709" w:type="dxa"/>
            <w:vAlign w:val="center"/>
          </w:tcPr>
          <w:p w14:paraId="12713DBC">
            <w:pPr>
              <w:spacing w:line="560" w:lineRule="exact"/>
              <w:jc w:val="center"/>
              <w:rPr>
                <w:rFonts w:ascii="宋体" w:hAnsi="宋体" w:eastAsia="宋体" w:cs="Times New Roman"/>
                <w:bCs/>
              </w:rPr>
            </w:pPr>
            <w:r>
              <w:rPr>
                <w:rFonts w:hint="eastAsia" w:ascii="宋体" w:hAnsi="宋体" w:eastAsia="宋体" w:cs="Times New Roman"/>
                <w:bCs/>
              </w:rPr>
              <w:t>1.5</w:t>
            </w:r>
          </w:p>
        </w:tc>
        <w:tc>
          <w:tcPr>
            <w:tcW w:w="1984" w:type="dxa"/>
            <w:vAlign w:val="center"/>
          </w:tcPr>
          <w:p w14:paraId="4E1BB962">
            <w:pPr>
              <w:jc w:val="center"/>
              <w:rPr>
                <w:rFonts w:ascii="宋体" w:hAnsi="宋体" w:eastAsia="宋体" w:cs="宋体"/>
                <w:color w:val="000000"/>
                <w:sz w:val="18"/>
                <w:szCs w:val="18"/>
              </w:rPr>
            </w:pPr>
            <w:r>
              <w:rPr>
                <w:rFonts w:hint="eastAsia"/>
                <w:color w:val="000000"/>
                <w:sz w:val="18"/>
                <w:szCs w:val="18"/>
              </w:rPr>
              <w:t>文件柜</w:t>
            </w:r>
          </w:p>
        </w:tc>
        <w:tc>
          <w:tcPr>
            <w:tcW w:w="851" w:type="dxa"/>
            <w:vAlign w:val="center"/>
          </w:tcPr>
          <w:p w14:paraId="7664150C">
            <w:pPr>
              <w:spacing w:line="560" w:lineRule="exact"/>
              <w:jc w:val="left"/>
              <w:rPr>
                <w:rFonts w:ascii="宋体" w:hAnsi="宋体" w:eastAsia="宋体" w:cs="Times New Roman"/>
                <w:bCs/>
              </w:rPr>
            </w:pPr>
            <w:r>
              <w:rPr>
                <w:rFonts w:hint="eastAsia" w:ascii="宋体" w:hAnsi="宋体" w:eastAsia="宋体" w:cs="Times New Roman"/>
                <w:bCs/>
                <w:sz w:val="18"/>
                <w:szCs w:val="18"/>
              </w:rPr>
              <w:t>A060503</w:t>
            </w:r>
          </w:p>
        </w:tc>
        <w:tc>
          <w:tcPr>
            <w:tcW w:w="708" w:type="dxa"/>
            <w:vAlign w:val="center"/>
          </w:tcPr>
          <w:p w14:paraId="0FA4E7F2">
            <w:pPr>
              <w:spacing w:line="560" w:lineRule="exact"/>
              <w:jc w:val="center"/>
              <w:rPr>
                <w:rFonts w:ascii="宋体" w:hAnsi="宋体" w:eastAsia="宋体" w:cs="Times New Roman"/>
                <w:bCs/>
              </w:rPr>
            </w:pPr>
            <w:r>
              <w:rPr>
                <w:rFonts w:hint="eastAsia" w:ascii="宋体" w:hAnsi="宋体" w:eastAsia="宋体" w:cs="Times New Roman"/>
                <w:bCs/>
              </w:rPr>
              <w:t>个</w:t>
            </w:r>
          </w:p>
        </w:tc>
        <w:tc>
          <w:tcPr>
            <w:tcW w:w="844" w:type="dxa"/>
            <w:vAlign w:val="center"/>
          </w:tcPr>
          <w:p w14:paraId="3FCA0B99">
            <w:pPr>
              <w:spacing w:line="560" w:lineRule="exact"/>
              <w:jc w:val="center"/>
              <w:rPr>
                <w:rFonts w:ascii="宋体" w:hAnsi="宋体" w:eastAsia="宋体" w:cs="Times New Roman"/>
                <w:bCs/>
              </w:rPr>
            </w:pPr>
            <w:r>
              <w:rPr>
                <w:rFonts w:hint="eastAsia" w:ascii="宋体" w:hAnsi="宋体" w:eastAsia="宋体" w:cs="Times New Roman"/>
                <w:bCs/>
              </w:rPr>
              <w:t>15</w:t>
            </w:r>
          </w:p>
        </w:tc>
        <w:tc>
          <w:tcPr>
            <w:tcW w:w="857" w:type="dxa"/>
            <w:vAlign w:val="center"/>
          </w:tcPr>
          <w:p w14:paraId="4F0E6984">
            <w:pPr>
              <w:spacing w:line="560" w:lineRule="exact"/>
              <w:jc w:val="center"/>
              <w:rPr>
                <w:rFonts w:ascii="宋体" w:hAnsi="宋体" w:eastAsia="宋体" w:cs="Times New Roman"/>
                <w:bCs/>
              </w:rPr>
            </w:pPr>
            <w:r>
              <w:rPr>
                <w:rFonts w:hint="eastAsia" w:ascii="宋体" w:hAnsi="宋体" w:eastAsia="宋体" w:cs="Times New Roman"/>
                <w:bCs/>
              </w:rPr>
              <w:t>0.1</w:t>
            </w:r>
          </w:p>
        </w:tc>
        <w:tc>
          <w:tcPr>
            <w:tcW w:w="851" w:type="dxa"/>
            <w:vAlign w:val="center"/>
          </w:tcPr>
          <w:p w14:paraId="52FC158B">
            <w:pPr>
              <w:spacing w:line="560" w:lineRule="exact"/>
              <w:jc w:val="center"/>
              <w:rPr>
                <w:rFonts w:ascii="宋体" w:hAnsi="宋体" w:eastAsia="宋体" w:cs="Times New Roman"/>
                <w:bCs/>
              </w:rPr>
            </w:pPr>
            <w:r>
              <w:rPr>
                <w:rFonts w:hint="eastAsia" w:ascii="宋体" w:hAnsi="宋体" w:eastAsia="宋体" w:cs="Times New Roman"/>
                <w:bCs/>
              </w:rPr>
              <w:t>1.5</w:t>
            </w:r>
          </w:p>
        </w:tc>
        <w:tc>
          <w:tcPr>
            <w:tcW w:w="850" w:type="dxa"/>
            <w:vAlign w:val="center"/>
          </w:tcPr>
          <w:p w14:paraId="29DBA584">
            <w:pPr>
              <w:spacing w:line="560" w:lineRule="exact"/>
              <w:jc w:val="center"/>
              <w:rPr>
                <w:rFonts w:ascii="宋体" w:hAnsi="宋体" w:eastAsia="宋体" w:cs="Times New Roman"/>
                <w:bCs/>
              </w:rPr>
            </w:pPr>
            <w:r>
              <w:rPr>
                <w:rFonts w:hint="eastAsia" w:ascii="宋体" w:hAnsi="宋体" w:eastAsia="宋体" w:cs="Times New Roman"/>
                <w:bCs/>
              </w:rPr>
              <w:t>1.5</w:t>
            </w:r>
          </w:p>
        </w:tc>
        <w:tc>
          <w:tcPr>
            <w:tcW w:w="851" w:type="dxa"/>
            <w:vAlign w:val="center"/>
          </w:tcPr>
          <w:p w14:paraId="38F7934A">
            <w:pPr>
              <w:spacing w:line="560" w:lineRule="exact"/>
              <w:jc w:val="center"/>
              <w:rPr>
                <w:rFonts w:ascii="宋体" w:hAnsi="宋体" w:eastAsia="宋体" w:cs="Times New Roman"/>
                <w:bCs/>
              </w:rPr>
            </w:pPr>
            <w:r>
              <w:rPr>
                <w:rFonts w:hint="eastAsia" w:ascii="宋体" w:hAnsi="宋体" w:eastAsia="宋体" w:cs="Times New Roman"/>
                <w:bCs/>
              </w:rPr>
              <w:t>1.5</w:t>
            </w:r>
          </w:p>
        </w:tc>
        <w:tc>
          <w:tcPr>
            <w:tcW w:w="709" w:type="dxa"/>
            <w:vAlign w:val="center"/>
          </w:tcPr>
          <w:p w14:paraId="6BF086E1">
            <w:pPr>
              <w:spacing w:line="560" w:lineRule="exact"/>
              <w:jc w:val="center"/>
              <w:rPr>
                <w:rFonts w:ascii="宋体" w:hAnsi="宋体" w:eastAsia="宋体" w:cs="Times New Roman"/>
                <w:bCs/>
              </w:rPr>
            </w:pPr>
          </w:p>
        </w:tc>
        <w:tc>
          <w:tcPr>
            <w:tcW w:w="850" w:type="dxa"/>
            <w:vAlign w:val="center"/>
          </w:tcPr>
          <w:p w14:paraId="2BA27F17">
            <w:pPr>
              <w:spacing w:line="560" w:lineRule="exact"/>
              <w:jc w:val="center"/>
              <w:rPr>
                <w:rFonts w:ascii="宋体" w:hAnsi="宋体" w:eastAsia="宋体" w:cs="Times New Roman"/>
                <w:bCs/>
              </w:rPr>
            </w:pPr>
          </w:p>
        </w:tc>
        <w:tc>
          <w:tcPr>
            <w:tcW w:w="851" w:type="dxa"/>
            <w:vAlign w:val="center"/>
          </w:tcPr>
          <w:p w14:paraId="03B6C22E">
            <w:pPr>
              <w:spacing w:line="560" w:lineRule="exact"/>
              <w:jc w:val="center"/>
              <w:rPr>
                <w:rFonts w:ascii="宋体" w:hAnsi="宋体" w:eastAsia="宋体" w:cs="Times New Roman"/>
                <w:bCs/>
              </w:rPr>
            </w:pPr>
          </w:p>
        </w:tc>
        <w:tc>
          <w:tcPr>
            <w:tcW w:w="933" w:type="dxa"/>
            <w:vAlign w:val="center"/>
          </w:tcPr>
          <w:p w14:paraId="06217C29">
            <w:pPr>
              <w:spacing w:line="560" w:lineRule="exact"/>
              <w:jc w:val="center"/>
              <w:rPr>
                <w:rFonts w:ascii="宋体" w:hAnsi="宋体" w:eastAsia="宋体" w:cs="Times New Roman"/>
                <w:bCs/>
              </w:rPr>
            </w:pPr>
          </w:p>
        </w:tc>
      </w:tr>
      <w:tr w14:paraId="6887C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1363A85E">
            <w:pPr>
              <w:rPr>
                <w:rFonts w:ascii="宋体" w:hAnsi="宋体" w:eastAsia="宋体" w:cs="宋体"/>
                <w:color w:val="000000"/>
                <w:sz w:val="18"/>
                <w:szCs w:val="18"/>
              </w:rPr>
            </w:pPr>
            <w:r>
              <w:rPr>
                <w:rFonts w:hint="eastAsia" w:eastAsia="宋体"/>
                <w:color w:val="000000"/>
                <w:sz w:val="18"/>
                <w:szCs w:val="18"/>
              </w:rPr>
              <w:t>日常公用经费</w:t>
            </w:r>
          </w:p>
        </w:tc>
        <w:tc>
          <w:tcPr>
            <w:tcW w:w="709" w:type="dxa"/>
            <w:vAlign w:val="center"/>
          </w:tcPr>
          <w:p w14:paraId="3606AFD2">
            <w:pPr>
              <w:spacing w:line="560" w:lineRule="exact"/>
              <w:jc w:val="center"/>
              <w:rPr>
                <w:rFonts w:ascii="宋体" w:hAnsi="宋体" w:eastAsia="宋体" w:cs="Times New Roman"/>
                <w:bCs/>
              </w:rPr>
            </w:pPr>
            <w:r>
              <w:rPr>
                <w:rFonts w:hint="eastAsia" w:ascii="宋体" w:hAnsi="宋体" w:eastAsia="宋体" w:cs="Times New Roman"/>
                <w:bCs/>
              </w:rPr>
              <w:t>1</w:t>
            </w:r>
          </w:p>
        </w:tc>
        <w:tc>
          <w:tcPr>
            <w:tcW w:w="1984" w:type="dxa"/>
            <w:vAlign w:val="center"/>
          </w:tcPr>
          <w:p w14:paraId="37278071">
            <w:pPr>
              <w:jc w:val="center"/>
              <w:rPr>
                <w:rFonts w:ascii="宋体" w:hAnsi="宋体" w:eastAsia="宋体" w:cs="宋体"/>
                <w:color w:val="000000"/>
                <w:sz w:val="18"/>
                <w:szCs w:val="18"/>
              </w:rPr>
            </w:pPr>
            <w:r>
              <w:rPr>
                <w:rFonts w:hint="eastAsia"/>
                <w:color w:val="000000"/>
                <w:sz w:val="18"/>
                <w:szCs w:val="18"/>
              </w:rPr>
              <w:t>沙发</w:t>
            </w:r>
          </w:p>
        </w:tc>
        <w:tc>
          <w:tcPr>
            <w:tcW w:w="851" w:type="dxa"/>
            <w:vAlign w:val="center"/>
          </w:tcPr>
          <w:p w14:paraId="400EEB24">
            <w:pPr>
              <w:spacing w:line="560" w:lineRule="exact"/>
              <w:jc w:val="left"/>
              <w:rPr>
                <w:rFonts w:ascii="宋体" w:hAnsi="宋体" w:eastAsia="宋体" w:cs="Times New Roman"/>
                <w:bCs/>
              </w:rPr>
            </w:pPr>
            <w:r>
              <w:rPr>
                <w:rFonts w:hint="eastAsia" w:ascii="宋体" w:hAnsi="宋体" w:eastAsia="宋体" w:cs="Times New Roman"/>
                <w:bCs/>
                <w:sz w:val="18"/>
                <w:szCs w:val="18"/>
              </w:rPr>
              <w:t>A060499</w:t>
            </w:r>
          </w:p>
        </w:tc>
        <w:tc>
          <w:tcPr>
            <w:tcW w:w="708" w:type="dxa"/>
            <w:vAlign w:val="center"/>
          </w:tcPr>
          <w:p w14:paraId="6518ADA7">
            <w:pPr>
              <w:spacing w:line="560" w:lineRule="exact"/>
              <w:jc w:val="center"/>
              <w:rPr>
                <w:rFonts w:ascii="宋体" w:hAnsi="宋体" w:eastAsia="宋体" w:cs="Times New Roman"/>
                <w:bCs/>
              </w:rPr>
            </w:pPr>
            <w:r>
              <w:rPr>
                <w:rFonts w:hint="eastAsia" w:ascii="宋体" w:hAnsi="宋体" w:eastAsia="宋体" w:cs="Times New Roman"/>
                <w:bCs/>
              </w:rPr>
              <w:t>个</w:t>
            </w:r>
          </w:p>
        </w:tc>
        <w:tc>
          <w:tcPr>
            <w:tcW w:w="844" w:type="dxa"/>
            <w:vAlign w:val="center"/>
          </w:tcPr>
          <w:p w14:paraId="288F71AD">
            <w:pPr>
              <w:spacing w:line="560" w:lineRule="exact"/>
              <w:jc w:val="center"/>
              <w:rPr>
                <w:rFonts w:ascii="宋体" w:hAnsi="宋体" w:eastAsia="宋体" w:cs="Times New Roman"/>
                <w:bCs/>
              </w:rPr>
            </w:pPr>
            <w:r>
              <w:rPr>
                <w:rFonts w:hint="eastAsia" w:ascii="宋体" w:hAnsi="宋体" w:eastAsia="宋体" w:cs="Times New Roman"/>
                <w:bCs/>
              </w:rPr>
              <w:t>10</w:t>
            </w:r>
          </w:p>
        </w:tc>
        <w:tc>
          <w:tcPr>
            <w:tcW w:w="857" w:type="dxa"/>
            <w:vAlign w:val="center"/>
          </w:tcPr>
          <w:p w14:paraId="092D641A">
            <w:pPr>
              <w:spacing w:line="560" w:lineRule="exact"/>
              <w:jc w:val="center"/>
              <w:rPr>
                <w:rFonts w:ascii="宋体" w:hAnsi="宋体" w:eastAsia="宋体" w:cs="Times New Roman"/>
                <w:bCs/>
              </w:rPr>
            </w:pPr>
            <w:r>
              <w:rPr>
                <w:rFonts w:hint="eastAsia" w:ascii="宋体" w:hAnsi="宋体" w:eastAsia="宋体" w:cs="Times New Roman"/>
                <w:bCs/>
              </w:rPr>
              <w:t>0.1</w:t>
            </w:r>
          </w:p>
        </w:tc>
        <w:tc>
          <w:tcPr>
            <w:tcW w:w="851" w:type="dxa"/>
            <w:vAlign w:val="center"/>
          </w:tcPr>
          <w:p w14:paraId="00957166">
            <w:pPr>
              <w:spacing w:line="560" w:lineRule="exact"/>
              <w:jc w:val="center"/>
              <w:rPr>
                <w:rFonts w:ascii="宋体" w:hAnsi="宋体" w:eastAsia="宋体" w:cs="Times New Roman"/>
                <w:bCs/>
              </w:rPr>
            </w:pPr>
            <w:r>
              <w:rPr>
                <w:rFonts w:hint="eastAsia" w:ascii="宋体" w:hAnsi="宋体" w:eastAsia="宋体" w:cs="Times New Roman"/>
                <w:bCs/>
              </w:rPr>
              <w:t>1</w:t>
            </w:r>
          </w:p>
        </w:tc>
        <w:tc>
          <w:tcPr>
            <w:tcW w:w="850" w:type="dxa"/>
            <w:vAlign w:val="center"/>
          </w:tcPr>
          <w:p w14:paraId="11A89A74">
            <w:pPr>
              <w:spacing w:line="560" w:lineRule="exact"/>
              <w:jc w:val="center"/>
              <w:rPr>
                <w:rFonts w:ascii="宋体" w:hAnsi="宋体" w:eastAsia="宋体" w:cs="Times New Roman"/>
                <w:bCs/>
              </w:rPr>
            </w:pPr>
            <w:r>
              <w:rPr>
                <w:rFonts w:hint="eastAsia" w:ascii="宋体" w:hAnsi="宋体" w:eastAsia="宋体" w:cs="Times New Roman"/>
                <w:bCs/>
              </w:rPr>
              <w:t>1</w:t>
            </w:r>
          </w:p>
        </w:tc>
        <w:tc>
          <w:tcPr>
            <w:tcW w:w="851" w:type="dxa"/>
            <w:vAlign w:val="center"/>
          </w:tcPr>
          <w:p w14:paraId="27CE23B2">
            <w:pPr>
              <w:spacing w:line="560" w:lineRule="exact"/>
              <w:jc w:val="center"/>
              <w:rPr>
                <w:rFonts w:ascii="宋体" w:hAnsi="宋体" w:eastAsia="宋体" w:cs="Times New Roman"/>
                <w:bCs/>
              </w:rPr>
            </w:pPr>
            <w:r>
              <w:rPr>
                <w:rFonts w:hint="eastAsia" w:ascii="宋体" w:hAnsi="宋体" w:eastAsia="宋体" w:cs="Times New Roman"/>
                <w:bCs/>
              </w:rPr>
              <w:t>1</w:t>
            </w:r>
          </w:p>
        </w:tc>
        <w:tc>
          <w:tcPr>
            <w:tcW w:w="709" w:type="dxa"/>
            <w:vAlign w:val="center"/>
          </w:tcPr>
          <w:p w14:paraId="06B06495">
            <w:pPr>
              <w:spacing w:line="560" w:lineRule="exact"/>
              <w:jc w:val="center"/>
              <w:rPr>
                <w:rFonts w:ascii="宋体" w:hAnsi="宋体" w:eastAsia="宋体" w:cs="Times New Roman"/>
                <w:bCs/>
              </w:rPr>
            </w:pPr>
          </w:p>
        </w:tc>
        <w:tc>
          <w:tcPr>
            <w:tcW w:w="850" w:type="dxa"/>
            <w:vAlign w:val="center"/>
          </w:tcPr>
          <w:p w14:paraId="7CA5E8A9">
            <w:pPr>
              <w:spacing w:line="560" w:lineRule="exact"/>
              <w:jc w:val="center"/>
              <w:rPr>
                <w:rFonts w:ascii="宋体" w:hAnsi="宋体" w:eastAsia="宋体" w:cs="Times New Roman"/>
                <w:bCs/>
              </w:rPr>
            </w:pPr>
          </w:p>
        </w:tc>
        <w:tc>
          <w:tcPr>
            <w:tcW w:w="851" w:type="dxa"/>
            <w:vAlign w:val="center"/>
          </w:tcPr>
          <w:p w14:paraId="2C5424E2">
            <w:pPr>
              <w:spacing w:line="560" w:lineRule="exact"/>
              <w:jc w:val="center"/>
              <w:rPr>
                <w:rFonts w:ascii="宋体" w:hAnsi="宋体" w:eastAsia="宋体" w:cs="Times New Roman"/>
                <w:bCs/>
              </w:rPr>
            </w:pPr>
          </w:p>
        </w:tc>
        <w:tc>
          <w:tcPr>
            <w:tcW w:w="933" w:type="dxa"/>
            <w:vAlign w:val="center"/>
          </w:tcPr>
          <w:p w14:paraId="3A3B5AA4">
            <w:pPr>
              <w:spacing w:line="560" w:lineRule="exact"/>
              <w:jc w:val="center"/>
              <w:rPr>
                <w:rFonts w:ascii="宋体" w:hAnsi="宋体" w:eastAsia="宋体" w:cs="Times New Roman"/>
                <w:bCs/>
              </w:rPr>
            </w:pPr>
          </w:p>
        </w:tc>
      </w:tr>
      <w:tr w14:paraId="708A0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0EB70C9F">
            <w:pPr>
              <w:rPr>
                <w:rFonts w:ascii="宋体" w:hAnsi="宋体" w:eastAsia="宋体" w:cs="宋体"/>
                <w:color w:val="000000"/>
                <w:sz w:val="18"/>
                <w:szCs w:val="18"/>
              </w:rPr>
            </w:pPr>
            <w:r>
              <w:rPr>
                <w:rFonts w:hint="eastAsia" w:eastAsia="宋体"/>
                <w:color w:val="000000"/>
                <w:sz w:val="18"/>
                <w:szCs w:val="18"/>
              </w:rPr>
              <w:t>日常公用经费</w:t>
            </w:r>
          </w:p>
        </w:tc>
        <w:tc>
          <w:tcPr>
            <w:tcW w:w="709" w:type="dxa"/>
            <w:vAlign w:val="center"/>
          </w:tcPr>
          <w:p w14:paraId="095E3703">
            <w:pPr>
              <w:spacing w:line="560" w:lineRule="exact"/>
              <w:jc w:val="center"/>
              <w:rPr>
                <w:rFonts w:ascii="宋体" w:hAnsi="宋体" w:eastAsia="宋体" w:cs="Times New Roman"/>
                <w:bCs/>
              </w:rPr>
            </w:pPr>
            <w:r>
              <w:rPr>
                <w:rFonts w:hint="eastAsia" w:ascii="宋体" w:hAnsi="宋体" w:eastAsia="宋体" w:cs="Times New Roman"/>
                <w:bCs/>
              </w:rPr>
              <w:t>1.2</w:t>
            </w:r>
          </w:p>
        </w:tc>
        <w:tc>
          <w:tcPr>
            <w:tcW w:w="1984" w:type="dxa"/>
            <w:vAlign w:val="center"/>
          </w:tcPr>
          <w:p w14:paraId="6AD13844">
            <w:pPr>
              <w:jc w:val="center"/>
              <w:rPr>
                <w:rFonts w:ascii="宋体" w:hAnsi="宋体" w:eastAsia="宋体" w:cs="宋体"/>
                <w:color w:val="000000"/>
                <w:sz w:val="18"/>
                <w:szCs w:val="18"/>
              </w:rPr>
            </w:pPr>
            <w:r>
              <w:rPr>
                <w:rFonts w:hint="eastAsia"/>
                <w:color w:val="000000"/>
                <w:sz w:val="18"/>
                <w:szCs w:val="18"/>
              </w:rPr>
              <w:t>书柜</w:t>
            </w:r>
          </w:p>
        </w:tc>
        <w:tc>
          <w:tcPr>
            <w:tcW w:w="851" w:type="dxa"/>
            <w:vAlign w:val="center"/>
          </w:tcPr>
          <w:p w14:paraId="2BD7D8B9">
            <w:pPr>
              <w:spacing w:line="560" w:lineRule="exact"/>
              <w:jc w:val="left"/>
              <w:rPr>
                <w:rFonts w:ascii="宋体" w:hAnsi="宋体" w:eastAsia="宋体" w:cs="Times New Roman"/>
                <w:bCs/>
              </w:rPr>
            </w:pPr>
            <w:r>
              <w:rPr>
                <w:rFonts w:hint="eastAsia" w:ascii="宋体" w:hAnsi="宋体" w:eastAsia="宋体" w:cs="Times New Roman"/>
                <w:bCs/>
                <w:sz w:val="18"/>
                <w:szCs w:val="18"/>
              </w:rPr>
              <w:t>A060501</w:t>
            </w:r>
          </w:p>
        </w:tc>
        <w:tc>
          <w:tcPr>
            <w:tcW w:w="708" w:type="dxa"/>
            <w:vAlign w:val="center"/>
          </w:tcPr>
          <w:p w14:paraId="1C3E65AD">
            <w:pPr>
              <w:spacing w:line="560" w:lineRule="exact"/>
              <w:jc w:val="center"/>
              <w:rPr>
                <w:rFonts w:ascii="宋体" w:hAnsi="宋体" w:eastAsia="宋体" w:cs="Times New Roman"/>
                <w:bCs/>
              </w:rPr>
            </w:pPr>
            <w:r>
              <w:rPr>
                <w:rFonts w:hint="eastAsia" w:ascii="宋体" w:hAnsi="宋体" w:eastAsia="宋体" w:cs="Times New Roman"/>
                <w:bCs/>
              </w:rPr>
              <w:t>组</w:t>
            </w:r>
          </w:p>
        </w:tc>
        <w:tc>
          <w:tcPr>
            <w:tcW w:w="844" w:type="dxa"/>
            <w:vAlign w:val="center"/>
          </w:tcPr>
          <w:p w14:paraId="3F3E1ACF">
            <w:pPr>
              <w:spacing w:line="560" w:lineRule="exact"/>
              <w:jc w:val="center"/>
              <w:rPr>
                <w:rFonts w:ascii="宋体" w:hAnsi="宋体" w:eastAsia="宋体" w:cs="Times New Roman"/>
                <w:bCs/>
              </w:rPr>
            </w:pPr>
            <w:r>
              <w:rPr>
                <w:rFonts w:hint="eastAsia" w:ascii="宋体" w:hAnsi="宋体" w:eastAsia="宋体" w:cs="Times New Roman"/>
                <w:bCs/>
              </w:rPr>
              <w:t>10</w:t>
            </w:r>
          </w:p>
        </w:tc>
        <w:tc>
          <w:tcPr>
            <w:tcW w:w="857" w:type="dxa"/>
            <w:vAlign w:val="center"/>
          </w:tcPr>
          <w:p w14:paraId="78882392">
            <w:pPr>
              <w:spacing w:line="560" w:lineRule="exact"/>
              <w:jc w:val="center"/>
              <w:rPr>
                <w:rFonts w:ascii="宋体" w:hAnsi="宋体" w:eastAsia="宋体" w:cs="Times New Roman"/>
                <w:bCs/>
              </w:rPr>
            </w:pPr>
            <w:r>
              <w:rPr>
                <w:rFonts w:hint="eastAsia" w:ascii="宋体" w:hAnsi="宋体" w:eastAsia="宋体" w:cs="Times New Roman"/>
                <w:bCs/>
              </w:rPr>
              <w:t>0.12</w:t>
            </w:r>
          </w:p>
        </w:tc>
        <w:tc>
          <w:tcPr>
            <w:tcW w:w="851" w:type="dxa"/>
            <w:vAlign w:val="center"/>
          </w:tcPr>
          <w:p w14:paraId="2BA82E27">
            <w:pPr>
              <w:spacing w:line="560" w:lineRule="exact"/>
              <w:jc w:val="center"/>
              <w:rPr>
                <w:rFonts w:ascii="宋体" w:hAnsi="宋体" w:eastAsia="宋体" w:cs="Times New Roman"/>
                <w:bCs/>
              </w:rPr>
            </w:pPr>
            <w:r>
              <w:rPr>
                <w:rFonts w:hint="eastAsia" w:ascii="宋体" w:hAnsi="宋体" w:eastAsia="宋体" w:cs="Times New Roman"/>
                <w:bCs/>
              </w:rPr>
              <w:t>1.2</w:t>
            </w:r>
          </w:p>
        </w:tc>
        <w:tc>
          <w:tcPr>
            <w:tcW w:w="850" w:type="dxa"/>
            <w:vAlign w:val="center"/>
          </w:tcPr>
          <w:p w14:paraId="2AB2C91B">
            <w:pPr>
              <w:spacing w:line="560" w:lineRule="exact"/>
              <w:jc w:val="center"/>
              <w:rPr>
                <w:rFonts w:ascii="宋体" w:hAnsi="宋体" w:eastAsia="宋体" w:cs="Times New Roman"/>
                <w:bCs/>
              </w:rPr>
            </w:pPr>
            <w:r>
              <w:rPr>
                <w:rFonts w:hint="eastAsia" w:ascii="宋体" w:hAnsi="宋体" w:eastAsia="宋体" w:cs="Times New Roman"/>
                <w:bCs/>
              </w:rPr>
              <w:t>1.2</w:t>
            </w:r>
          </w:p>
        </w:tc>
        <w:tc>
          <w:tcPr>
            <w:tcW w:w="851" w:type="dxa"/>
            <w:vAlign w:val="center"/>
          </w:tcPr>
          <w:p w14:paraId="14FE8018">
            <w:pPr>
              <w:spacing w:line="560" w:lineRule="exact"/>
              <w:jc w:val="center"/>
              <w:rPr>
                <w:rFonts w:ascii="宋体" w:hAnsi="宋体" w:eastAsia="宋体" w:cs="Times New Roman"/>
                <w:bCs/>
              </w:rPr>
            </w:pPr>
            <w:r>
              <w:rPr>
                <w:rFonts w:hint="eastAsia" w:ascii="宋体" w:hAnsi="宋体" w:eastAsia="宋体" w:cs="Times New Roman"/>
                <w:bCs/>
              </w:rPr>
              <w:t>1.2</w:t>
            </w:r>
          </w:p>
        </w:tc>
        <w:tc>
          <w:tcPr>
            <w:tcW w:w="709" w:type="dxa"/>
            <w:vAlign w:val="center"/>
          </w:tcPr>
          <w:p w14:paraId="01781DD6">
            <w:pPr>
              <w:spacing w:line="560" w:lineRule="exact"/>
              <w:jc w:val="center"/>
              <w:rPr>
                <w:rFonts w:ascii="宋体" w:hAnsi="宋体" w:eastAsia="宋体" w:cs="Times New Roman"/>
                <w:bCs/>
              </w:rPr>
            </w:pPr>
          </w:p>
        </w:tc>
        <w:tc>
          <w:tcPr>
            <w:tcW w:w="850" w:type="dxa"/>
            <w:vAlign w:val="center"/>
          </w:tcPr>
          <w:p w14:paraId="1721E346">
            <w:pPr>
              <w:spacing w:line="560" w:lineRule="exact"/>
              <w:jc w:val="center"/>
              <w:rPr>
                <w:rFonts w:ascii="宋体" w:hAnsi="宋体" w:eastAsia="宋体" w:cs="Times New Roman"/>
                <w:bCs/>
              </w:rPr>
            </w:pPr>
          </w:p>
        </w:tc>
        <w:tc>
          <w:tcPr>
            <w:tcW w:w="851" w:type="dxa"/>
            <w:vAlign w:val="center"/>
          </w:tcPr>
          <w:p w14:paraId="3A7F69C0">
            <w:pPr>
              <w:spacing w:line="560" w:lineRule="exact"/>
              <w:jc w:val="center"/>
              <w:rPr>
                <w:rFonts w:ascii="宋体" w:hAnsi="宋体" w:eastAsia="宋体" w:cs="Times New Roman"/>
                <w:bCs/>
              </w:rPr>
            </w:pPr>
          </w:p>
        </w:tc>
        <w:tc>
          <w:tcPr>
            <w:tcW w:w="933" w:type="dxa"/>
            <w:vAlign w:val="center"/>
          </w:tcPr>
          <w:p w14:paraId="3B862A72">
            <w:pPr>
              <w:spacing w:line="560" w:lineRule="exact"/>
              <w:jc w:val="center"/>
              <w:rPr>
                <w:rFonts w:ascii="宋体" w:hAnsi="宋体" w:eastAsia="宋体" w:cs="Times New Roman"/>
                <w:bCs/>
              </w:rPr>
            </w:pPr>
          </w:p>
        </w:tc>
      </w:tr>
      <w:tr w14:paraId="6CDD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53" w:type="dxa"/>
          </w:tcPr>
          <w:p w14:paraId="7B68E6E2">
            <w:pPr>
              <w:rPr>
                <w:rFonts w:eastAsia="宋体"/>
                <w:color w:val="000000"/>
                <w:sz w:val="18"/>
                <w:szCs w:val="18"/>
              </w:rPr>
            </w:pPr>
            <w:r>
              <w:rPr>
                <w:rFonts w:hint="eastAsia" w:eastAsia="宋体"/>
                <w:color w:val="000000"/>
                <w:sz w:val="18"/>
                <w:szCs w:val="18"/>
              </w:rPr>
              <w:t>合计</w:t>
            </w:r>
          </w:p>
        </w:tc>
        <w:tc>
          <w:tcPr>
            <w:tcW w:w="709" w:type="dxa"/>
            <w:vAlign w:val="center"/>
          </w:tcPr>
          <w:p w14:paraId="28DFCB4F">
            <w:pPr>
              <w:spacing w:line="560" w:lineRule="exact"/>
              <w:jc w:val="center"/>
              <w:rPr>
                <w:rFonts w:ascii="宋体" w:hAnsi="宋体" w:eastAsia="宋体" w:cs="Times New Roman"/>
                <w:bCs/>
              </w:rPr>
            </w:pPr>
            <w:r>
              <w:rPr>
                <w:rFonts w:hint="eastAsia" w:ascii="宋体" w:hAnsi="宋体" w:eastAsia="宋体" w:cs="Times New Roman"/>
                <w:bCs/>
              </w:rPr>
              <w:t>11.95</w:t>
            </w:r>
          </w:p>
        </w:tc>
        <w:tc>
          <w:tcPr>
            <w:tcW w:w="1984" w:type="dxa"/>
            <w:vAlign w:val="center"/>
          </w:tcPr>
          <w:p w14:paraId="00EBE79F">
            <w:pPr>
              <w:jc w:val="center"/>
              <w:rPr>
                <w:color w:val="000000"/>
                <w:sz w:val="18"/>
                <w:szCs w:val="18"/>
              </w:rPr>
            </w:pPr>
          </w:p>
        </w:tc>
        <w:tc>
          <w:tcPr>
            <w:tcW w:w="851" w:type="dxa"/>
            <w:vAlign w:val="center"/>
          </w:tcPr>
          <w:p w14:paraId="06DD8847">
            <w:pPr>
              <w:spacing w:line="560" w:lineRule="exact"/>
              <w:jc w:val="center"/>
              <w:rPr>
                <w:rFonts w:ascii="宋体" w:hAnsi="宋体" w:eastAsia="宋体" w:cs="Times New Roman"/>
                <w:bCs/>
              </w:rPr>
            </w:pPr>
          </w:p>
        </w:tc>
        <w:tc>
          <w:tcPr>
            <w:tcW w:w="708" w:type="dxa"/>
            <w:vAlign w:val="center"/>
          </w:tcPr>
          <w:p w14:paraId="21D45089">
            <w:pPr>
              <w:spacing w:line="560" w:lineRule="exact"/>
              <w:jc w:val="center"/>
              <w:rPr>
                <w:rFonts w:ascii="宋体" w:hAnsi="宋体" w:eastAsia="宋体" w:cs="Times New Roman"/>
                <w:bCs/>
              </w:rPr>
            </w:pPr>
          </w:p>
        </w:tc>
        <w:tc>
          <w:tcPr>
            <w:tcW w:w="844" w:type="dxa"/>
            <w:vAlign w:val="center"/>
          </w:tcPr>
          <w:p w14:paraId="28D6BB36">
            <w:pPr>
              <w:spacing w:line="560" w:lineRule="exact"/>
              <w:jc w:val="center"/>
              <w:rPr>
                <w:rFonts w:ascii="宋体" w:hAnsi="宋体" w:eastAsia="宋体" w:cs="Times New Roman"/>
                <w:bCs/>
              </w:rPr>
            </w:pPr>
          </w:p>
        </w:tc>
        <w:tc>
          <w:tcPr>
            <w:tcW w:w="857" w:type="dxa"/>
            <w:vAlign w:val="center"/>
          </w:tcPr>
          <w:p w14:paraId="0C724C63">
            <w:pPr>
              <w:spacing w:line="560" w:lineRule="exact"/>
              <w:jc w:val="center"/>
              <w:rPr>
                <w:rFonts w:ascii="宋体" w:hAnsi="宋体" w:eastAsia="宋体" w:cs="Times New Roman"/>
                <w:bCs/>
              </w:rPr>
            </w:pPr>
            <w:r>
              <w:rPr>
                <w:rFonts w:hint="eastAsia" w:ascii="宋体" w:hAnsi="宋体" w:eastAsia="宋体" w:cs="Times New Roman"/>
                <w:bCs/>
              </w:rPr>
              <w:t>11.95</w:t>
            </w:r>
          </w:p>
        </w:tc>
        <w:tc>
          <w:tcPr>
            <w:tcW w:w="851" w:type="dxa"/>
            <w:vAlign w:val="center"/>
          </w:tcPr>
          <w:p w14:paraId="0C8E9A7B">
            <w:pPr>
              <w:spacing w:line="560" w:lineRule="exact"/>
              <w:jc w:val="center"/>
              <w:rPr>
                <w:rFonts w:ascii="宋体" w:hAnsi="宋体" w:eastAsia="宋体" w:cs="Times New Roman"/>
                <w:bCs/>
              </w:rPr>
            </w:pPr>
            <w:r>
              <w:rPr>
                <w:rFonts w:hint="eastAsia" w:ascii="宋体" w:hAnsi="宋体" w:eastAsia="宋体" w:cs="Times New Roman"/>
                <w:bCs/>
              </w:rPr>
              <w:t>11.95</w:t>
            </w:r>
          </w:p>
        </w:tc>
        <w:tc>
          <w:tcPr>
            <w:tcW w:w="850" w:type="dxa"/>
            <w:vAlign w:val="center"/>
          </w:tcPr>
          <w:p w14:paraId="1C74A0D4">
            <w:pPr>
              <w:spacing w:line="560" w:lineRule="exact"/>
              <w:jc w:val="center"/>
              <w:rPr>
                <w:rFonts w:ascii="宋体" w:hAnsi="宋体" w:eastAsia="宋体" w:cs="Times New Roman"/>
                <w:bCs/>
              </w:rPr>
            </w:pPr>
            <w:r>
              <w:rPr>
                <w:rFonts w:hint="eastAsia" w:ascii="宋体" w:hAnsi="宋体" w:eastAsia="宋体" w:cs="Times New Roman"/>
                <w:bCs/>
              </w:rPr>
              <w:t>11.95</w:t>
            </w:r>
          </w:p>
        </w:tc>
        <w:tc>
          <w:tcPr>
            <w:tcW w:w="851" w:type="dxa"/>
            <w:vAlign w:val="center"/>
          </w:tcPr>
          <w:p w14:paraId="22305362">
            <w:pPr>
              <w:spacing w:line="560" w:lineRule="exact"/>
              <w:jc w:val="center"/>
              <w:rPr>
                <w:rFonts w:ascii="宋体" w:hAnsi="宋体" w:eastAsia="宋体" w:cs="Times New Roman"/>
                <w:bCs/>
              </w:rPr>
            </w:pPr>
            <w:r>
              <w:rPr>
                <w:rFonts w:hint="eastAsia" w:ascii="宋体" w:hAnsi="宋体" w:eastAsia="宋体" w:cs="Times New Roman"/>
                <w:bCs/>
              </w:rPr>
              <w:t>11.95</w:t>
            </w:r>
          </w:p>
        </w:tc>
        <w:tc>
          <w:tcPr>
            <w:tcW w:w="709" w:type="dxa"/>
            <w:vAlign w:val="center"/>
          </w:tcPr>
          <w:p w14:paraId="78961379">
            <w:pPr>
              <w:spacing w:line="560" w:lineRule="exact"/>
              <w:jc w:val="center"/>
              <w:rPr>
                <w:rFonts w:ascii="宋体" w:hAnsi="宋体" w:eastAsia="宋体" w:cs="Times New Roman"/>
                <w:bCs/>
              </w:rPr>
            </w:pPr>
          </w:p>
        </w:tc>
        <w:tc>
          <w:tcPr>
            <w:tcW w:w="850" w:type="dxa"/>
            <w:vAlign w:val="center"/>
          </w:tcPr>
          <w:p w14:paraId="6DBDEC7B">
            <w:pPr>
              <w:spacing w:line="560" w:lineRule="exact"/>
              <w:jc w:val="center"/>
              <w:rPr>
                <w:rFonts w:ascii="宋体" w:hAnsi="宋体" w:eastAsia="宋体" w:cs="Times New Roman"/>
                <w:bCs/>
              </w:rPr>
            </w:pPr>
          </w:p>
        </w:tc>
        <w:tc>
          <w:tcPr>
            <w:tcW w:w="851" w:type="dxa"/>
            <w:vAlign w:val="center"/>
          </w:tcPr>
          <w:p w14:paraId="636C9FA7">
            <w:pPr>
              <w:spacing w:line="560" w:lineRule="exact"/>
              <w:jc w:val="center"/>
              <w:rPr>
                <w:rFonts w:ascii="宋体" w:hAnsi="宋体" w:eastAsia="宋体" w:cs="Times New Roman"/>
                <w:bCs/>
              </w:rPr>
            </w:pPr>
          </w:p>
        </w:tc>
        <w:tc>
          <w:tcPr>
            <w:tcW w:w="933" w:type="dxa"/>
            <w:vAlign w:val="center"/>
          </w:tcPr>
          <w:p w14:paraId="323FF478">
            <w:pPr>
              <w:spacing w:line="560" w:lineRule="exact"/>
              <w:jc w:val="center"/>
              <w:rPr>
                <w:rFonts w:ascii="宋体" w:hAnsi="宋体" w:eastAsia="宋体" w:cs="Times New Roman"/>
                <w:bCs/>
              </w:rPr>
            </w:pPr>
          </w:p>
        </w:tc>
      </w:tr>
    </w:tbl>
    <w:p w14:paraId="1A503AB6">
      <w:pPr>
        <w:widowControl/>
        <w:spacing w:line="360" w:lineRule="auto"/>
        <w:ind w:firstLine="640" w:firstLineChars="200"/>
        <w:jc w:val="left"/>
        <w:rPr>
          <w:rFonts w:ascii="仿宋" w:hAnsi="仿宋" w:eastAsia="仿宋" w:cs="Calibri"/>
          <w:b/>
          <w:kern w:val="0"/>
          <w:sz w:val="32"/>
          <w:szCs w:val="32"/>
        </w:rPr>
      </w:pPr>
      <w:r>
        <w:rPr>
          <w:rFonts w:ascii="仿宋" w:hAnsi="仿宋" w:eastAsia="仿宋"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w:t>
      </w:r>
      <w:r>
        <w:rPr>
          <w:rFonts w:hint="eastAsia" w:ascii="仿宋" w:hAnsi="仿宋" w:eastAsia="仿宋" w:cs="仿宋_GB2312"/>
          <w:kern w:val="0"/>
          <w:sz w:val="32"/>
          <w:szCs w:val="32"/>
        </w:rPr>
        <w:t>乡</w:t>
      </w:r>
      <w:r>
        <w:rPr>
          <w:rFonts w:ascii="仿宋" w:hAnsi="仿宋" w:eastAsia="仿宋" w:cs="仿宋_GB2312"/>
          <w:kern w:val="0"/>
          <w:sz w:val="32"/>
          <w:szCs w:val="32"/>
        </w:rPr>
        <w:t>实际，</w:t>
      </w:r>
      <w:r>
        <w:rPr>
          <w:rFonts w:hint="eastAsia" w:ascii="仿宋" w:hAnsi="仿宋" w:eastAsia="仿宋" w:cs="仿宋_GB2312"/>
          <w:kern w:val="0"/>
          <w:sz w:val="32"/>
          <w:szCs w:val="32"/>
        </w:rPr>
        <w:t>2020</w:t>
      </w:r>
      <w:r>
        <w:rPr>
          <w:rFonts w:ascii="仿宋" w:hAnsi="仿宋" w:eastAsia="仿宋" w:cs="仿宋_GB2312"/>
          <w:kern w:val="0"/>
          <w:sz w:val="32"/>
          <w:szCs w:val="32"/>
        </w:rPr>
        <w:t>年我</w:t>
      </w:r>
      <w:r>
        <w:rPr>
          <w:rFonts w:hint="eastAsia" w:ascii="仿宋" w:hAnsi="仿宋" w:eastAsia="仿宋" w:cs="仿宋_GB2312"/>
          <w:kern w:val="0"/>
          <w:sz w:val="32"/>
          <w:szCs w:val="32"/>
        </w:rPr>
        <w:t>乡</w:t>
      </w:r>
      <w:r>
        <w:rPr>
          <w:rFonts w:ascii="仿宋" w:hAnsi="仿宋" w:eastAsia="仿宋" w:cs="仿宋_GB2312"/>
          <w:kern w:val="0"/>
          <w:sz w:val="32"/>
          <w:szCs w:val="32"/>
        </w:rPr>
        <w:t>政府采购事项为</w:t>
      </w:r>
      <w:r>
        <w:rPr>
          <w:rFonts w:hint="eastAsia" w:ascii="仿宋" w:hAnsi="仿宋" w:eastAsia="仿宋" w:cs="仿宋_GB2312"/>
          <w:kern w:val="0"/>
          <w:sz w:val="32"/>
          <w:szCs w:val="32"/>
        </w:rPr>
        <w:t>11.6万元，</w:t>
      </w:r>
      <w:r>
        <w:rPr>
          <w:rFonts w:ascii="仿宋" w:hAnsi="仿宋" w:eastAsia="仿宋" w:cs="仿宋_GB2312"/>
          <w:kern w:val="0"/>
          <w:sz w:val="32"/>
          <w:szCs w:val="32"/>
        </w:rPr>
        <w:t>本年拟用于政府采购微机等办公设备</w:t>
      </w:r>
      <w:r>
        <w:rPr>
          <w:rFonts w:hint="eastAsia" w:ascii="仿宋" w:hAnsi="仿宋" w:eastAsia="仿宋" w:cs="仿宋_GB2312"/>
          <w:kern w:val="0"/>
          <w:sz w:val="32"/>
          <w:szCs w:val="32"/>
        </w:rPr>
        <w:t>11.6</w:t>
      </w:r>
      <w:r>
        <w:rPr>
          <w:rFonts w:ascii="仿宋" w:hAnsi="仿宋" w:eastAsia="仿宋" w:cs="仿宋_GB2312"/>
          <w:kern w:val="0"/>
          <w:sz w:val="32"/>
          <w:szCs w:val="32"/>
        </w:rPr>
        <w:t>万元。</w:t>
      </w:r>
    </w:p>
    <w:p w14:paraId="2D99BEE8">
      <w:pPr>
        <w:widowControl/>
        <w:spacing w:line="360" w:lineRule="auto"/>
        <w:ind w:firstLine="640" w:firstLineChars="200"/>
        <w:jc w:val="left"/>
        <w:rPr>
          <w:rFonts w:ascii="黑体" w:hAnsi="黑体" w:eastAsia="黑体" w:cs="黑体"/>
          <w:kern w:val="0"/>
          <w:sz w:val="32"/>
          <w:szCs w:val="32"/>
        </w:rPr>
      </w:pPr>
      <w:r>
        <w:rPr>
          <w:rFonts w:hint="eastAsia" w:ascii="黑体" w:hAnsi="黑体" w:eastAsia="黑体" w:cs="黑体"/>
          <w:kern w:val="0"/>
          <w:sz w:val="32"/>
          <w:szCs w:val="32"/>
        </w:rPr>
        <w:t>七、国有资产情况的说明</w:t>
      </w:r>
    </w:p>
    <w:tbl>
      <w:tblPr>
        <w:tblStyle w:val="6"/>
        <w:tblW w:w="13750" w:type="dxa"/>
        <w:tblInd w:w="108" w:type="dxa"/>
        <w:tblLayout w:type="fixed"/>
        <w:tblCellMar>
          <w:top w:w="0" w:type="dxa"/>
          <w:left w:w="108" w:type="dxa"/>
          <w:bottom w:w="0" w:type="dxa"/>
          <w:right w:w="108" w:type="dxa"/>
        </w:tblCellMar>
      </w:tblPr>
      <w:tblGrid>
        <w:gridCol w:w="5812"/>
        <w:gridCol w:w="3969"/>
        <w:gridCol w:w="3969"/>
      </w:tblGrid>
      <w:tr w14:paraId="4E80E17F">
        <w:tblPrEx>
          <w:tblCellMar>
            <w:top w:w="0" w:type="dxa"/>
            <w:left w:w="108" w:type="dxa"/>
            <w:bottom w:w="0" w:type="dxa"/>
            <w:right w:w="108" w:type="dxa"/>
          </w:tblCellMar>
        </w:tblPrEx>
        <w:trPr>
          <w:trHeight w:val="705" w:hRule="atLeast"/>
        </w:trPr>
        <w:tc>
          <w:tcPr>
            <w:tcW w:w="13750" w:type="dxa"/>
            <w:gridSpan w:val="3"/>
            <w:tcBorders>
              <w:top w:val="nil"/>
              <w:left w:val="nil"/>
              <w:bottom w:val="nil"/>
              <w:right w:val="nil"/>
            </w:tcBorders>
            <w:vAlign w:val="center"/>
          </w:tcPr>
          <w:p w14:paraId="2A5D3CA4">
            <w:pPr>
              <w:widowControl/>
              <w:spacing w:line="360" w:lineRule="auto"/>
              <w:ind w:left="412" w:leftChars="196" w:firstLine="160" w:firstLineChars="50"/>
              <w:jc w:val="left"/>
              <w:rPr>
                <w:rFonts w:ascii="仿宋" w:hAnsi="仿宋" w:eastAsia="仿宋" w:cs="仿宋_GB2312"/>
                <w:kern w:val="0"/>
                <w:sz w:val="32"/>
                <w:szCs w:val="32"/>
              </w:rPr>
            </w:pPr>
            <w:r>
              <w:rPr>
                <w:rFonts w:ascii="仿宋" w:hAnsi="仿宋" w:eastAsia="仿宋" w:cs="仿宋_GB2312"/>
                <w:kern w:val="0"/>
                <w:sz w:val="32"/>
                <w:szCs w:val="32"/>
              </w:rPr>
              <w:t>截止上年末固定资产</w:t>
            </w:r>
            <w:r>
              <w:rPr>
                <w:rFonts w:hint="eastAsia" w:ascii="仿宋" w:hAnsi="仿宋" w:eastAsia="仿宋" w:cs="仿宋_GB2312"/>
                <w:kern w:val="0"/>
                <w:sz w:val="32"/>
                <w:szCs w:val="32"/>
                <w:lang w:val="en-US" w:eastAsia="zh-CN"/>
              </w:rPr>
              <w:t>账</w:t>
            </w:r>
            <w:bookmarkStart w:id="0" w:name="_GoBack"/>
            <w:bookmarkEnd w:id="0"/>
            <w:r>
              <w:rPr>
                <w:rFonts w:ascii="仿宋" w:hAnsi="仿宋" w:eastAsia="仿宋" w:cs="仿宋_GB2312"/>
                <w:kern w:val="0"/>
                <w:sz w:val="32"/>
                <w:szCs w:val="32"/>
              </w:rPr>
              <w:t>面结余</w:t>
            </w:r>
            <w:r>
              <w:rPr>
                <w:rFonts w:hint="eastAsia" w:ascii="仿宋" w:hAnsi="仿宋" w:eastAsia="仿宋" w:cs="仿宋_GB2312"/>
                <w:kern w:val="0"/>
                <w:sz w:val="32"/>
                <w:szCs w:val="32"/>
              </w:rPr>
              <w:t>219.0849</w:t>
            </w:r>
            <w:r>
              <w:rPr>
                <w:rFonts w:ascii="仿宋" w:hAnsi="仿宋" w:eastAsia="仿宋" w:cs="仿宋_GB2312"/>
                <w:kern w:val="0"/>
                <w:sz w:val="32"/>
                <w:szCs w:val="32"/>
              </w:rPr>
              <w:t>万元。</w:t>
            </w:r>
            <w:r>
              <w:rPr>
                <w:rFonts w:hint="eastAsia" w:ascii="仿宋" w:hAnsi="仿宋" w:eastAsia="仿宋" w:cs="仿宋_GB2312"/>
                <w:kern w:val="0"/>
                <w:sz w:val="32"/>
                <w:szCs w:val="32"/>
              </w:rPr>
              <w:t>其中：房屋价值157万元，车辆价值25万元，其它资产办公用电脑、办公家具、专用设备等价值37.0849万元。2020年我单位拟购置11.6万元。</w:t>
            </w:r>
          </w:p>
          <w:p w14:paraId="1F926374">
            <w:pPr>
              <w:widowControl/>
              <w:ind w:firstLine="2393" w:firstLineChars="745"/>
              <w:rPr>
                <w:rFonts w:ascii="仿宋" w:hAnsi="仿宋" w:eastAsia="仿宋" w:cs="Times New Roman"/>
                <w:b/>
                <w:bCs/>
                <w:kern w:val="0"/>
                <w:sz w:val="32"/>
                <w:szCs w:val="32"/>
              </w:rPr>
            </w:pPr>
            <w:r>
              <w:rPr>
                <w:rFonts w:hint="eastAsia" w:ascii="仿宋" w:hAnsi="仿宋" w:eastAsia="仿宋" w:cs="宋体"/>
                <w:b/>
                <w:bCs/>
                <w:kern w:val="0"/>
                <w:sz w:val="32"/>
                <w:szCs w:val="32"/>
              </w:rPr>
              <w:t>部门固定资产占用情况表</w:t>
            </w:r>
          </w:p>
        </w:tc>
      </w:tr>
      <w:tr w14:paraId="02E0BE2E">
        <w:tblPrEx>
          <w:tblCellMar>
            <w:top w:w="0" w:type="dxa"/>
            <w:left w:w="108" w:type="dxa"/>
            <w:bottom w:w="0" w:type="dxa"/>
            <w:right w:w="108" w:type="dxa"/>
          </w:tblCellMar>
        </w:tblPrEx>
        <w:trPr>
          <w:trHeight w:val="510" w:hRule="atLeast"/>
        </w:trPr>
        <w:tc>
          <w:tcPr>
            <w:tcW w:w="9781" w:type="dxa"/>
            <w:gridSpan w:val="2"/>
            <w:tcBorders>
              <w:top w:val="nil"/>
              <w:left w:val="nil"/>
              <w:bottom w:val="nil"/>
              <w:right w:val="nil"/>
            </w:tcBorders>
            <w:vAlign w:val="center"/>
          </w:tcPr>
          <w:p w14:paraId="2715BC4D">
            <w:pPr>
              <w:widowControl/>
              <w:jc w:val="left"/>
              <w:rPr>
                <w:rFonts w:ascii="仿宋" w:hAnsi="仿宋" w:eastAsia="仿宋" w:cs="Times New Roman"/>
                <w:kern w:val="0"/>
                <w:sz w:val="22"/>
              </w:rPr>
            </w:pPr>
            <w:r>
              <w:rPr>
                <w:rFonts w:hint="eastAsia" w:ascii="仿宋" w:hAnsi="仿宋" w:eastAsia="仿宋" w:cs="宋体"/>
                <w:kern w:val="0"/>
                <w:sz w:val="22"/>
              </w:rPr>
              <w:t>编制部门：柏寺营乡人民政府</w:t>
            </w:r>
          </w:p>
        </w:tc>
        <w:tc>
          <w:tcPr>
            <w:tcW w:w="3969" w:type="dxa"/>
            <w:tcBorders>
              <w:top w:val="nil"/>
              <w:left w:val="nil"/>
              <w:bottom w:val="nil"/>
              <w:right w:val="nil"/>
            </w:tcBorders>
            <w:vAlign w:val="center"/>
          </w:tcPr>
          <w:p w14:paraId="6648824B">
            <w:pPr>
              <w:widowControl/>
              <w:ind w:firstLine="550" w:firstLineChars="250"/>
              <w:jc w:val="left"/>
              <w:rPr>
                <w:rFonts w:ascii="仿宋" w:hAnsi="仿宋" w:eastAsia="仿宋" w:cs="宋体"/>
                <w:kern w:val="0"/>
                <w:sz w:val="22"/>
              </w:rPr>
            </w:pPr>
            <w:r>
              <w:rPr>
                <w:rFonts w:hint="eastAsia" w:ascii="仿宋" w:hAnsi="仿宋" w:eastAsia="仿宋" w:cs="宋体"/>
                <w:kern w:val="0"/>
                <w:sz w:val="22"/>
              </w:rPr>
              <w:t>截止时间：2019年</w:t>
            </w:r>
            <w:r>
              <w:rPr>
                <w:rFonts w:ascii="仿宋" w:hAnsi="仿宋" w:eastAsia="仿宋" w:cs="宋体"/>
                <w:kern w:val="0"/>
                <w:sz w:val="22"/>
              </w:rPr>
              <w:t>12</w:t>
            </w:r>
            <w:r>
              <w:rPr>
                <w:rFonts w:hint="eastAsia" w:ascii="仿宋" w:hAnsi="仿宋" w:eastAsia="仿宋" w:cs="宋体"/>
                <w:kern w:val="0"/>
                <w:sz w:val="22"/>
              </w:rPr>
              <w:t>月</w:t>
            </w:r>
            <w:r>
              <w:rPr>
                <w:rFonts w:ascii="仿宋" w:hAnsi="仿宋" w:eastAsia="仿宋" w:cs="宋体"/>
                <w:kern w:val="0"/>
                <w:sz w:val="22"/>
              </w:rPr>
              <w:t>31</w:t>
            </w:r>
            <w:r>
              <w:rPr>
                <w:rFonts w:hint="eastAsia" w:ascii="仿宋" w:hAnsi="仿宋" w:eastAsia="仿宋" w:cs="宋体"/>
                <w:kern w:val="0"/>
                <w:sz w:val="22"/>
              </w:rPr>
              <w:t>日</w:t>
            </w:r>
          </w:p>
        </w:tc>
      </w:tr>
      <w:tr w14:paraId="2D838012">
        <w:tblPrEx>
          <w:tblCellMar>
            <w:top w:w="0" w:type="dxa"/>
            <w:left w:w="108" w:type="dxa"/>
            <w:bottom w:w="0" w:type="dxa"/>
            <w:right w:w="108" w:type="dxa"/>
          </w:tblCellMar>
        </w:tblPrEx>
        <w:trPr>
          <w:trHeight w:val="645" w:hRule="atLeast"/>
        </w:trPr>
        <w:tc>
          <w:tcPr>
            <w:tcW w:w="5812" w:type="dxa"/>
            <w:tcBorders>
              <w:top w:val="single" w:color="auto" w:sz="4" w:space="0"/>
              <w:left w:val="single" w:color="auto" w:sz="4" w:space="0"/>
              <w:bottom w:val="single" w:color="auto" w:sz="4" w:space="0"/>
              <w:right w:val="single" w:color="auto" w:sz="4" w:space="0"/>
            </w:tcBorders>
            <w:vAlign w:val="center"/>
          </w:tcPr>
          <w:p w14:paraId="05EE887C">
            <w:pPr>
              <w:widowControl/>
              <w:jc w:val="center"/>
              <w:rPr>
                <w:rFonts w:ascii="仿宋" w:hAnsi="仿宋" w:eastAsia="仿宋" w:cs="Times New Roman"/>
                <w:b/>
                <w:bCs/>
                <w:kern w:val="0"/>
                <w:sz w:val="22"/>
              </w:rPr>
            </w:pPr>
            <w:r>
              <w:rPr>
                <w:rFonts w:hint="eastAsia" w:ascii="仿宋" w:hAnsi="仿宋" w:eastAsia="仿宋" w:cs="宋体"/>
                <w:b/>
                <w:bCs/>
                <w:kern w:val="0"/>
                <w:sz w:val="22"/>
              </w:rPr>
              <w:t>项目</w:t>
            </w:r>
          </w:p>
        </w:tc>
        <w:tc>
          <w:tcPr>
            <w:tcW w:w="3969" w:type="dxa"/>
            <w:tcBorders>
              <w:top w:val="single" w:color="auto" w:sz="4" w:space="0"/>
              <w:left w:val="nil"/>
              <w:bottom w:val="single" w:color="auto" w:sz="4" w:space="0"/>
              <w:right w:val="single" w:color="auto" w:sz="4" w:space="0"/>
            </w:tcBorders>
            <w:vAlign w:val="center"/>
          </w:tcPr>
          <w:p w14:paraId="200631CF">
            <w:pPr>
              <w:widowControl/>
              <w:jc w:val="center"/>
              <w:rPr>
                <w:rFonts w:ascii="仿宋" w:hAnsi="仿宋" w:eastAsia="仿宋" w:cs="Times New Roman"/>
                <w:b/>
                <w:bCs/>
                <w:kern w:val="0"/>
                <w:sz w:val="22"/>
              </w:rPr>
            </w:pPr>
            <w:r>
              <w:rPr>
                <w:rFonts w:hint="eastAsia" w:ascii="仿宋" w:hAnsi="仿宋" w:eastAsia="仿宋" w:cs="宋体"/>
                <w:b/>
                <w:bCs/>
                <w:kern w:val="0"/>
                <w:sz w:val="22"/>
              </w:rPr>
              <w:t>数量</w:t>
            </w:r>
          </w:p>
        </w:tc>
        <w:tc>
          <w:tcPr>
            <w:tcW w:w="3969" w:type="dxa"/>
            <w:tcBorders>
              <w:top w:val="single" w:color="auto" w:sz="4" w:space="0"/>
              <w:left w:val="nil"/>
              <w:bottom w:val="single" w:color="auto" w:sz="4" w:space="0"/>
              <w:right w:val="single" w:color="auto" w:sz="4" w:space="0"/>
            </w:tcBorders>
            <w:vAlign w:val="center"/>
          </w:tcPr>
          <w:p w14:paraId="46EF4D69">
            <w:pPr>
              <w:widowControl/>
              <w:jc w:val="center"/>
              <w:rPr>
                <w:rFonts w:ascii="仿宋" w:hAnsi="仿宋" w:eastAsia="仿宋" w:cs="Times New Roman"/>
                <w:b/>
                <w:bCs/>
                <w:kern w:val="0"/>
                <w:sz w:val="22"/>
              </w:rPr>
            </w:pPr>
            <w:r>
              <w:rPr>
                <w:rFonts w:hint="eastAsia" w:ascii="仿宋" w:hAnsi="仿宋" w:eastAsia="仿宋" w:cs="宋体"/>
                <w:b/>
                <w:bCs/>
                <w:kern w:val="0"/>
                <w:sz w:val="22"/>
              </w:rPr>
              <w:t>价值（金额单位：万元）</w:t>
            </w:r>
          </w:p>
        </w:tc>
      </w:tr>
      <w:tr w14:paraId="6A57AAB9">
        <w:tblPrEx>
          <w:tblCellMar>
            <w:top w:w="0" w:type="dxa"/>
            <w:left w:w="108" w:type="dxa"/>
            <w:bottom w:w="0" w:type="dxa"/>
            <w:right w:w="108" w:type="dxa"/>
          </w:tblCellMar>
        </w:tblPrEx>
        <w:trPr>
          <w:trHeight w:val="645" w:hRule="atLeast"/>
        </w:trPr>
        <w:tc>
          <w:tcPr>
            <w:tcW w:w="5812" w:type="dxa"/>
            <w:tcBorders>
              <w:top w:val="nil"/>
              <w:left w:val="single" w:color="auto" w:sz="4" w:space="0"/>
              <w:bottom w:val="single" w:color="auto" w:sz="4" w:space="0"/>
              <w:right w:val="single" w:color="auto" w:sz="4" w:space="0"/>
            </w:tcBorders>
            <w:vAlign w:val="center"/>
          </w:tcPr>
          <w:p w14:paraId="1A284018">
            <w:pPr>
              <w:widowControl/>
              <w:jc w:val="center"/>
              <w:rPr>
                <w:rFonts w:ascii="仿宋" w:hAnsi="仿宋" w:eastAsia="仿宋" w:cs="Times New Roman"/>
                <w:kern w:val="0"/>
                <w:sz w:val="22"/>
              </w:rPr>
            </w:pPr>
            <w:r>
              <w:rPr>
                <w:rFonts w:hint="eastAsia" w:ascii="仿宋" w:hAnsi="仿宋" w:eastAsia="仿宋" w:cs="宋体"/>
                <w:kern w:val="0"/>
                <w:sz w:val="22"/>
              </w:rPr>
              <w:t>资产总额</w:t>
            </w:r>
          </w:p>
        </w:tc>
        <w:tc>
          <w:tcPr>
            <w:tcW w:w="3969" w:type="dxa"/>
            <w:tcBorders>
              <w:top w:val="nil"/>
              <w:left w:val="nil"/>
              <w:bottom w:val="single" w:color="auto" w:sz="4" w:space="0"/>
              <w:right w:val="single" w:color="auto" w:sz="4" w:space="0"/>
            </w:tcBorders>
            <w:vAlign w:val="center"/>
          </w:tcPr>
          <w:p w14:paraId="44D11043">
            <w:pPr>
              <w:widowControl/>
              <w:jc w:val="center"/>
              <w:rPr>
                <w:rFonts w:ascii="仿宋" w:hAnsi="仿宋" w:eastAsia="仿宋" w:cs="宋体"/>
                <w:kern w:val="0"/>
                <w:sz w:val="22"/>
              </w:rPr>
            </w:pPr>
            <w:r>
              <w:rPr>
                <w:rFonts w:ascii="仿宋" w:hAnsi="仿宋" w:eastAsia="仿宋" w:cs="宋体"/>
                <w:kern w:val="0"/>
                <w:sz w:val="22"/>
              </w:rPr>
              <w:t>——</w:t>
            </w:r>
          </w:p>
        </w:tc>
        <w:tc>
          <w:tcPr>
            <w:tcW w:w="3969" w:type="dxa"/>
            <w:tcBorders>
              <w:top w:val="nil"/>
              <w:left w:val="nil"/>
              <w:bottom w:val="single" w:color="auto" w:sz="4" w:space="0"/>
              <w:right w:val="single" w:color="auto" w:sz="4" w:space="0"/>
            </w:tcBorders>
            <w:vAlign w:val="center"/>
          </w:tcPr>
          <w:p w14:paraId="10489B8C">
            <w:pPr>
              <w:widowControl/>
              <w:jc w:val="center"/>
              <w:rPr>
                <w:rFonts w:ascii="仿宋" w:hAnsi="仿宋" w:eastAsia="仿宋" w:cs="宋体"/>
                <w:kern w:val="0"/>
                <w:sz w:val="22"/>
              </w:rPr>
            </w:pPr>
            <w:r>
              <w:rPr>
                <w:rFonts w:hint="eastAsia" w:ascii="仿宋" w:hAnsi="仿宋" w:eastAsia="仿宋" w:cs="宋体"/>
                <w:kern w:val="0"/>
                <w:sz w:val="22"/>
              </w:rPr>
              <w:t>219.0849</w:t>
            </w:r>
          </w:p>
        </w:tc>
      </w:tr>
      <w:tr w14:paraId="20E0D91E">
        <w:tblPrEx>
          <w:tblCellMar>
            <w:top w:w="0" w:type="dxa"/>
            <w:left w:w="108" w:type="dxa"/>
            <w:bottom w:w="0" w:type="dxa"/>
            <w:right w:w="108" w:type="dxa"/>
          </w:tblCellMar>
        </w:tblPrEx>
        <w:trPr>
          <w:trHeight w:val="645" w:hRule="atLeast"/>
        </w:trPr>
        <w:tc>
          <w:tcPr>
            <w:tcW w:w="5812" w:type="dxa"/>
            <w:tcBorders>
              <w:top w:val="nil"/>
              <w:left w:val="single" w:color="auto" w:sz="4" w:space="0"/>
              <w:bottom w:val="single" w:color="auto" w:sz="4" w:space="0"/>
              <w:right w:val="single" w:color="auto" w:sz="4" w:space="0"/>
            </w:tcBorders>
            <w:vAlign w:val="center"/>
          </w:tcPr>
          <w:p w14:paraId="5B08FCD3">
            <w:pPr>
              <w:widowControl/>
              <w:jc w:val="left"/>
              <w:rPr>
                <w:rFonts w:ascii="仿宋" w:hAnsi="仿宋" w:eastAsia="仿宋" w:cs="Times New Roman"/>
                <w:kern w:val="0"/>
                <w:sz w:val="22"/>
              </w:rPr>
            </w:pPr>
            <w:r>
              <w:rPr>
                <w:rFonts w:ascii="仿宋" w:hAnsi="仿宋" w:eastAsia="仿宋" w:cs="宋体"/>
                <w:kern w:val="0"/>
                <w:sz w:val="22"/>
              </w:rPr>
              <w:t>1</w:t>
            </w:r>
            <w:r>
              <w:rPr>
                <w:rFonts w:hint="eastAsia" w:ascii="仿宋" w:hAnsi="仿宋" w:eastAsia="仿宋" w:cs="宋体"/>
                <w:kern w:val="0"/>
                <w:sz w:val="22"/>
              </w:rPr>
              <w:t>、房屋（平方米）</w:t>
            </w:r>
          </w:p>
        </w:tc>
        <w:tc>
          <w:tcPr>
            <w:tcW w:w="3969" w:type="dxa"/>
            <w:tcBorders>
              <w:top w:val="nil"/>
              <w:left w:val="nil"/>
              <w:bottom w:val="single" w:color="auto" w:sz="4" w:space="0"/>
              <w:right w:val="single" w:color="auto" w:sz="4" w:space="0"/>
            </w:tcBorders>
            <w:vAlign w:val="center"/>
          </w:tcPr>
          <w:p w14:paraId="27137B05">
            <w:pPr>
              <w:widowControl/>
              <w:jc w:val="center"/>
              <w:rPr>
                <w:rFonts w:ascii="仿宋" w:hAnsi="仿宋" w:eastAsia="仿宋" w:cs="Times New Roman"/>
                <w:kern w:val="0"/>
                <w:sz w:val="22"/>
              </w:rPr>
            </w:pPr>
            <w:r>
              <w:rPr>
                <w:rFonts w:hint="eastAsia" w:ascii="仿宋" w:hAnsi="仿宋" w:eastAsia="仿宋" w:cs="Times New Roman"/>
                <w:kern w:val="0"/>
                <w:sz w:val="22"/>
              </w:rPr>
              <w:t>1187</w:t>
            </w:r>
          </w:p>
        </w:tc>
        <w:tc>
          <w:tcPr>
            <w:tcW w:w="3969" w:type="dxa"/>
            <w:tcBorders>
              <w:top w:val="nil"/>
              <w:left w:val="nil"/>
              <w:bottom w:val="single" w:color="auto" w:sz="4" w:space="0"/>
              <w:right w:val="single" w:color="auto" w:sz="4" w:space="0"/>
            </w:tcBorders>
            <w:vAlign w:val="center"/>
          </w:tcPr>
          <w:p w14:paraId="557ECFD8">
            <w:pPr>
              <w:widowControl/>
              <w:jc w:val="center"/>
              <w:rPr>
                <w:rFonts w:ascii="仿宋" w:hAnsi="仿宋" w:eastAsia="仿宋" w:cs="Times New Roman"/>
                <w:kern w:val="0"/>
                <w:sz w:val="22"/>
              </w:rPr>
            </w:pPr>
            <w:r>
              <w:rPr>
                <w:rFonts w:hint="eastAsia" w:ascii="仿宋" w:hAnsi="仿宋" w:eastAsia="仿宋" w:cs="Times New Roman"/>
                <w:kern w:val="0"/>
                <w:sz w:val="22"/>
              </w:rPr>
              <w:t>157</w:t>
            </w:r>
          </w:p>
        </w:tc>
      </w:tr>
      <w:tr w14:paraId="77E3DE72">
        <w:tblPrEx>
          <w:tblCellMar>
            <w:top w:w="0" w:type="dxa"/>
            <w:left w:w="108" w:type="dxa"/>
            <w:bottom w:w="0" w:type="dxa"/>
            <w:right w:w="108" w:type="dxa"/>
          </w:tblCellMar>
        </w:tblPrEx>
        <w:trPr>
          <w:trHeight w:val="645" w:hRule="atLeast"/>
        </w:trPr>
        <w:tc>
          <w:tcPr>
            <w:tcW w:w="5812" w:type="dxa"/>
            <w:tcBorders>
              <w:top w:val="nil"/>
              <w:left w:val="single" w:color="auto" w:sz="4" w:space="0"/>
              <w:bottom w:val="single" w:color="auto" w:sz="4" w:space="0"/>
              <w:right w:val="single" w:color="auto" w:sz="4" w:space="0"/>
            </w:tcBorders>
            <w:vAlign w:val="center"/>
          </w:tcPr>
          <w:p w14:paraId="7CC2BF6A">
            <w:pPr>
              <w:widowControl/>
              <w:jc w:val="left"/>
              <w:rPr>
                <w:rFonts w:ascii="仿宋" w:hAnsi="仿宋" w:eastAsia="仿宋" w:cs="Times New Roman"/>
                <w:kern w:val="0"/>
                <w:sz w:val="22"/>
              </w:rPr>
            </w:pPr>
            <w:r>
              <w:rPr>
                <w:rFonts w:hint="eastAsia" w:ascii="仿宋" w:hAnsi="仿宋" w:eastAsia="仿宋" w:cs="宋体"/>
                <w:kern w:val="0"/>
                <w:sz w:val="22"/>
              </w:rPr>
              <w:t>其中：办公用房（平方米）</w:t>
            </w:r>
          </w:p>
        </w:tc>
        <w:tc>
          <w:tcPr>
            <w:tcW w:w="3969" w:type="dxa"/>
            <w:tcBorders>
              <w:top w:val="nil"/>
              <w:left w:val="nil"/>
              <w:bottom w:val="single" w:color="auto" w:sz="4" w:space="0"/>
              <w:right w:val="single" w:color="auto" w:sz="4" w:space="0"/>
            </w:tcBorders>
            <w:vAlign w:val="center"/>
          </w:tcPr>
          <w:p w14:paraId="78DFE635">
            <w:pPr>
              <w:widowControl/>
              <w:jc w:val="center"/>
              <w:rPr>
                <w:rFonts w:ascii="仿宋" w:hAnsi="仿宋" w:eastAsia="仿宋" w:cs="Times New Roman"/>
                <w:kern w:val="0"/>
                <w:sz w:val="22"/>
              </w:rPr>
            </w:pPr>
            <w:r>
              <w:rPr>
                <w:rFonts w:hint="eastAsia" w:ascii="仿宋" w:hAnsi="仿宋" w:eastAsia="仿宋" w:cs="Times New Roman"/>
                <w:kern w:val="0"/>
                <w:sz w:val="22"/>
              </w:rPr>
              <w:t>1150</w:t>
            </w:r>
          </w:p>
        </w:tc>
        <w:tc>
          <w:tcPr>
            <w:tcW w:w="3969" w:type="dxa"/>
            <w:tcBorders>
              <w:top w:val="nil"/>
              <w:left w:val="nil"/>
              <w:bottom w:val="single" w:color="auto" w:sz="4" w:space="0"/>
              <w:right w:val="single" w:color="auto" w:sz="4" w:space="0"/>
            </w:tcBorders>
            <w:vAlign w:val="center"/>
          </w:tcPr>
          <w:p w14:paraId="0D41664C">
            <w:pPr>
              <w:widowControl/>
              <w:jc w:val="center"/>
              <w:rPr>
                <w:rFonts w:ascii="仿宋" w:hAnsi="仿宋" w:eastAsia="仿宋" w:cs="Times New Roman"/>
                <w:kern w:val="0"/>
                <w:sz w:val="22"/>
              </w:rPr>
            </w:pPr>
          </w:p>
        </w:tc>
      </w:tr>
      <w:tr w14:paraId="11000725">
        <w:tblPrEx>
          <w:tblCellMar>
            <w:top w:w="0" w:type="dxa"/>
            <w:left w:w="108" w:type="dxa"/>
            <w:bottom w:w="0" w:type="dxa"/>
            <w:right w:w="108" w:type="dxa"/>
          </w:tblCellMar>
        </w:tblPrEx>
        <w:trPr>
          <w:trHeight w:val="645" w:hRule="atLeast"/>
        </w:trPr>
        <w:tc>
          <w:tcPr>
            <w:tcW w:w="5812" w:type="dxa"/>
            <w:tcBorders>
              <w:top w:val="nil"/>
              <w:left w:val="single" w:color="auto" w:sz="4" w:space="0"/>
              <w:bottom w:val="single" w:color="auto" w:sz="4" w:space="0"/>
              <w:right w:val="single" w:color="auto" w:sz="4" w:space="0"/>
            </w:tcBorders>
            <w:vAlign w:val="center"/>
          </w:tcPr>
          <w:p w14:paraId="5F61EC28">
            <w:pPr>
              <w:widowControl/>
              <w:jc w:val="left"/>
              <w:rPr>
                <w:rFonts w:ascii="仿宋" w:hAnsi="仿宋" w:eastAsia="仿宋" w:cs="Times New Roman"/>
                <w:kern w:val="0"/>
                <w:sz w:val="22"/>
              </w:rPr>
            </w:pPr>
            <w:r>
              <w:rPr>
                <w:rFonts w:ascii="仿宋" w:hAnsi="仿宋" w:eastAsia="仿宋" w:cs="宋体"/>
                <w:kern w:val="0"/>
                <w:sz w:val="22"/>
              </w:rPr>
              <w:t>2</w:t>
            </w:r>
            <w:r>
              <w:rPr>
                <w:rFonts w:hint="eastAsia" w:ascii="仿宋" w:hAnsi="仿宋" w:eastAsia="仿宋" w:cs="宋体"/>
                <w:kern w:val="0"/>
                <w:sz w:val="22"/>
              </w:rPr>
              <w:t>、车辆（台、辆）</w:t>
            </w:r>
          </w:p>
        </w:tc>
        <w:tc>
          <w:tcPr>
            <w:tcW w:w="3969" w:type="dxa"/>
            <w:tcBorders>
              <w:top w:val="nil"/>
              <w:left w:val="nil"/>
              <w:bottom w:val="single" w:color="auto" w:sz="4" w:space="0"/>
              <w:right w:val="single" w:color="auto" w:sz="4" w:space="0"/>
            </w:tcBorders>
            <w:vAlign w:val="center"/>
          </w:tcPr>
          <w:p w14:paraId="284A0F46">
            <w:pPr>
              <w:widowControl/>
              <w:jc w:val="center"/>
              <w:rPr>
                <w:rFonts w:ascii="仿宋" w:hAnsi="仿宋" w:eastAsia="仿宋" w:cs="Times New Roman"/>
                <w:kern w:val="0"/>
                <w:sz w:val="22"/>
              </w:rPr>
            </w:pPr>
            <w:r>
              <w:rPr>
                <w:rFonts w:hint="eastAsia" w:ascii="仿宋" w:hAnsi="仿宋" w:eastAsia="仿宋" w:cs="Times New Roman"/>
                <w:kern w:val="0"/>
                <w:sz w:val="22"/>
              </w:rPr>
              <w:t>2</w:t>
            </w:r>
          </w:p>
        </w:tc>
        <w:tc>
          <w:tcPr>
            <w:tcW w:w="3969" w:type="dxa"/>
            <w:tcBorders>
              <w:top w:val="nil"/>
              <w:left w:val="nil"/>
              <w:bottom w:val="single" w:color="auto" w:sz="4" w:space="0"/>
              <w:right w:val="single" w:color="auto" w:sz="4" w:space="0"/>
            </w:tcBorders>
            <w:vAlign w:val="center"/>
          </w:tcPr>
          <w:p w14:paraId="4D000465">
            <w:pPr>
              <w:widowControl/>
              <w:jc w:val="center"/>
              <w:rPr>
                <w:rFonts w:ascii="仿宋" w:hAnsi="仿宋" w:eastAsia="仿宋" w:cs="Times New Roman"/>
                <w:kern w:val="0"/>
                <w:sz w:val="22"/>
              </w:rPr>
            </w:pPr>
            <w:r>
              <w:rPr>
                <w:rFonts w:hint="eastAsia" w:ascii="仿宋" w:hAnsi="仿宋" w:eastAsia="仿宋" w:cs="Times New Roman"/>
                <w:kern w:val="0"/>
                <w:sz w:val="22"/>
              </w:rPr>
              <w:t>25</w:t>
            </w:r>
          </w:p>
        </w:tc>
      </w:tr>
      <w:tr w14:paraId="1EF0149D">
        <w:tblPrEx>
          <w:tblCellMar>
            <w:top w:w="0" w:type="dxa"/>
            <w:left w:w="108" w:type="dxa"/>
            <w:bottom w:w="0" w:type="dxa"/>
            <w:right w:w="108" w:type="dxa"/>
          </w:tblCellMar>
        </w:tblPrEx>
        <w:trPr>
          <w:trHeight w:val="645" w:hRule="atLeast"/>
        </w:trPr>
        <w:tc>
          <w:tcPr>
            <w:tcW w:w="5812" w:type="dxa"/>
            <w:tcBorders>
              <w:top w:val="nil"/>
              <w:left w:val="single" w:color="auto" w:sz="4" w:space="0"/>
              <w:bottom w:val="single" w:color="auto" w:sz="4" w:space="0"/>
              <w:right w:val="single" w:color="auto" w:sz="4" w:space="0"/>
            </w:tcBorders>
            <w:vAlign w:val="center"/>
          </w:tcPr>
          <w:p w14:paraId="19DB9AD0">
            <w:pPr>
              <w:widowControl/>
              <w:jc w:val="left"/>
              <w:rPr>
                <w:rFonts w:ascii="仿宋" w:hAnsi="仿宋" w:eastAsia="仿宋" w:cs="Times New Roman"/>
                <w:kern w:val="0"/>
                <w:sz w:val="22"/>
              </w:rPr>
            </w:pPr>
            <w:r>
              <w:rPr>
                <w:rFonts w:ascii="仿宋" w:hAnsi="仿宋" w:eastAsia="仿宋" w:cs="宋体"/>
                <w:kern w:val="0"/>
                <w:sz w:val="22"/>
              </w:rPr>
              <w:t>3</w:t>
            </w:r>
            <w:r>
              <w:rPr>
                <w:rFonts w:hint="eastAsia" w:ascii="仿宋" w:hAnsi="仿宋" w:eastAsia="仿宋" w:cs="宋体"/>
                <w:kern w:val="0"/>
                <w:sz w:val="22"/>
              </w:rPr>
              <w:t>、单价在</w:t>
            </w:r>
            <w:r>
              <w:rPr>
                <w:rFonts w:ascii="仿宋" w:hAnsi="仿宋" w:eastAsia="仿宋" w:cs="宋体"/>
                <w:kern w:val="0"/>
                <w:sz w:val="22"/>
              </w:rPr>
              <w:t>50</w:t>
            </w:r>
            <w:r>
              <w:rPr>
                <w:rFonts w:hint="eastAsia" w:ascii="仿宋" w:hAnsi="仿宋" w:eastAsia="仿宋" w:cs="宋体"/>
                <w:kern w:val="0"/>
                <w:sz w:val="22"/>
              </w:rPr>
              <w:t>万元以上的设备</w:t>
            </w:r>
          </w:p>
        </w:tc>
        <w:tc>
          <w:tcPr>
            <w:tcW w:w="3969" w:type="dxa"/>
            <w:tcBorders>
              <w:top w:val="nil"/>
              <w:left w:val="nil"/>
              <w:bottom w:val="single" w:color="auto" w:sz="4" w:space="0"/>
              <w:right w:val="single" w:color="auto" w:sz="4" w:space="0"/>
            </w:tcBorders>
            <w:vAlign w:val="center"/>
          </w:tcPr>
          <w:p w14:paraId="5ACDB9C1">
            <w:pPr>
              <w:widowControl/>
              <w:jc w:val="center"/>
              <w:rPr>
                <w:rFonts w:ascii="仿宋" w:hAnsi="仿宋" w:eastAsia="仿宋" w:cs="Times New Roman"/>
                <w:kern w:val="0"/>
                <w:sz w:val="22"/>
              </w:rPr>
            </w:pPr>
          </w:p>
        </w:tc>
        <w:tc>
          <w:tcPr>
            <w:tcW w:w="3969" w:type="dxa"/>
            <w:tcBorders>
              <w:top w:val="nil"/>
              <w:left w:val="nil"/>
              <w:bottom w:val="single" w:color="auto" w:sz="4" w:space="0"/>
              <w:right w:val="single" w:color="auto" w:sz="4" w:space="0"/>
            </w:tcBorders>
            <w:vAlign w:val="center"/>
          </w:tcPr>
          <w:p w14:paraId="763D6372">
            <w:pPr>
              <w:widowControl/>
              <w:jc w:val="center"/>
              <w:rPr>
                <w:rFonts w:ascii="仿宋" w:hAnsi="仿宋" w:eastAsia="仿宋" w:cs="Times New Roman"/>
                <w:kern w:val="0"/>
                <w:sz w:val="22"/>
              </w:rPr>
            </w:pPr>
          </w:p>
        </w:tc>
      </w:tr>
      <w:tr w14:paraId="15BF20BE">
        <w:tblPrEx>
          <w:tblCellMar>
            <w:top w:w="0" w:type="dxa"/>
            <w:left w:w="108" w:type="dxa"/>
            <w:bottom w:w="0" w:type="dxa"/>
            <w:right w:w="108" w:type="dxa"/>
          </w:tblCellMar>
        </w:tblPrEx>
        <w:trPr>
          <w:trHeight w:val="645" w:hRule="atLeast"/>
        </w:trPr>
        <w:tc>
          <w:tcPr>
            <w:tcW w:w="5812" w:type="dxa"/>
            <w:tcBorders>
              <w:top w:val="nil"/>
              <w:left w:val="single" w:color="auto" w:sz="4" w:space="0"/>
              <w:bottom w:val="single" w:color="auto" w:sz="4" w:space="0"/>
              <w:right w:val="single" w:color="auto" w:sz="4" w:space="0"/>
            </w:tcBorders>
            <w:vAlign w:val="center"/>
          </w:tcPr>
          <w:p w14:paraId="715EC94D">
            <w:pPr>
              <w:widowControl/>
              <w:jc w:val="left"/>
              <w:rPr>
                <w:rFonts w:ascii="仿宋" w:hAnsi="仿宋" w:eastAsia="仿宋" w:cs="Times New Roman"/>
                <w:kern w:val="0"/>
                <w:sz w:val="22"/>
              </w:rPr>
            </w:pPr>
            <w:r>
              <w:rPr>
                <w:rFonts w:ascii="仿宋" w:hAnsi="仿宋" w:eastAsia="仿宋" w:cs="宋体"/>
                <w:kern w:val="0"/>
                <w:sz w:val="22"/>
              </w:rPr>
              <w:t>4</w:t>
            </w:r>
            <w:r>
              <w:rPr>
                <w:rFonts w:hint="eastAsia" w:ascii="仿宋" w:hAnsi="仿宋" w:eastAsia="仿宋" w:cs="宋体"/>
                <w:kern w:val="0"/>
                <w:sz w:val="22"/>
              </w:rPr>
              <w:t>、其他固定资产</w:t>
            </w:r>
          </w:p>
        </w:tc>
        <w:tc>
          <w:tcPr>
            <w:tcW w:w="3969" w:type="dxa"/>
            <w:tcBorders>
              <w:top w:val="nil"/>
              <w:left w:val="nil"/>
              <w:bottom w:val="single" w:color="auto" w:sz="4" w:space="0"/>
              <w:right w:val="single" w:color="auto" w:sz="4" w:space="0"/>
            </w:tcBorders>
            <w:vAlign w:val="center"/>
          </w:tcPr>
          <w:p w14:paraId="58B4CBD9">
            <w:pPr>
              <w:widowControl/>
              <w:jc w:val="center"/>
              <w:rPr>
                <w:rFonts w:ascii="仿宋" w:hAnsi="仿宋" w:eastAsia="仿宋" w:cs="Times New Roman"/>
                <w:kern w:val="0"/>
                <w:sz w:val="22"/>
              </w:rPr>
            </w:pPr>
            <w:r>
              <w:rPr>
                <w:rFonts w:hint="eastAsia" w:ascii="仿宋" w:hAnsi="仿宋" w:eastAsia="仿宋" w:cs="Times New Roman"/>
                <w:kern w:val="0"/>
                <w:sz w:val="22"/>
              </w:rPr>
              <w:t>30</w:t>
            </w:r>
          </w:p>
        </w:tc>
        <w:tc>
          <w:tcPr>
            <w:tcW w:w="3969" w:type="dxa"/>
            <w:tcBorders>
              <w:top w:val="nil"/>
              <w:left w:val="nil"/>
              <w:bottom w:val="single" w:color="auto" w:sz="4" w:space="0"/>
              <w:right w:val="single" w:color="auto" w:sz="4" w:space="0"/>
            </w:tcBorders>
            <w:vAlign w:val="center"/>
          </w:tcPr>
          <w:p w14:paraId="45CE22F2">
            <w:pPr>
              <w:widowControl/>
              <w:jc w:val="center"/>
              <w:rPr>
                <w:rFonts w:ascii="仿宋" w:hAnsi="仿宋" w:eastAsia="仿宋" w:cs="Times New Roman"/>
                <w:kern w:val="0"/>
                <w:sz w:val="22"/>
              </w:rPr>
            </w:pPr>
            <w:r>
              <w:rPr>
                <w:rFonts w:hint="eastAsia" w:ascii="仿宋" w:hAnsi="仿宋" w:eastAsia="仿宋" w:cs="宋体"/>
                <w:kern w:val="0"/>
                <w:sz w:val="22"/>
              </w:rPr>
              <w:t>37.0849</w:t>
            </w:r>
          </w:p>
        </w:tc>
      </w:tr>
    </w:tbl>
    <w:p w14:paraId="42B85531">
      <w:pPr>
        <w:widowControl/>
        <w:spacing w:line="360" w:lineRule="auto"/>
        <w:ind w:firstLine="627" w:firstLineChars="196"/>
        <w:jc w:val="left"/>
        <w:rPr>
          <w:rFonts w:ascii="黑体" w:hAnsi="黑体" w:eastAsia="黑体" w:cs="黑体"/>
          <w:kern w:val="0"/>
          <w:sz w:val="32"/>
          <w:szCs w:val="32"/>
        </w:rPr>
      </w:pPr>
      <w:r>
        <w:rPr>
          <w:rFonts w:hint="eastAsia" w:ascii="黑体" w:hAnsi="黑体" w:eastAsia="黑体" w:cs="黑体"/>
          <w:kern w:val="0"/>
          <w:sz w:val="32"/>
          <w:szCs w:val="32"/>
        </w:rPr>
        <w:t>八、名词解释</w:t>
      </w:r>
      <w:r>
        <w:rPr>
          <w:rFonts w:hint="eastAsia" w:ascii="宋体" w:hAnsi="宋体" w:eastAsia="宋体" w:cs="宋体"/>
          <w:kern w:val="0"/>
          <w:sz w:val="32"/>
          <w:szCs w:val="32"/>
        </w:rPr>
        <w:t> </w:t>
      </w:r>
    </w:p>
    <w:p w14:paraId="0D737588">
      <w:pPr>
        <w:pStyle w:val="10"/>
        <w:widowControl/>
        <w:numPr>
          <w:ilvl w:val="0"/>
          <w:numId w:val="2"/>
        </w:numPr>
        <w:spacing w:line="360" w:lineRule="auto"/>
        <w:ind w:firstLineChars="0"/>
        <w:jc w:val="left"/>
        <w:rPr>
          <w:rFonts w:ascii="仿宋" w:hAnsi="仿宋" w:eastAsia="仿宋" w:cs="仿宋_GB2312"/>
          <w:kern w:val="0"/>
          <w:sz w:val="32"/>
          <w:szCs w:val="32"/>
        </w:rPr>
      </w:pPr>
      <w:r>
        <w:rPr>
          <w:rFonts w:hint="eastAsia" w:ascii="仿宋" w:hAnsi="仿宋" w:eastAsia="仿宋" w:cs="楷体_GB2312"/>
          <w:b/>
          <w:kern w:val="0"/>
          <w:sz w:val="32"/>
          <w:szCs w:val="32"/>
        </w:rPr>
        <w:t>财政拨款收入</w:t>
      </w:r>
      <w:r>
        <w:rPr>
          <w:rFonts w:hint="eastAsia" w:ascii="仿宋" w:hAnsi="仿宋" w:eastAsia="仿宋" w:cs="仿宋_GB2312"/>
          <w:bCs/>
          <w:kern w:val="0"/>
          <w:sz w:val="32"/>
          <w:szCs w:val="32"/>
        </w:rPr>
        <w:t>：指</w:t>
      </w:r>
      <w:r>
        <w:rPr>
          <w:rFonts w:hint="eastAsia" w:ascii="仿宋" w:hAnsi="仿宋" w:eastAsia="仿宋" w:cs="仿宋_GB2312"/>
          <w:kern w:val="0"/>
          <w:sz w:val="32"/>
          <w:szCs w:val="32"/>
        </w:rPr>
        <w:t>财政当年拨付的资金。</w:t>
      </w:r>
    </w:p>
    <w:p w14:paraId="656208D6">
      <w:pPr>
        <w:widowControl/>
        <w:spacing w:line="360" w:lineRule="auto"/>
        <w:ind w:firstLine="630" w:firstLineChars="196"/>
        <w:jc w:val="left"/>
        <w:rPr>
          <w:rFonts w:ascii="仿宋" w:hAnsi="仿宋" w:eastAsia="仿宋" w:cs="仿宋_GB2312"/>
          <w:kern w:val="0"/>
          <w:sz w:val="32"/>
          <w:szCs w:val="32"/>
        </w:rPr>
      </w:pPr>
      <w:r>
        <w:rPr>
          <w:rFonts w:hint="eastAsia" w:ascii="仿宋" w:hAnsi="仿宋" w:eastAsia="仿宋" w:cs="楷体_GB2312"/>
          <w:b/>
          <w:bCs/>
          <w:kern w:val="0"/>
          <w:sz w:val="32"/>
          <w:szCs w:val="32"/>
        </w:rPr>
        <w:t>2、“三公”经费</w:t>
      </w:r>
      <w:r>
        <w:rPr>
          <w:rFonts w:hint="eastAsia" w:ascii="仿宋" w:hAnsi="仿宋" w:eastAsia="仿宋" w:cs="仿宋_GB2312"/>
          <w:kern w:val="0"/>
          <w:sz w:val="32"/>
          <w:szCs w:val="32"/>
        </w:rPr>
        <w:t>：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w:t>
      </w:r>
    </w:p>
    <w:p w14:paraId="65C4FECD">
      <w:pPr>
        <w:widowControl/>
        <w:spacing w:line="360" w:lineRule="auto"/>
        <w:ind w:firstLine="630" w:firstLineChars="196"/>
        <w:jc w:val="left"/>
        <w:rPr>
          <w:rFonts w:ascii="仿宋" w:hAnsi="仿宋" w:eastAsia="仿宋" w:cs="楷体_GB2312"/>
          <w:b/>
          <w:kern w:val="0"/>
          <w:sz w:val="32"/>
          <w:szCs w:val="32"/>
        </w:rPr>
      </w:pPr>
      <w:r>
        <w:rPr>
          <w:rFonts w:hint="eastAsia" w:ascii="仿宋" w:hAnsi="仿宋" w:eastAsia="仿宋" w:cs="楷体_GB2312"/>
          <w:b/>
          <w:bCs/>
          <w:kern w:val="0"/>
          <w:sz w:val="32"/>
          <w:szCs w:val="32"/>
        </w:rPr>
        <w:t>3、年初结转和结余</w:t>
      </w:r>
      <w:r>
        <w:rPr>
          <w:rFonts w:hint="eastAsia" w:ascii="仿宋" w:hAnsi="仿宋" w:eastAsia="仿宋" w:cs="仿宋_GB2312"/>
          <w:kern w:val="0"/>
          <w:sz w:val="32"/>
          <w:szCs w:val="32"/>
        </w:rPr>
        <w:t>：指以前年度尚未完成，结转到本年仍按照原规定用途继续使用的资金，或项目已完成等产生的结余资金。</w:t>
      </w:r>
      <w:r>
        <w:rPr>
          <w:rFonts w:hint="eastAsia" w:ascii="仿宋" w:hAnsi="仿宋" w:eastAsia="仿宋" w:cs="楷体_GB2312"/>
          <w:b/>
          <w:kern w:val="0"/>
          <w:sz w:val="32"/>
          <w:szCs w:val="32"/>
        </w:rPr>
        <w:t> </w:t>
      </w:r>
    </w:p>
    <w:p w14:paraId="15702C47">
      <w:pPr>
        <w:widowControl/>
        <w:spacing w:line="360" w:lineRule="auto"/>
        <w:ind w:firstLine="630" w:firstLineChars="196"/>
        <w:jc w:val="left"/>
        <w:rPr>
          <w:rFonts w:ascii="仿宋" w:hAnsi="仿宋" w:eastAsia="仿宋" w:cs="楷体_GB2312"/>
          <w:b/>
          <w:kern w:val="0"/>
          <w:sz w:val="32"/>
          <w:szCs w:val="32"/>
        </w:rPr>
      </w:pPr>
      <w:r>
        <w:rPr>
          <w:rFonts w:hint="eastAsia" w:ascii="仿宋" w:hAnsi="仿宋" w:eastAsia="仿宋" w:cs="楷体_GB2312"/>
          <w:b/>
          <w:kern w:val="0"/>
          <w:sz w:val="32"/>
          <w:szCs w:val="32"/>
        </w:rPr>
        <w:t>4、基本支出</w:t>
      </w:r>
      <w:r>
        <w:rPr>
          <w:rFonts w:hint="eastAsia" w:ascii="仿宋" w:hAnsi="仿宋" w:eastAsia="仿宋" w:cs="仿宋_GB2312"/>
          <w:kern w:val="0"/>
          <w:sz w:val="32"/>
          <w:szCs w:val="32"/>
        </w:rPr>
        <w:t>：指单位为了保障其正常运转、完成日常工作任务而发生的人员支出和公用支出。</w:t>
      </w:r>
      <w:r>
        <w:rPr>
          <w:rFonts w:hint="eastAsia" w:ascii="仿宋" w:hAnsi="仿宋" w:eastAsia="仿宋" w:cs="楷体_GB2312"/>
          <w:b/>
          <w:kern w:val="0"/>
          <w:sz w:val="32"/>
          <w:szCs w:val="32"/>
        </w:rPr>
        <w:t> </w:t>
      </w:r>
    </w:p>
    <w:p w14:paraId="72E14B70">
      <w:pPr>
        <w:widowControl/>
        <w:spacing w:line="360" w:lineRule="auto"/>
        <w:ind w:firstLine="630" w:firstLineChars="196"/>
        <w:jc w:val="left"/>
        <w:rPr>
          <w:rFonts w:ascii="仿宋" w:hAnsi="仿宋" w:eastAsia="仿宋" w:cs="仿宋_GB2312"/>
          <w:kern w:val="0"/>
          <w:sz w:val="32"/>
          <w:szCs w:val="32"/>
        </w:rPr>
      </w:pPr>
      <w:r>
        <w:rPr>
          <w:rFonts w:hint="eastAsia" w:ascii="仿宋" w:hAnsi="仿宋" w:eastAsia="仿宋" w:cs="楷体_GB2312"/>
          <w:b/>
          <w:kern w:val="0"/>
          <w:sz w:val="32"/>
          <w:szCs w:val="32"/>
        </w:rPr>
        <w:t>5、项目支出</w:t>
      </w:r>
      <w:r>
        <w:rPr>
          <w:rFonts w:hint="eastAsia" w:ascii="仿宋" w:hAnsi="仿宋" w:eastAsia="仿宋" w:cs="仿宋_GB2312"/>
          <w:b/>
          <w:kern w:val="0"/>
          <w:sz w:val="32"/>
          <w:szCs w:val="32"/>
        </w:rPr>
        <w:t>：</w:t>
      </w:r>
      <w:r>
        <w:rPr>
          <w:rFonts w:hint="eastAsia" w:ascii="仿宋" w:hAnsi="仿宋" w:eastAsia="仿宋" w:cs="仿宋_GB2312"/>
          <w:kern w:val="0"/>
          <w:sz w:val="32"/>
          <w:szCs w:val="32"/>
        </w:rPr>
        <w:t>指单位为了特定的工作任务和事业发展目标，在基本支出之外所发生的支出。</w:t>
      </w:r>
    </w:p>
    <w:p w14:paraId="2C1BC30F">
      <w:pPr>
        <w:widowControl/>
        <w:spacing w:line="360" w:lineRule="auto"/>
        <w:ind w:firstLine="627" w:firstLineChars="196"/>
        <w:jc w:val="left"/>
        <w:rPr>
          <w:rFonts w:ascii="黑体" w:hAnsi="黑体" w:eastAsia="黑体" w:cs="黑体"/>
          <w:bCs/>
          <w:kern w:val="0"/>
          <w:sz w:val="32"/>
          <w:szCs w:val="32"/>
        </w:rPr>
      </w:pPr>
      <w:r>
        <w:rPr>
          <w:rFonts w:hint="eastAsia" w:ascii="黑体" w:hAnsi="黑体" w:eastAsia="黑体" w:cs="黑体"/>
          <w:bCs/>
          <w:kern w:val="0"/>
          <w:sz w:val="32"/>
          <w:szCs w:val="32"/>
        </w:rPr>
        <w:t>九、其他需要说明的事项</w:t>
      </w:r>
    </w:p>
    <w:p w14:paraId="0979DA13">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无其他需要说明的事项。</w:t>
      </w:r>
    </w:p>
    <w:p w14:paraId="292A4CF0">
      <w:pPr>
        <w:widowControl/>
        <w:spacing w:line="360" w:lineRule="auto"/>
        <w:jc w:val="left"/>
        <w:rPr>
          <w:rFonts w:ascii="仿宋" w:hAnsi="仿宋" w:eastAsia="仿宋" w:cs="仿宋_GB2312"/>
          <w:kern w:val="0"/>
          <w:sz w:val="32"/>
          <w:szCs w:val="32"/>
        </w:rPr>
      </w:pPr>
    </w:p>
    <w:sectPr>
      <w:pgSz w:w="16839" w:h="11907" w:orient="landscape"/>
      <w:pgMar w:top="1134" w:right="1020" w:bottom="1134"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roma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书宋_GBK">
    <w:altName w:val="宋体"/>
    <w:panose1 w:val="00000000000000000000"/>
    <w:charset w:val="86"/>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A85079"/>
    <w:multiLevelType w:val="multilevel"/>
    <w:tmpl w:val="22A85079"/>
    <w:lvl w:ilvl="0" w:tentative="0">
      <w:start w:val="1"/>
      <w:numFmt w:val="decimal"/>
      <w:lvlText w:val="%1、"/>
      <w:lvlJc w:val="left"/>
      <w:pPr>
        <w:ind w:left="1350" w:hanging="720"/>
      </w:pPr>
      <w:rPr>
        <w:rFonts w:hint="default" w:cs="楷体_GB2312"/>
        <w:b/>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
    <w:nsid w:val="60A4E5D8"/>
    <w:multiLevelType w:val="singleLevel"/>
    <w:tmpl w:val="60A4E5D8"/>
    <w:lvl w:ilvl="0" w:tentative="0">
      <w:start w:val="5"/>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Dc2Y2FkNjk3YzQ2YzI3ZGI2Njg1OTBkYjg5ZWNjMWYifQ=="/>
  </w:docVars>
  <w:rsids>
    <w:rsidRoot w:val="00E810D6"/>
    <w:rsid w:val="00020CFB"/>
    <w:rsid w:val="000450E5"/>
    <w:rsid w:val="00056A69"/>
    <w:rsid w:val="00104631"/>
    <w:rsid w:val="00105634"/>
    <w:rsid w:val="00161F61"/>
    <w:rsid w:val="00167B75"/>
    <w:rsid w:val="001C6F7A"/>
    <w:rsid w:val="0023531E"/>
    <w:rsid w:val="002E3A95"/>
    <w:rsid w:val="00300FFB"/>
    <w:rsid w:val="0030459D"/>
    <w:rsid w:val="00313BA3"/>
    <w:rsid w:val="00323CDD"/>
    <w:rsid w:val="00373D1A"/>
    <w:rsid w:val="003B340B"/>
    <w:rsid w:val="00420A3C"/>
    <w:rsid w:val="004435C5"/>
    <w:rsid w:val="00460099"/>
    <w:rsid w:val="004676A3"/>
    <w:rsid w:val="004C15C7"/>
    <w:rsid w:val="004F7B8D"/>
    <w:rsid w:val="00574E42"/>
    <w:rsid w:val="00580199"/>
    <w:rsid w:val="00595811"/>
    <w:rsid w:val="005D136A"/>
    <w:rsid w:val="00621E8A"/>
    <w:rsid w:val="006249E6"/>
    <w:rsid w:val="0062621A"/>
    <w:rsid w:val="00662109"/>
    <w:rsid w:val="00685811"/>
    <w:rsid w:val="006D1C5B"/>
    <w:rsid w:val="00704589"/>
    <w:rsid w:val="00736EC2"/>
    <w:rsid w:val="00762EFA"/>
    <w:rsid w:val="007A507B"/>
    <w:rsid w:val="007B7A77"/>
    <w:rsid w:val="007D6BF0"/>
    <w:rsid w:val="007F5FB7"/>
    <w:rsid w:val="00804701"/>
    <w:rsid w:val="008058DC"/>
    <w:rsid w:val="008536A5"/>
    <w:rsid w:val="00866AEE"/>
    <w:rsid w:val="008B06B7"/>
    <w:rsid w:val="008C7744"/>
    <w:rsid w:val="00935B32"/>
    <w:rsid w:val="009D7EFA"/>
    <w:rsid w:val="00A07D70"/>
    <w:rsid w:val="00A47F89"/>
    <w:rsid w:val="00B66AF9"/>
    <w:rsid w:val="00B955A8"/>
    <w:rsid w:val="00BC66A7"/>
    <w:rsid w:val="00BF3CA0"/>
    <w:rsid w:val="00D76180"/>
    <w:rsid w:val="00DB2FE8"/>
    <w:rsid w:val="00DD4493"/>
    <w:rsid w:val="00E810D6"/>
    <w:rsid w:val="00E94FEF"/>
    <w:rsid w:val="00ED4C13"/>
    <w:rsid w:val="00EE299C"/>
    <w:rsid w:val="00F6606C"/>
    <w:rsid w:val="00F9733F"/>
    <w:rsid w:val="013B67CD"/>
    <w:rsid w:val="01CA412B"/>
    <w:rsid w:val="037D399A"/>
    <w:rsid w:val="03B213E5"/>
    <w:rsid w:val="06096D52"/>
    <w:rsid w:val="06550E5D"/>
    <w:rsid w:val="0726741C"/>
    <w:rsid w:val="0787229B"/>
    <w:rsid w:val="07D41235"/>
    <w:rsid w:val="08D34D69"/>
    <w:rsid w:val="09E50DB9"/>
    <w:rsid w:val="0A4627EE"/>
    <w:rsid w:val="0BB759F9"/>
    <w:rsid w:val="0CBF7A43"/>
    <w:rsid w:val="0DD4180B"/>
    <w:rsid w:val="10A22025"/>
    <w:rsid w:val="130B706D"/>
    <w:rsid w:val="1386449A"/>
    <w:rsid w:val="139106CF"/>
    <w:rsid w:val="13DE0FA8"/>
    <w:rsid w:val="14774A27"/>
    <w:rsid w:val="15703ACC"/>
    <w:rsid w:val="15EC38F3"/>
    <w:rsid w:val="163506CD"/>
    <w:rsid w:val="17252863"/>
    <w:rsid w:val="175940C0"/>
    <w:rsid w:val="17C16AC9"/>
    <w:rsid w:val="180D78B9"/>
    <w:rsid w:val="1AEF7278"/>
    <w:rsid w:val="1B2A5EA4"/>
    <w:rsid w:val="1BA850EA"/>
    <w:rsid w:val="1CC97251"/>
    <w:rsid w:val="1CEB0A1C"/>
    <w:rsid w:val="1CFE0F2A"/>
    <w:rsid w:val="1DAC3362"/>
    <w:rsid w:val="1E7B6C22"/>
    <w:rsid w:val="1E8167C1"/>
    <w:rsid w:val="1E924699"/>
    <w:rsid w:val="1EAA0AE1"/>
    <w:rsid w:val="2035062C"/>
    <w:rsid w:val="21B66276"/>
    <w:rsid w:val="228819EE"/>
    <w:rsid w:val="228A687F"/>
    <w:rsid w:val="232B0AFD"/>
    <w:rsid w:val="2716314B"/>
    <w:rsid w:val="27B15E3E"/>
    <w:rsid w:val="288A4B30"/>
    <w:rsid w:val="28E516DB"/>
    <w:rsid w:val="299267B6"/>
    <w:rsid w:val="29E22911"/>
    <w:rsid w:val="2A1B60D9"/>
    <w:rsid w:val="2AD57C75"/>
    <w:rsid w:val="2BAA47A7"/>
    <w:rsid w:val="2BD01CE0"/>
    <w:rsid w:val="2DCE40BA"/>
    <w:rsid w:val="2E066AE5"/>
    <w:rsid w:val="2E2777CE"/>
    <w:rsid w:val="2EE04A84"/>
    <w:rsid w:val="2FF96683"/>
    <w:rsid w:val="31D059F4"/>
    <w:rsid w:val="32FF5320"/>
    <w:rsid w:val="332A0BBD"/>
    <w:rsid w:val="3387759D"/>
    <w:rsid w:val="34E408C6"/>
    <w:rsid w:val="351C5D1D"/>
    <w:rsid w:val="3545320E"/>
    <w:rsid w:val="36507910"/>
    <w:rsid w:val="36C321EF"/>
    <w:rsid w:val="36DF5EE5"/>
    <w:rsid w:val="37904C51"/>
    <w:rsid w:val="38963AA1"/>
    <w:rsid w:val="38DF3D53"/>
    <w:rsid w:val="39461E7C"/>
    <w:rsid w:val="39A75722"/>
    <w:rsid w:val="39D66D46"/>
    <w:rsid w:val="3B4C1634"/>
    <w:rsid w:val="3B6E7B6E"/>
    <w:rsid w:val="3C712CD5"/>
    <w:rsid w:val="3C767EA3"/>
    <w:rsid w:val="3CEC5D53"/>
    <w:rsid w:val="3D5934D9"/>
    <w:rsid w:val="3DF75763"/>
    <w:rsid w:val="3FF300A4"/>
    <w:rsid w:val="40D03495"/>
    <w:rsid w:val="421A2600"/>
    <w:rsid w:val="441C57E9"/>
    <w:rsid w:val="44240E6E"/>
    <w:rsid w:val="444330DD"/>
    <w:rsid w:val="447B7060"/>
    <w:rsid w:val="44986D47"/>
    <w:rsid w:val="455D05FD"/>
    <w:rsid w:val="456A5D0D"/>
    <w:rsid w:val="457C0C14"/>
    <w:rsid w:val="45B90BF3"/>
    <w:rsid w:val="460143F1"/>
    <w:rsid w:val="461D17A6"/>
    <w:rsid w:val="47333D22"/>
    <w:rsid w:val="475B18CD"/>
    <w:rsid w:val="4A4F1F05"/>
    <w:rsid w:val="4B7040C7"/>
    <w:rsid w:val="4C3F1F87"/>
    <w:rsid w:val="4CA957E7"/>
    <w:rsid w:val="4D9730D4"/>
    <w:rsid w:val="4E186F57"/>
    <w:rsid w:val="4E4335D2"/>
    <w:rsid w:val="4F546F1C"/>
    <w:rsid w:val="4FBB0E1B"/>
    <w:rsid w:val="548C5C9B"/>
    <w:rsid w:val="599E285B"/>
    <w:rsid w:val="59AF56D7"/>
    <w:rsid w:val="5B2B3FCD"/>
    <w:rsid w:val="5BAE356C"/>
    <w:rsid w:val="5CB07A05"/>
    <w:rsid w:val="5D0B5F12"/>
    <w:rsid w:val="5E002D53"/>
    <w:rsid w:val="5ED17601"/>
    <w:rsid w:val="5F2D4D8F"/>
    <w:rsid w:val="612F2391"/>
    <w:rsid w:val="61897173"/>
    <w:rsid w:val="628533D8"/>
    <w:rsid w:val="637F0163"/>
    <w:rsid w:val="63F21B1B"/>
    <w:rsid w:val="65493192"/>
    <w:rsid w:val="666C26EF"/>
    <w:rsid w:val="66C34BE4"/>
    <w:rsid w:val="67515807"/>
    <w:rsid w:val="6B511389"/>
    <w:rsid w:val="6BC108EF"/>
    <w:rsid w:val="6C622066"/>
    <w:rsid w:val="6D056756"/>
    <w:rsid w:val="6D5763C1"/>
    <w:rsid w:val="6D81148F"/>
    <w:rsid w:val="6E697381"/>
    <w:rsid w:val="6E8006EE"/>
    <w:rsid w:val="6ECC4D84"/>
    <w:rsid w:val="6F2E2C48"/>
    <w:rsid w:val="70BA2DA1"/>
    <w:rsid w:val="71606368"/>
    <w:rsid w:val="71B87B2B"/>
    <w:rsid w:val="729B4F6A"/>
    <w:rsid w:val="72B3029A"/>
    <w:rsid w:val="733E01F4"/>
    <w:rsid w:val="7424079F"/>
    <w:rsid w:val="74D4598A"/>
    <w:rsid w:val="76FD3FC3"/>
    <w:rsid w:val="773E0DC1"/>
    <w:rsid w:val="778A6B8D"/>
    <w:rsid w:val="77941A11"/>
    <w:rsid w:val="79CB0BC8"/>
    <w:rsid w:val="7AA5545A"/>
    <w:rsid w:val="7B6C27DF"/>
    <w:rsid w:val="7BAA5900"/>
    <w:rsid w:val="7C666C0E"/>
    <w:rsid w:val="7D9A3104"/>
    <w:rsid w:val="7DB94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autoRedefine/>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 w:type="paragraph" w:customStyle="1" w:styleId="10">
    <w:name w:val="列出段落1"/>
    <w:basedOn w:val="1"/>
    <w:unhideWhenUsed/>
    <w:qFormat/>
    <w:uiPriority w:val="99"/>
    <w:pPr>
      <w:ind w:firstLine="420" w:firstLineChars="200"/>
    </w:pPr>
  </w:style>
  <w:style w:type="character" w:customStyle="1" w:styleId="11">
    <w:name w:val="font01"/>
    <w:basedOn w:val="7"/>
    <w:qFormat/>
    <w:uiPriority w:val="0"/>
    <w:rPr>
      <w:rFonts w:hint="eastAsia" w:ascii="宋体" w:hAnsi="宋体" w:eastAsia="宋体"/>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19</Pages>
  <Words>7945</Words>
  <Characters>8369</Characters>
  <Lines>63</Lines>
  <Paragraphs>17</Paragraphs>
  <TotalTime>3</TotalTime>
  <ScaleCrop>false</ScaleCrop>
  <LinksUpToDate>false</LinksUpToDate>
  <CharactersWithSpaces>8402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差而不齐</cp:lastModifiedBy>
  <cp:lastPrinted>2016-04-01T02:44:00Z</cp:lastPrinted>
  <dcterms:modified xsi:type="dcterms:W3CDTF">2025-09-17T04:48:07Z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75882073607A400B9161B69CE1E4A7D4</vt:lpwstr>
  </property>
  <property fmtid="{D5CDD505-2E9C-101B-9397-08002B2CF9AE}" pid="4" name="KSOTemplateDocerSaveRecord">
    <vt:lpwstr>eyJoZGlkIjoiMjBmODNkOGIwNTRjMjYwNmYzZWU5YTkzYWI2NGFmMWYiLCJ1c2VySWQiOiI2MzM0Mzg3MDAifQ==</vt:lpwstr>
  </property>
</Properties>
</file>