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ind w:left="640"/>
        <w:jc w:val="center"/>
        <w:rPr>
          <w:rFonts w:asciiTheme="minorEastAsia" w:hAnsiTheme="minorEastAsia" w:cstheme="minorEastAsia"/>
          <w:b/>
          <w:bCs/>
          <w:sz w:val="44"/>
          <w:szCs w:val="44"/>
        </w:rPr>
      </w:pPr>
    </w:p>
    <w:p>
      <w:pPr>
        <w:widowControl/>
        <w:spacing w:line="360" w:lineRule="auto"/>
        <w:ind w:left="640"/>
        <w:jc w:val="center"/>
        <w:rPr>
          <w:rFonts w:asciiTheme="minorEastAsia" w:hAnsiTheme="minorEastAsia" w:cstheme="minorEastAsia"/>
          <w:b/>
          <w:bCs/>
          <w:sz w:val="44"/>
          <w:szCs w:val="44"/>
        </w:rPr>
      </w:pPr>
      <w:r>
        <w:rPr>
          <w:rFonts w:hint="eastAsia" w:asciiTheme="minorEastAsia" w:hAnsiTheme="minorEastAsia" w:cstheme="minorEastAsia"/>
          <w:b/>
          <w:bCs/>
          <w:sz w:val="44"/>
          <w:szCs w:val="44"/>
        </w:rPr>
        <w:t>成安县总工会</w:t>
      </w:r>
    </w:p>
    <w:p>
      <w:pPr>
        <w:widowControl/>
        <w:spacing w:line="360" w:lineRule="auto"/>
        <w:ind w:left="640"/>
        <w:jc w:val="center"/>
        <w:rPr>
          <w:rFonts w:asciiTheme="minorEastAsia" w:hAnsiTheme="minorEastAsia" w:cstheme="minorEastAsia"/>
          <w:b/>
          <w:bCs/>
          <w:sz w:val="44"/>
          <w:szCs w:val="44"/>
        </w:rPr>
      </w:pPr>
      <w:r>
        <w:rPr>
          <w:rFonts w:hint="eastAsia" w:asciiTheme="minorEastAsia" w:hAnsiTheme="minorEastAsia" w:cstheme="minorEastAsia"/>
          <w:b/>
          <w:bCs/>
          <w:sz w:val="44"/>
          <w:szCs w:val="44"/>
        </w:rPr>
        <w:t>2020年度部门预算情况说明</w:t>
      </w:r>
    </w:p>
    <w:p>
      <w:pPr>
        <w:widowControl/>
        <w:spacing w:line="360" w:lineRule="auto"/>
        <w:ind w:left="640"/>
        <w:jc w:val="left"/>
        <w:rPr>
          <w:rFonts w:ascii="黑体" w:hAnsi="黑体" w:eastAsia="黑体" w:cs="黑体"/>
          <w:sz w:val="32"/>
          <w:szCs w:val="32"/>
        </w:rPr>
      </w:pPr>
    </w:p>
    <w:p>
      <w:pPr>
        <w:spacing w:line="580" w:lineRule="exact"/>
        <w:ind w:firstLine="640" w:firstLineChars="200"/>
        <w:rPr>
          <w:rFonts w:ascii="仿宋" w:hAnsi="仿宋" w:eastAsia="仿宋" w:cs="仿宋_GB2312"/>
          <w:kern w:val="0"/>
          <w:sz w:val="32"/>
          <w:szCs w:val="32"/>
        </w:rPr>
      </w:pPr>
      <w:r>
        <w:rPr>
          <w:rFonts w:hint="eastAsia" w:ascii="仿宋" w:hAnsi="仿宋" w:eastAsia="仿宋" w:cs="仿宋_GB2312"/>
          <w:sz w:val="32"/>
          <w:szCs w:val="32"/>
        </w:rPr>
        <w:t>按照</w:t>
      </w:r>
      <w:r>
        <w:rPr>
          <w:rFonts w:hint="eastAsia" w:ascii="仿宋" w:hAnsi="仿宋" w:eastAsia="仿宋" w:cs="仿宋_GB2312"/>
          <w:sz w:val="32"/>
          <w:szCs w:val="32"/>
          <w:lang w:eastAsia="zh-CN"/>
        </w:rPr>
        <w:t>《中华人民共和国预算法》</w:t>
      </w:r>
      <w:r>
        <w:rPr>
          <w:rFonts w:hint="eastAsia" w:ascii="仿宋" w:hAnsi="仿宋" w:eastAsia="仿宋" w:cs="仿宋_GB2312"/>
          <w:sz w:val="32"/>
          <w:szCs w:val="32"/>
        </w:rPr>
        <w:t>有关规定和财政部关于印发《地方预决算公开操作规程》的通知，</w:t>
      </w:r>
      <w:r>
        <w:rPr>
          <w:rFonts w:hint="eastAsia" w:ascii="仿宋" w:hAnsi="仿宋" w:eastAsia="仿宋" w:cs="仿宋_GB2312"/>
          <w:kern w:val="0"/>
          <w:sz w:val="32"/>
          <w:szCs w:val="32"/>
        </w:rPr>
        <w:t>现将成安县档案馆2020年部门预算公开如下：</w:t>
      </w:r>
    </w:p>
    <w:p>
      <w:pPr>
        <w:widowControl/>
        <w:spacing w:line="360" w:lineRule="auto"/>
        <w:ind w:left="640"/>
        <w:jc w:val="left"/>
        <w:rPr>
          <w:rFonts w:ascii="仿宋_GB2312" w:hAnsi="Calibri" w:eastAsia="仿宋_GB2312" w:cs="仿宋_GB2312"/>
          <w:sz w:val="32"/>
          <w:szCs w:val="32"/>
        </w:rPr>
      </w:pPr>
      <w:r>
        <w:rPr>
          <w:rFonts w:hint="eastAsia" w:ascii="黑体" w:hAnsi="黑体" w:eastAsia="黑体" w:cs="黑体"/>
          <w:sz w:val="32"/>
          <w:szCs w:val="32"/>
        </w:rPr>
        <w:t>一、部门职责及机构设置情况</w:t>
      </w:r>
    </w:p>
    <w:p>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　　维护职工合法权益是工会的基本职责，终极动员和组织职工参加建设和改革，完成经济和社会发展任务；教育职工不断提高思想道德素质和科学文化素质，建设有思想、有道德、有文化、有纪律的职工队伍。</w:t>
      </w:r>
    </w:p>
    <w:tbl>
      <w:tblPr>
        <w:tblStyle w:val="6"/>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17"/>
        <w:gridCol w:w="1134"/>
        <w:gridCol w:w="1276"/>
        <w:gridCol w:w="29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blHeader/>
          <w:jc w:val="center"/>
        </w:trPr>
        <w:tc>
          <w:tcPr>
            <w:tcW w:w="3317"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单位名称</w:t>
            </w:r>
          </w:p>
        </w:tc>
        <w:tc>
          <w:tcPr>
            <w:tcW w:w="1134"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单位性质</w:t>
            </w:r>
          </w:p>
        </w:tc>
        <w:tc>
          <w:tcPr>
            <w:tcW w:w="1276"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单位规格</w:t>
            </w:r>
          </w:p>
        </w:tc>
        <w:tc>
          <w:tcPr>
            <w:tcW w:w="2902"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blHeader/>
          <w:jc w:val="center"/>
        </w:trPr>
        <w:tc>
          <w:tcPr>
            <w:tcW w:w="3317" w:type="dxa"/>
            <w:vMerge w:val="continue"/>
            <w:vAlign w:val="center"/>
          </w:tcPr>
          <w:p>
            <w:pPr>
              <w:spacing w:line="300" w:lineRule="exact"/>
              <w:jc w:val="left"/>
              <w:outlineLvl w:val="0"/>
              <w:rPr>
                <w:rFonts w:ascii="Times New Roman" w:hAnsi="Times New Roman" w:eastAsia="宋体" w:cs="Times New Roman"/>
              </w:rPr>
            </w:pPr>
          </w:p>
        </w:tc>
        <w:tc>
          <w:tcPr>
            <w:tcW w:w="1134" w:type="dxa"/>
            <w:vMerge w:val="continue"/>
            <w:vAlign w:val="center"/>
          </w:tcPr>
          <w:p>
            <w:pPr>
              <w:spacing w:line="300" w:lineRule="exact"/>
              <w:jc w:val="left"/>
              <w:outlineLvl w:val="0"/>
              <w:rPr>
                <w:rFonts w:ascii="Times New Roman" w:hAnsi="Times New Roman" w:eastAsia="宋体" w:cs="Times New Roman"/>
              </w:rPr>
            </w:pPr>
          </w:p>
        </w:tc>
        <w:tc>
          <w:tcPr>
            <w:tcW w:w="1276" w:type="dxa"/>
            <w:vMerge w:val="continue"/>
            <w:vAlign w:val="center"/>
          </w:tcPr>
          <w:p>
            <w:pPr>
              <w:spacing w:line="300" w:lineRule="exact"/>
              <w:jc w:val="left"/>
              <w:outlineLvl w:val="0"/>
              <w:rPr>
                <w:rFonts w:ascii="Times New Roman" w:hAnsi="Times New Roman" w:eastAsia="宋体" w:cs="Times New Roman"/>
              </w:rPr>
            </w:pPr>
          </w:p>
        </w:tc>
        <w:tc>
          <w:tcPr>
            <w:tcW w:w="2902" w:type="dxa"/>
            <w:vMerge w:val="continue"/>
            <w:vAlign w:val="center"/>
          </w:tcPr>
          <w:p>
            <w:pPr>
              <w:spacing w:line="300" w:lineRule="exact"/>
              <w:jc w:val="left"/>
              <w:outlineLvl w:val="0"/>
              <w:rPr>
                <w:rFonts w:ascii="Times New Roman" w:hAnsi="Times New Roman" w:eastAsia="宋体"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58" w:hRule="atLeast"/>
          <w:jc w:val="center"/>
        </w:trPr>
        <w:tc>
          <w:tcPr>
            <w:tcW w:w="3317"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成安县总工会</w:t>
            </w:r>
          </w:p>
        </w:tc>
        <w:tc>
          <w:tcPr>
            <w:tcW w:w="1134"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行政</w:t>
            </w:r>
          </w:p>
        </w:tc>
        <w:tc>
          <w:tcPr>
            <w:tcW w:w="1276"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正科级</w:t>
            </w:r>
          </w:p>
        </w:tc>
        <w:tc>
          <w:tcPr>
            <w:tcW w:w="2902"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财政性资金零补助</w:t>
            </w:r>
          </w:p>
        </w:tc>
      </w:tr>
    </w:tbl>
    <w:p>
      <w:pPr>
        <w:widowControl/>
        <w:spacing w:line="360" w:lineRule="auto"/>
        <w:ind w:left="628"/>
        <w:jc w:val="left"/>
        <w:rPr>
          <w:rFonts w:ascii="仿宋" w:hAnsi="仿宋" w:eastAsia="仿宋" w:cs="仿宋"/>
          <w:bCs/>
          <w:kern w:val="0"/>
          <w:sz w:val="32"/>
          <w:szCs w:val="32"/>
        </w:rPr>
      </w:pPr>
      <w:r>
        <w:rPr>
          <w:rFonts w:hint="eastAsia" w:ascii="仿宋" w:hAnsi="仿宋" w:eastAsia="仿宋" w:cs="仿宋"/>
          <w:bCs/>
          <w:kern w:val="0"/>
          <w:sz w:val="32"/>
          <w:szCs w:val="32"/>
        </w:rPr>
        <w:t>成安县总工会，预算编码是711，内设2个内部机构。</w:t>
      </w:r>
    </w:p>
    <w:p>
      <w:pPr>
        <w:widowControl/>
        <w:numPr>
          <w:ilvl w:val="0"/>
          <w:numId w:val="1"/>
        </w:numPr>
        <w:spacing w:line="360" w:lineRule="auto"/>
        <w:ind w:left="628"/>
        <w:jc w:val="left"/>
        <w:rPr>
          <w:rFonts w:ascii="仿宋" w:hAnsi="仿宋" w:eastAsia="仿宋" w:cs="仿宋"/>
          <w:bCs/>
          <w:kern w:val="0"/>
          <w:sz w:val="32"/>
          <w:szCs w:val="32"/>
        </w:rPr>
      </w:pPr>
      <w:r>
        <w:rPr>
          <w:rFonts w:hint="eastAsia" w:ascii="仿宋" w:hAnsi="仿宋" w:eastAsia="仿宋" w:cs="仿宋"/>
          <w:bCs/>
          <w:kern w:val="0"/>
          <w:sz w:val="32"/>
          <w:szCs w:val="32"/>
        </w:rPr>
        <w:t>办公室</w:t>
      </w:r>
    </w:p>
    <w:p>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主要负责：日常工作事务，后勤保障。</w:t>
      </w:r>
    </w:p>
    <w:p>
      <w:pPr>
        <w:widowControl/>
        <w:spacing w:line="360" w:lineRule="auto"/>
        <w:ind w:firstLine="640"/>
        <w:jc w:val="left"/>
        <w:rPr>
          <w:rFonts w:ascii="仿宋" w:hAnsi="仿宋" w:eastAsia="仿宋" w:cs="仿宋"/>
          <w:bCs/>
          <w:kern w:val="0"/>
          <w:sz w:val="32"/>
          <w:szCs w:val="32"/>
        </w:rPr>
      </w:pPr>
      <w:r>
        <w:rPr>
          <w:rFonts w:hint="eastAsia" w:ascii="仿宋" w:hAnsi="仿宋" w:eastAsia="仿宋" w:cs="仿宋"/>
          <w:bCs/>
          <w:kern w:val="0"/>
          <w:sz w:val="32"/>
          <w:szCs w:val="32"/>
        </w:rPr>
        <w:t>2、宣教部</w:t>
      </w:r>
    </w:p>
    <w:p>
      <w:pPr>
        <w:widowControl/>
        <w:spacing w:line="360" w:lineRule="auto"/>
        <w:ind w:firstLine="640" w:firstLineChars="200"/>
        <w:jc w:val="left"/>
        <w:rPr>
          <w:rFonts w:ascii="Calibri" w:hAnsi="Calibri" w:eastAsia="仿宋_GB2312" w:cs="Calibri"/>
          <w:b/>
          <w:kern w:val="0"/>
          <w:sz w:val="32"/>
          <w:szCs w:val="32"/>
        </w:rPr>
      </w:pPr>
      <w:r>
        <w:rPr>
          <w:rFonts w:hint="eastAsia" w:ascii="仿宋" w:hAnsi="仿宋" w:eastAsia="仿宋" w:cs="仿宋"/>
          <w:bCs/>
          <w:kern w:val="0"/>
          <w:sz w:val="32"/>
          <w:szCs w:val="32"/>
        </w:rPr>
        <w:t>主要负责：工会有关法律法规宣传。</w:t>
      </w:r>
    </w:p>
    <w:p>
      <w:pPr>
        <w:widowControl/>
        <w:spacing w:line="360" w:lineRule="auto"/>
        <w:ind w:left="993"/>
        <w:jc w:val="left"/>
        <w:rPr>
          <w:rFonts w:ascii="Calibri" w:hAnsi="Calibri" w:eastAsia="仿宋_GB2312" w:cs="Calibri"/>
          <w:b/>
          <w:kern w:val="0"/>
          <w:sz w:val="32"/>
          <w:szCs w:val="32"/>
        </w:rPr>
      </w:pPr>
      <w:r>
        <w:rPr>
          <w:rFonts w:hint="eastAsia" w:ascii="Calibri" w:hAnsi="Calibri" w:eastAsia="仿宋_GB2312" w:cs="Calibri"/>
          <w:b/>
          <w:kern w:val="0"/>
          <w:sz w:val="32"/>
          <w:szCs w:val="32"/>
        </w:rPr>
        <w:t>人员编制和领导职数</w:t>
      </w:r>
    </w:p>
    <w:p>
      <w:pPr>
        <w:widowControl/>
        <w:spacing w:line="360" w:lineRule="auto"/>
        <w:ind w:firstLine="640"/>
        <w:jc w:val="left"/>
        <w:rPr>
          <w:rFonts w:ascii="仿宋" w:hAnsi="仿宋" w:eastAsia="仿宋" w:cs="仿宋"/>
          <w:bCs/>
          <w:kern w:val="0"/>
          <w:sz w:val="32"/>
          <w:szCs w:val="32"/>
        </w:rPr>
      </w:pPr>
      <w:r>
        <w:rPr>
          <w:rFonts w:hint="eastAsia" w:ascii="仿宋" w:hAnsi="仿宋" w:eastAsia="仿宋" w:cs="仿宋"/>
          <w:bCs/>
          <w:kern w:val="0"/>
          <w:sz w:val="32"/>
          <w:szCs w:val="32"/>
        </w:rPr>
        <w:t>成安县总工会，人员编制8名，其中领导职数3个</w:t>
      </w:r>
    </w:p>
    <w:p>
      <w:pPr>
        <w:pStyle w:val="10"/>
        <w:widowControl/>
        <w:spacing w:line="360" w:lineRule="auto"/>
        <w:ind w:left="720" w:firstLine="0" w:firstLineChars="0"/>
        <w:jc w:val="left"/>
        <w:rPr>
          <w:rFonts w:ascii="黑体" w:hAnsi="黑体" w:eastAsia="黑体" w:cs="仿宋_GB2312"/>
          <w:kern w:val="0"/>
          <w:sz w:val="32"/>
          <w:szCs w:val="32"/>
        </w:rPr>
      </w:pPr>
      <w:r>
        <w:rPr>
          <w:rFonts w:hint="eastAsia" w:ascii="黑体" w:hAnsi="黑体" w:eastAsia="黑体" w:cs="仿宋_GB2312"/>
          <w:b/>
          <w:kern w:val="0"/>
          <w:sz w:val="32"/>
          <w:szCs w:val="32"/>
        </w:rPr>
        <w:t>二、预算安排总体情况</w:t>
      </w:r>
    </w:p>
    <w:p>
      <w:pPr>
        <w:spacing w:line="560" w:lineRule="exact"/>
        <w:ind w:firstLine="640"/>
        <w:rPr>
          <w:rFonts w:ascii="仿宋" w:hAnsi="仿宋" w:eastAsia="仿宋" w:cs="仿宋"/>
          <w:sz w:val="32"/>
          <w:szCs w:val="32"/>
        </w:rPr>
      </w:pPr>
      <w:r>
        <w:rPr>
          <w:rFonts w:hint="eastAsia" w:ascii="仿宋" w:hAnsi="仿宋" w:eastAsia="仿宋" w:cs="仿宋"/>
          <w:sz w:val="32"/>
          <w:szCs w:val="32"/>
        </w:rPr>
        <w:t>按照预算管理有关规定，目前我部门预算的编制实行综合预算制度，即全部收入和支出都反映在预算中。</w:t>
      </w:r>
    </w:p>
    <w:p>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1</w:t>
      </w:r>
      <w:r>
        <w:rPr>
          <w:rFonts w:hint="eastAsia" w:ascii="楷体" w:hAnsi="楷体" w:eastAsia="楷体" w:cs="楷体"/>
          <w:b/>
          <w:bCs/>
          <w:sz w:val="32"/>
          <w:szCs w:val="32"/>
        </w:rPr>
        <w:t>、收入说明</w:t>
      </w:r>
    </w:p>
    <w:p>
      <w:pPr>
        <w:spacing w:line="560" w:lineRule="exact"/>
        <w:ind w:firstLine="640"/>
        <w:rPr>
          <w:rFonts w:ascii="仿宋" w:hAnsi="仿宋" w:eastAsia="仿宋" w:cs="仿宋"/>
          <w:sz w:val="32"/>
          <w:szCs w:val="32"/>
        </w:rPr>
      </w:pPr>
      <w:r>
        <w:rPr>
          <w:rFonts w:hint="eastAsia" w:ascii="宋体" w:hAnsi="宋体" w:eastAsia="宋体" w:cs="Times New Roman"/>
          <w:sz w:val="32"/>
          <w:szCs w:val="32"/>
        </w:rPr>
        <w:t>2020</w:t>
      </w:r>
      <w:r>
        <w:rPr>
          <w:rFonts w:hint="eastAsia" w:ascii="仿宋" w:hAnsi="仿宋" w:eastAsia="仿宋" w:cs="仿宋"/>
          <w:sz w:val="32"/>
          <w:szCs w:val="32"/>
        </w:rPr>
        <w:t>年预算收入121.04万元，其中：一般公共预算收入121.04万元，政府性基金收入0万元，国有资本经营收入0万元，事业收入0万元，其他收入0万元。</w:t>
      </w:r>
    </w:p>
    <w:p>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2</w:t>
      </w:r>
      <w:r>
        <w:rPr>
          <w:rFonts w:hint="eastAsia" w:ascii="楷体" w:hAnsi="楷体" w:eastAsia="楷体" w:cs="楷体"/>
          <w:b/>
          <w:bCs/>
          <w:sz w:val="32"/>
          <w:szCs w:val="32"/>
        </w:rPr>
        <w:t>、支出说明</w:t>
      </w:r>
    </w:p>
    <w:p>
      <w:pPr>
        <w:spacing w:line="560" w:lineRule="exact"/>
        <w:ind w:firstLine="640"/>
        <w:rPr>
          <w:rFonts w:ascii="仿宋" w:hAnsi="仿宋" w:eastAsia="仿宋" w:cs="仿宋"/>
          <w:sz w:val="32"/>
          <w:szCs w:val="32"/>
        </w:rPr>
      </w:pPr>
      <w:r>
        <w:rPr>
          <w:rFonts w:hint="eastAsia" w:ascii="仿宋" w:hAnsi="仿宋" w:eastAsia="仿宋" w:cs="仿宋"/>
          <w:sz w:val="32"/>
          <w:szCs w:val="32"/>
        </w:rPr>
        <w:t>2020年支出预算121.04万元，其中基本支出121.04万元，包括人员经费和日常公用经费；项目支出0万元。</w:t>
      </w:r>
    </w:p>
    <w:p>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3</w:t>
      </w:r>
      <w:r>
        <w:rPr>
          <w:rFonts w:hint="eastAsia" w:ascii="楷体" w:hAnsi="楷体" w:eastAsia="楷体" w:cs="楷体"/>
          <w:b/>
          <w:bCs/>
          <w:sz w:val="32"/>
          <w:szCs w:val="32"/>
        </w:rPr>
        <w:t>、比上年增减变化情况</w:t>
      </w:r>
    </w:p>
    <w:p>
      <w:pPr>
        <w:spacing w:line="560" w:lineRule="exact"/>
        <w:ind w:firstLine="640"/>
        <w:rPr>
          <w:rFonts w:ascii="仿宋" w:hAnsi="仿宋" w:eastAsia="仿宋" w:cs="仿宋"/>
          <w:color w:val="FF0000"/>
          <w:sz w:val="32"/>
          <w:szCs w:val="32"/>
        </w:rPr>
      </w:pPr>
      <w:r>
        <w:rPr>
          <w:rFonts w:hint="eastAsia" w:ascii="仿宋" w:hAnsi="仿宋" w:eastAsia="仿宋" w:cs="仿宋"/>
          <w:sz w:val="32"/>
          <w:szCs w:val="32"/>
        </w:rPr>
        <w:t>2020年预算收支安排121.04万元，较2019年预算减少49.42万元，</w:t>
      </w:r>
      <w:r>
        <w:rPr>
          <w:rFonts w:hint="eastAsia" w:ascii="仿宋" w:hAnsi="仿宋" w:eastAsia="仿宋" w:cs="仿宋_GB2312"/>
          <w:kern w:val="0"/>
          <w:sz w:val="32"/>
          <w:szCs w:val="32"/>
        </w:rPr>
        <w:t>主要是2019年包括养老保险清算资金。</w:t>
      </w:r>
    </w:p>
    <w:p>
      <w:pPr>
        <w:pStyle w:val="10"/>
        <w:widowControl/>
        <w:spacing w:line="360" w:lineRule="auto"/>
        <w:ind w:left="720" w:firstLine="0" w:firstLineChars="0"/>
        <w:jc w:val="left"/>
        <w:rPr>
          <w:rFonts w:ascii="仿宋_GB2312" w:hAnsi="Calibri" w:eastAsia="仿宋_GB2312" w:cs="仿宋_GB2312"/>
          <w:b/>
          <w:bCs/>
          <w:kern w:val="0"/>
          <w:sz w:val="32"/>
          <w:szCs w:val="32"/>
        </w:rPr>
      </w:pPr>
      <w:r>
        <w:rPr>
          <w:rFonts w:hint="eastAsia" w:ascii="仿宋_GB2312" w:hAnsi="Calibri" w:eastAsia="仿宋_GB2312" w:cs="仿宋_GB2312"/>
          <w:b/>
          <w:bCs/>
          <w:kern w:val="0"/>
          <w:sz w:val="32"/>
          <w:szCs w:val="32"/>
        </w:rPr>
        <w:t>三、机关运行经费情况</w:t>
      </w:r>
    </w:p>
    <w:p>
      <w:pPr>
        <w:widowControl/>
        <w:spacing w:line="360" w:lineRule="auto"/>
        <w:ind w:firstLine="640" w:firstLineChars="200"/>
        <w:jc w:val="left"/>
        <w:rPr>
          <w:rFonts w:ascii="仿宋_GB2312" w:hAnsi="Calibri" w:eastAsia="仿宋_GB2312" w:cs="仿宋_GB2312"/>
          <w:kern w:val="0"/>
          <w:sz w:val="32"/>
          <w:szCs w:val="32"/>
        </w:rPr>
      </w:pPr>
      <w:r>
        <w:rPr>
          <w:rFonts w:hint="eastAsia" w:ascii="仿宋_GB2312" w:hAnsi="Calibri" w:eastAsia="仿宋_GB2312" w:cs="仿宋_GB2312"/>
          <w:kern w:val="0"/>
          <w:sz w:val="32"/>
          <w:szCs w:val="32"/>
        </w:rPr>
        <w:t>日常公用经费安排11.54万元，包括：办公费、差旅费、交通费、会议费、招待费、其他支出等。</w:t>
      </w:r>
    </w:p>
    <w:p>
      <w:pPr>
        <w:widowControl/>
        <w:spacing w:line="360" w:lineRule="auto"/>
        <w:ind w:firstLine="643" w:firstLineChars="200"/>
        <w:jc w:val="left"/>
        <w:rPr>
          <w:rFonts w:ascii="仿宋_GB2312" w:hAnsi="Calibri" w:eastAsia="仿宋_GB2312" w:cs="仿宋_GB2312"/>
          <w:b/>
          <w:bCs/>
          <w:kern w:val="0"/>
          <w:sz w:val="32"/>
          <w:szCs w:val="32"/>
        </w:rPr>
      </w:pPr>
      <w:r>
        <w:rPr>
          <w:rFonts w:hint="eastAsia" w:ascii="仿宋_GB2312" w:hAnsi="Calibri" w:eastAsia="仿宋_GB2312" w:cs="仿宋_GB2312"/>
          <w:b/>
          <w:bCs/>
          <w:kern w:val="0"/>
          <w:sz w:val="32"/>
          <w:szCs w:val="32"/>
        </w:rPr>
        <w:t>四、“三公”经费预算情况</w:t>
      </w:r>
    </w:p>
    <w:p>
      <w:pPr>
        <w:autoSpaceDE w:val="0"/>
        <w:autoSpaceDN w:val="0"/>
        <w:adjustRightInd w:val="0"/>
        <w:spacing w:line="560" w:lineRule="exact"/>
        <w:ind w:firstLine="640" w:firstLineChars="200"/>
        <w:jc w:val="left"/>
        <w:rPr>
          <w:rFonts w:ascii="黑体" w:hAnsi="黑体" w:eastAsia="黑体" w:cs="黑体"/>
          <w:color w:val="FF0000"/>
          <w:sz w:val="32"/>
          <w:szCs w:val="32"/>
        </w:rPr>
      </w:pPr>
      <w:r>
        <w:rPr>
          <w:rFonts w:hint="eastAsia" w:ascii="仿宋" w:hAnsi="仿宋" w:eastAsia="仿宋" w:cs="Times New Roman"/>
          <w:sz w:val="32"/>
          <w:szCs w:val="32"/>
        </w:rPr>
        <w:t>2020</w:t>
      </w:r>
      <w:r>
        <w:rPr>
          <w:rFonts w:hint="eastAsia" w:ascii="仿宋" w:hAnsi="仿宋" w:eastAsia="仿宋" w:cs="方正仿宋_GBK"/>
          <w:sz w:val="32"/>
          <w:szCs w:val="32"/>
        </w:rPr>
        <w:t>年，我单位</w:t>
      </w:r>
      <w:r>
        <w:rPr>
          <w:rFonts w:hint="eastAsia" w:ascii="仿宋" w:hAnsi="仿宋" w:eastAsia="仿宋" w:cs="Times New Roman"/>
          <w:sz w:val="32"/>
          <w:szCs w:val="32"/>
        </w:rPr>
        <w:t>“</w:t>
      </w:r>
      <w:r>
        <w:rPr>
          <w:rFonts w:hint="eastAsia" w:ascii="仿宋" w:hAnsi="仿宋" w:eastAsia="仿宋" w:cs="方正仿宋_GBK"/>
          <w:sz w:val="32"/>
          <w:szCs w:val="32"/>
        </w:rPr>
        <w:t>三公</w:t>
      </w:r>
      <w:r>
        <w:rPr>
          <w:rFonts w:hint="eastAsia" w:ascii="仿宋" w:hAnsi="仿宋" w:eastAsia="仿宋" w:cs="Times New Roman"/>
          <w:sz w:val="32"/>
          <w:szCs w:val="32"/>
        </w:rPr>
        <w:t>”</w:t>
      </w:r>
      <w:r>
        <w:rPr>
          <w:rFonts w:hint="eastAsia" w:ascii="仿宋" w:hAnsi="仿宋" w:eastAsia="仿宋" w:cs="方正仿宋_GBK"/>
          <w:sz w:val="32"/>
          <w:szCs w:val="32"/>
        </w:rPr>
        <w:t>经费预算安排0万元，其中因公出国（境）费0万元；公务用车购置及运维费0万元（其中：公务用车购置费为0万元，公务用车运行费0万元</w:t>
      </w:r>
      <w:r>
        <w:rPr>
          <w:rFonts w:ascii="仿宋" w:hAnsi="仿宋" w:eastAsia="仿宋" w:cs="Times New Roman"/>
          <w:sz w:val="32"/>
          <w:szCs w:val="32"/>
        </w:rPr>
        <w:t>)</w:t>
      </w:r>
      <w:r>
        <w:rPr>
          <w:rFonts w:hint="eastAsia" w:ascii="仿宋" w:hAnsi="仿宋" w:eastAsia="仿宋" w:cs="方正仿宋_GBK"/>
          <w:sz w:val="32"/>
          <w:szCs w:val="32"/>
        </w:rPr>
        <w:t>；公务接待费0万元,培训费0万元。因公出国（境）费与2019年相比持平；公务用车购置费与2019年相比持平；公务用车运行费与2019年相比减少0.5万元，主要原因是单位无公车；公务接待费与2019年相比持平；培训费与2019年相比减少2万元，主要原因是本年度业务量减少，无活动支出。</w:t>
      </w:r>
    </w:p>
    <w:p>
      <w:pPr>
        <w:spacing w:line="560" w:lineRule="exact"/>
        <w:ind w:firstLine="640"/>
        <w:rPr>
          <w:rFonts w:ascii="黑体" w:hAnsi="黑体" w:eastAsia="黑体" w:cs="Times New Roman"/>
          <w:sz w:val="32"/>
          <w:szCs w:val="32"/>
        </w:rPr>
      </w:pPr>
      <w:r>
        <w:rPr>
          <w:rFonts w:hint="eastAsia" w:ascii="黑体" w:hAnsi="黑体" w:eastAsia="黑体" w:cs="黑体"/>
          <w:sz w:val="32"/>
          <w:szCs w:val="32"/>
        </w:rPr>
        <w:t>五、绩效预算信息</w:t>
      </w:r>
    </w:p>
    <w:p>
      <w:pPr>
        <w:spacing w:line="360" w:lineRule="auto"/>
        <w:ind w:firstLine="640" w:firstLineChars="200"/>
        <w:jc w:val="left"/>
        <w:rPr>
          <w:rFonts w:ascii="仿宋_GB2312" w:hAnsi="Times New Roman" w:eastAsia="仿宋_GB2312"/>
          <w:sz w:val="32"/>
          <w:szCs w:val="32"/>
        </w:rPr>
      </w:pPr>
      <w:r>
        <w:rPr>
          <w:rFonts w:hint="eastAsia" w:ascii="仿宋_GB2312" w:hAnsi="Times New Roman" w:eastAsia="仿宋_GB2312"/>
          <w:sz w:val="32"/>
          <w:szCs w:val="32"/>
        </w:rPr>
        <w:t>（一）总体绩效目标</w:t>
      </w:r>
    </w:p>
    <w:p>
      <w:pPr>
        <w:spacing w:line="360" w:lineRule="auto"/>
        <w:ind w:firstLine="630"/>
        <w:jc w:val="left"/>
        <w:rPr>
          <w:rFonts w:ascii="仿宋_GB2312" w:hAnsi="Times New Roman" w:eastAsia="仿宋_GB2312"/>
          <w:sz w:val="32"/>
          <w:szCs w:val="32"/>
        </w:rPr>
      </w:pPr>
      <w:r>
        <w:rPr>
          <w:rFonts w:hint="eastAsia" w:ascii="仿宋_GB2312" w:hAnsi="Times New Roman" w:eastAsia="仿宋_GB2312"/>
          <w:sz w:val="32"/>
          <w:szCs w:val="32"/>
        </w:rPr>
        <w:t>持续做好工会组织机构改革，健全完善各项制度机制，进一步夯实工会组织基础。改进工作作风，把职工群众满意不满意作为衡量工会工作的标准，不断提升服务职工群众的能力水平。丰富工会工作内容，坚持工作重心下移，深入开展调查研究，着力解决职工群众最关心、最关注的切身利益问题，不断增强工会组织的政治性、先进性和群众性。</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（二）分项绩效目标</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1.坚持用法治思维开展工作，不断提高依法履职、依法维权能力。</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2.积极实施精准帮扶，为职工做好事办实事解难事。</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3.以改革创新精神加强自身建设，不断提高履职能力和服务水平。在突出抓好以上工作的同时，还要要突出女职工工作特色，加强对女职工的维权服务。理顺产业工会组织体制，建立起具有产业特征和行业特点的产业工会格局。</w:t>
      </w:r>
    </w:p>
    <w:p>
      <w:pPr>
        <w:ind w:firstLine="640" w:firstLineChars="200"/>
        <w:rPr>
          <w:rFonts w:ascii="Calibri" w:hAnsi="Calibri" w:eastAsia="仿宋_GB2312" w:cs="Calibri"/>
          <w:sz w:val="32"/>
          <w:szCs w:val="32"/>
        </w:rPr>
      </w:pPr>
      <w:r>
        <w:rPr>
          <w:rFonts w:hint="eastAsia" w:ascii="Calibri" w:hAnsi="Calibri" w:eastAsia="仿宋_GB2312" w:cs="Calibri"/>
          <w:sz w:val="32"/>
          <w:szCs w:val="32"/>
        </w:rPr>
        <w:t>（三）工作保障措施</w:t>
      </w:r>
    </w:p>
    <w:p>
      <w:pPr>
        <w:spacing w:line="360"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围绕职工合法权益的重大问题进行调查研究，向市总工会反映职工群众的思想、愿望和要求，提出意见和建议。参与涉及职工切身利益的有关地方性法规和政策、措施、制度的拟定；参与职工重大伤亡事故的调查处理。依照法律和《中国工会章程》，组织和指导全县各级工会坚定不移地落实党的全心全意依靠工人阶级的根本指导方针，进一步突出和履行维护职能。</w:t>
      </w:r>
    </w:p>
    <w:p>
      <w:pPr>
        <w:spacing w:line="360" w:lineRule="auto"/>
        <w:rPr>
          <w:rFonts w:ascii="Calibri" w:hAnsi="Calibri" w:eastAsia="仿宋_GB2312" w:cs="Calibri"/>
          <w:sz w:val="32"/>
          <w:szCs w:val="32"/>
        </w:rPr>
        <w:sectPr>
          <w:pgSz w:w="11907" w:h="16839"/>
          <w:pgMar w:top="1020" w:right="1134" w:bottom="1020" w:left="1134" w:header="851" w:footer="992" w:gutter="0"/>
          <w:cols w:space="425" w:num="1"/>
          <w:docGrid w:type="lines" w:linePitch="312" w:charSpace="0"/>
        </w:sectPr>
      </w:pPr>
    </w:p>
    <w:tbl>
      <w:tblPr>
        <w:tblStyle w:val="6"/>
        <w:tblW w:w="142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198"/>
        <w:gridCol w:w="850"/>
        <w:gridCol w:w="851"/>
        <w:gridCol w:w="850"/>
        <w:gridCol w:w="8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767"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711</w:t>
            </w:r>
            <w:r>
              <w:rPr>
                <w:rFonts w:hint="eastAsia" w:ascii="方正小标宋_GBK" w:eastAsia="方正小标宋_GBK"/>
                <w:sz w:val="24"/>
              </w:rPr>
              <w:t>成安县总工会</w:t>
            </w:r>
          </w:p>
        </w:tc>
        <w:tc>
          <w:tcPr>
            <w:tcW w:w="3448"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198"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3448" w:type="dxa"/>
            <w:gridSpan w:val="4"/>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pPr>
              <w:spacing w:line="300" w:lineRule="exact"/>
              <w:jc w:val="left"/>
              <w:outlineLvl w:val="0"/>
            </w:pPr>
          </w:p>
        </w:tc>
        <w:tc>
          <w:tcPr>
            <w:tcW w:w="12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1198" w:type="dxa"/>
            <w:vMerge w:val="continue"/>
            <w:vAlign w:val="center"/>
          </w:tcPr>
          <w:p>
            <w:pPr>
              <w:spacing w:line="300" w:lineRule="exact"/>
              <w:jc w:val="left"/>
              <w:outlineLvl w:val="0"/>
            </w:pPr>
          </w:p>
        </w:tc>
        <w:tc>
          <w:tcPr>
            <w:tcW w:w="850" w:type="dxa"/>
            <w:vAlign w:val="center"/>
          </w:tcPr>
          <w:p>
            <w:pPr>
              <w:spacing w:line="300" w:lineRule="exact"/>
              <w:jc w:val="center"/>
              <w:rPr>
                <w:rFonts w:ascii="方正书宋_GBK" w:eastAsia="方正书宋_GBK"/>
                <w:b/>
              </w:rPr>
            </w:pPr>
            <w:r>
              <w:rPr>
                <w:rFonts w:hint="eastAsia" w:ascii="方正书宋_GBK" w:eastAsia="方正书宋_GBK"/>
                <w:b/>
              </w:rPr>
              <w:t>优</w:t>
            </w:r>
          </w:p>
        </w:tc>
        <w:tc>
          <w:tcPr>
            <w:tcW w:w="851" w:type="dxa"/>
            <w:vAlign w:val="center"/>
          </w:tcPr>
          <w:p>
            <w:pPr>
              <w:spacing w:line="300" w:lineRule="exact"/>
              <w:jc w:val="center"/>
              <w:rPr>
                <w:rFonts w:ascii="方正书宋_GBK" w:eastAsia="方正书宋_GBK"/>
                <w:b/>
              </w:rPr>
            </w:pPr>
            <w:r>
              <w:rPr>
                <w:rFonts w:hint="eastAsia" w:ascii="方正书宋_GBK" w:eastAsia="方正书宋_GBK"/>
                <w:b/>
              </w:rPr>
              <w:t>良</w:t>
            </w:r>
          </w:p>
        </w:tc>
        <w:tc>
          <w:tcPr>
            <w:tcW w:w="850" w:type="dxa"/>
            <w:vAlign w:val="center"/>
          </w:tcPr>
          <w:p>
            <w:pPr>
              <w:spacing w:line="300" w:lineRule="exact"/>
              <w:jc w:val="center"/>
              <w:rPr>
                <w:rFonts w:ascii="方正书宋_GBK" w:eastAsia="方正书宋_GBK"/>
                <w:b/>
              </w:rPr>
            </w:pPr>
            <w:r>
              <w:rPr>
                <w:rFonts w:hint="eastAsia" w:ascii="方正书宋_GBK" w:eastAsia="方正书宋_GBK"/>
                <w:b/>
              </w:rPr>
              <w:t>中</w:t>
            </w:r>
          </w:p>
        </w:tc>
        <w:tc>
          <w:tcPr>
            <w:tcW w:w="897" w:type="dxa"/>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维护职工合法权益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指导全县各级组织职工开展民主选举、民主决策、民主管理和民主监督工作；推动基层工会建立集体合同制度、工资集体协商和监督保证机制；参与职工安全生产保护工作；为工会组织、干部、职工提供维权渠道。</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确保职工合法权益得到有效保障，改善困难劳模生活困境，提升广大职工技术技能素质。</w:t>
            </w:r>
          </w:p>
        </w:tc>
        <w:tc>
          <w:tcPr>
            <w:tcW w:w="1198" w:type="dxa"/>
            <w:vAlign w:val="center"/>
          </w:tcPr>
          <w:p>
            <w:pPr>
              <w:spacing w:line="300" w:lineRule="exact"/>
              <w:jc w:val="left"/>
              <w:rPr>
                <w:rFonts w:ascii="方正书宋_GBK" w:eastAsia="方正书宋_GBK"/>
              </w:rPr>
            </w:pP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提升职工技能及创新水平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围绕县委、县政府提出的重点工程、重点项目和重点领域，组织全县职工开展劳动竞赛，大力推进实施职工经济技术创新工程。</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有效促进全县重点工程、重点项目和重点领域的建设，为全县经济社会持续健康发展建功立业。</w:t>
            </w:r>
          </w:p>
        </w:tc>
        <w:tc>
          <w:tcPr>
            <w:tcW w:w="1198" w:type="dxa"/>
            <w:vAlign w:val="center"/>
          </w:tcPr>
          <w:p>
            <w:pPr>
              <w:spacing w:line="300" w:lineRule="exact"/>
              <w:jc w:val="left"/>
              <w:rPr>
                <w:rFonts w:ascii="方正书宋_GBK" w:eastAsia="方正书宋_GBK"/>
              </w:rPr>
            </w:pP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工会事务管理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研究指导全县工会自身建设；承担县委、县政府及全国总工会交办的其他事项。</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加强组织和干部队伍建设，提高干部业务素质和大型企事业单位工会领导干部水平，促进工会事业发展。</w:t>
            </w:r>
          </w:p>
        </w:tc>
        <w:tc>
          <w:tcPr>
            <w:tcW w:w="1198" w:type="dxa"/>
            <w:vAlign w:val="center"/>
          </w:tcPr>
          <w:p>
            <w:pPr>
              <w:spacing w:line="300" w:lineRule="exact"/>
              <w:jc w:val="left"/>
              <w:rPr>
                <w:rFonts w:ascii="方正书宋_GBK" w:eastAsia="方正书宋_GBK"/>
              </w:rPr>
            </w:pP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　　综合事务管理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研究指导全县工会自身改革和建设；负责工会干部管理制度和培训规划制定以及培训工作；承担县委、县政府及全国总工会交办的其他事项。</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切实提高工会综合事务管理水平，保障单位的正常运转</w:t>
            </w:r>
          </w:p>
        </w:tc>
        <w:tc>
          <w:tcPr>
            <w:tcW w:w="1198" w:type="dxa"/>
            <w:vAlign w:val="center"/>
          </w:tcPr>
          <w:p>
            <w:pPr>
              <w:spacing w:line="300" w:lineRule="exact"/>
              <w:jc w:val="left"/>
              <w:rPr>
                <w:rFonts w:ascii="方正书宋_GBK" w:eastAsia="方正书宋_GBK"/>
              </w:rPr>
            </w:pPr>
            <w:r>
              <w:rPr>
                <w:rFonts w:hint="eastAsia" w:ascii="方正书宋_GBK" w:eastAsia="方正书宋_GBK"/>
              </w:rPr>
              <w:t>综合事务保障率</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ascii="方正书宋_GBK" w:eastAsia="方正书宋_GBK"/>
              </w:rPr>
              <w:t>9</w:t>
            </w:r>
            <w:r>
              <w:rPr>
                <w:rFonts w:hint="eastAsia" w:ascii="方正书宋_GBK" w:eastAsia="方正书宋_GBK"/>
              </w:rPr>
              <w:t>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bl>
    <w:p>
      <w:pPr>
        <w:widowControl/>
        <w:spacing w:line="360" w:lineRule="auto"/>
        <w:jc w:val="left"/>
        <w:rPr>
          <w:rFonts w:ascii="Calibri" w:hAnsi="Calibri" w:eastAsia="仿宋_GB2312" w:cs="Calibri"/>
          <w:b/>
          <w:kern w:val="0"/>
          <w:sz w:val="32"/>
          <w:szCs w:val="32"/>
        </w:rPr>
        <w:sectPr>
          <w:pgSz w:w="16839" w:h="11907" w:orient="landscape"/>
          <w:pgMar w:top="1134" w:right="1020" w:bottom="1134" w:left="1020" w:header="851" w:footer="992" w:gutter="0"/>
          <w:cols w:space="0" w:num="1"/>
          <w:docGrid w:type="lines" w:linePitch="321" w:charSpace="0"/>
        </w:sectPr>
      </w:pPr>
    </w:p>
    <w:p>
      <w:pPr>
        <w:pStyle w:val="10"/>
        <w:widowControl/>
        <w:numPr>
          <w:ilvl w:val="0"/>
          <w:numId w:val="2"/>
        </w:numPr>
        <w:spacing w:line="360" w:lineRule="auto"/>
        <w:ind w:firstLineChars="0"/>
        <w:jc w:val="left"/>
        <w:rPr>
          <w:rFonts w:ascii="Calibri" w:hAnsi="Calibri" w:eastAsia="仿宋_GB2312" w:cs="Calibri"/>
          <w:b/>
          <w:kern w:val="0"/>
          <w:sz w:val="32"/>
          <w:szCs w:val="32"/>
        </w:rPr>
      </w:pPr>
      <w:r>
        <w:rPr>
          <w:rFonts w:hint="eastAsia" w:ascii="Calibri" w:hAnsi="Calibri" w:eastAsia="仿宋_GB2312" w:cs="Calibri"/>
          <w:b/>
          <w:kern w:val="0"/>
          <w:sz w:val="32"/>
          <w:szCs w:val="32"/>
        </w:rPr>
        <w:t>政府采购预算情况</w:t>
      </w:r>
    </w:p>
    <w:p>
      <w:pPr>
        <w:widowControl/>
        <w:spacing w:line="360" w:lineRule="auto"/>
        <w:ind w:left="638" w:leftChars="304" w:firstLine="640"/>
        <w:jc w:val="left"/>
        <w:rPr>
          <w:rFonts w:ascii="仿宋_GB2312" w:hAnsi="微软雅黑" w:eastAsia="仿宋_GB2312" w:cs="仿宋_GB2312"/>
          <w:kern w:val="0"/>
          <w:sz w:val="32"/>
          <w:szCs w:val="32"/>
        </w:rPr>
      </w:pPr>
      <w:r>
        <w:rPr>
          <w:rFonts w:ascii="仿宋_GB2312" w:hAnsi="微软雅黑" w:eastAsia="仿宋_GB2312"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w:t>
      </w:r>
      <w:r>
        <w:rPr>
          <w:rFonts w:hint="eastAsia" w:ascii="仿宋_GB2312" w:hAnsi="微软雅黑" w:eastAsia="仿宋_GB2312" w:cs="仿宋_GB2312"/>
          <w:kern w:val="0"/>
          <w:sz w:val="32"/>
          <w:szCs w:val="32"/>
        </w:rPr>
        <w:t>单位</w:t>
      </w:r>
      <w:r>
        <w:rPr>
          <w:rFonts w:ascii="仿宋_GB2312" w:hAnsi="微软雅黑" w:eastAsia="仿宋_GB2312" w:cs="仿宋_GB2312"/>
          <w:kern w:val="0"/>
          <w:sz w:val="32"/>
          <w:szCs w:val="32"/>
        </w:rPr>
        <w:t>实际，</w:t>
      </w:r>
      <w:r>
        <w:rPr>
          <w:rFonts w:hint="eastAsia" w:ascii="仿宋_GB2312" w:hAnsi="微软雅黑" w:eastAsia="仿宋_GB2312" w:cs="仿宋_GB2312"/>
          <w:kern w:val="0"/>
          <w:sz w:val="32"/>
          <w:szCs w:val="32"/>
        </w:rPr>
        <w:t>2020</w:t>
      </w:r>
      <w:r>
        <w:rPr>
          <w:rFonts w:ascii="仿宋_GB2312" w:hAnsi="微软雅黑" w:eastAsia="仿宋_GB2312" w:cs="仿宋_GB2312"/>
          <w:kern w:val="0"/>
          <w:sz w:val="32"/>
          <w:szCs w:val="32"/>
        </w:rPr>
        <w:t>年我</w:t>
      </w:r>
      <w:r>
        <w:rPr>
          <w:rFonts w:hint="eastAsia" w:ascii="仿宋_GB2312" w:hAnsi="微软雅黑" w:eastAsia="仿宋_GB2312" w:cs="仿宋_GB2312"/>
          <w:kern w:val="0"/>
          <w:sz w:val="32"/>
          <w:szCs w:val="32"/>
        </w:rPr>
        <w:t>单位</w:t>
      </w:r>
      <w:r>
        <w:rPr>
          <w:rFonts w:ascii="仿宋_GB2312" w:hAnsi="微软雅黑" w:eastAsia="仿宋_GB2312" w:cs="仿宋_GB2312"/>
          <w:kern w:val="0"/>
          <w:sz w:val="32"/>
          <w:szCs w:val="32"/>
        </w:rPr>
        <w:t>政府采购事项</w:t>
      </w:r>
      <w:r>
        <w:rPr>
          <w:rFonts w:hint="eastAsia" w:ascii="仿宋_GB2312" w:hAnsi="微软雅黑" w:eastAsia="仿宋_GB2312" w:cs="仿宋_GB2312"/>
          <w:kern w:val="0"/>
          <w:sz w:val="32"/>
          <w:szCs w:val="32"/>
        </w:rPr>
        <w:t>0.5万元，拟购置政府采购0.5万元，其中：电脑1台，单价0.5万元。</w:t>
      </w: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spacing w:line="560" w:lineRule="exact"/>
        <w:jc w:val="center"/>
        <w:outlineLvl w:val="0"/>
        <w:rPr>
          <w:rFonts w:ascii="宋体" w:hAnsi="宋体" w:eastAsia="宋体" w:cs="方正小标宋_GBK"/>
          <w:sz w:val="32"/>
          <w:szCs w:val="32"/>
        </w:rPr>
      </w:pPr>
    </w:p>
    <w:p>
      <w:pPr>
        <w:spacing w:line="560" w:lineRule="exact"/>
        <w:jc w:val="center"/>
        <w:outlineLvl w:val="0"/>
        <w:rPr>
          <w:rFonts w:ascii="宋体" w:hAnsi="宋体" w:eastAsia="宋体" w:cs="Times New Roman"/>
          <w:sz w:val="32"/>
          <w:szCs w:val="32"/>
        </w:rPr>
      </w:pPr>
      <w:r>
        <w:rPr>
          <w:rFonts w:hint="eastAsia" w:ascii="宋体" w:hAnsi="宋体" w:eastAsia="宋体" w:cs="方正小标宋_GBK"/>
          <w:sz w:val="32"/>
          <w:szCs w:val="32"/>
        </w:rPr>
        <w:t>部门政府采购预算</w:t>
      </w:r>
    </w:p>
    <w:tbl>
      <w:tblPr>
        <w:tblStyle w:val="6"/>
        <w:tblW w:w="96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4"/>
        <w:gridCol w:w="708"/>
        <w:gridCol w:w="993"/>
        <w:gridCol w:w="992"/>
        <w:gridCol w:w="425"/>
        <w:gridCol w:w="567"/>
        <w:gridCol w:w="709"/>
        <w:gridCol w:w="709"/>
        <w:gridCol w:w="843"/>
        <w:gridCol w:w="562"/>
        <w:gridCol w:w="511"/>
        <w:gridCol w:w="551"/>
        <w:gridCol w:w="503"/>
        <w:gridCol w:w="48"/>
        <w:gridCol w:w="5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2"/>
          <w:wAfter w:w="564" w:type="dxa"/>
          <w:tblHeader/>
          <w:jc w:val="center"/>
        </w:trPr>
        <w:tc>
          <w:tcPr>
            <w:tcW w:w="4669" w:type="dxa"/>
            <w:gridSpan w:val="6"/>
            <w:tcBorders>
              <w:top w:val="single" w:color="FFFFFF" w:sz="6" w:space="0"/>
              <w:left w:val="single" w:color="FFFFFF" w:sz="6" w:space="0"/>
              <w:right w:val="single" w:color="FFFFFF" w:sz="6" w:space="0"/>
            </w:tcBorders>
            <w:vAlign w:val="center"/>
          </w:tcPr>
          <w:p>
            <w:pPr>
              <w:spacing w:line="560" w:lineRule="exact"/>
              <w:jc w:val="left"/>
              <w:rPr>
                <w:rFonts w:ascii="宋体" w:hAnsi="宋体" w:eastAsia="宋体" w:cs="Times New Roman"/>
                <w:sz w:val="24"/>
                <w:szCs w:val="24"/>
              </w:rPr>
            </w:pPr>
            <w:r>
              <w:rPr>
                <w:rFonts w:hint="eastAsia" w:ascii="宋体" w:hAnsi="宋体" w:eastAsia="宋体" w:cs="方正小标宋_GBK"/>
                <w:sz w:val="24"/>
                <w:szCs w:val="24"/>
              </w:rPr>
              <w:t>部门（单位）名称：成安县总工会</w:t>
            </w:r>
          </w:p>
        </w:tc>
        <w:tc>
          <w:tcPr>
            <w:tcW w:w="4388" w:type="dxa"/>
            <w:gridSpan w:val="7"/>
            <w:tcBorders>
              <w:top w:val="single" w:color="FFFFFF" w:sz="6" w:space="0"/>
              <w:left w:val="single" w:color="FFFFFF" w:sz="6" w:space="0"/>
              <w:right w:val="single" w:color="FFFFFF" w:sz="6" w:space="0"/>
            </w:tcBorders>
            <w:vAlign w:val="center"/>
          </w:tcPr>
          <w:p>
            <w:pPr>
              <w:spacing w:line="560" w:lineRule="exact"/>
              <w:jc w:val="right"/>
              <w:rPr>
                <w:rFonts w:ascii="宋体" w:hAnsi="宋体" w:eastAsia="宋体" w:cs="Times New Roman"/>
                <w:sz w:val="24"/>
                <w:szCs w:val="24"/>
              </w:rPr>
            </w:pPr>
            <w:r>
              <w:rPr>
                <w:rFonts w:hint="eastAsia" w:ascii="宋体" w:hAnsi="宋体" w:eastAsia="宋体" w:cs="方正书宋_GBK"/>
                <w:sz w:val="24"/>
                <w:szCs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692" w:type="dxa"/>
            <w:gridSpan w:val="2"/>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政府采购项目来源</w:t>
            </w:r>
          </w:p>
        </w:tc>
        <w:tc>
          <w:tcPr>
            <w:tcW w:w="993"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采购物品名称</w:t>
            </w:r>
          </w:p>
        </w:tc>
        <w:tc>
          <w:tcPr>
            <w:tcW w:w="992"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政府采购目录序号</w:t>
            </w:r>
          </w:p>
        </w:tc>
        <w:tc>
          <w:tcPr>
            <w:tcW w:w="425"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数量单位</w:t>
            </w:r>
          </w:p>
        </w:tc>
        <w:tc>
          <w:tcPr>
            <w:tcW w:w="567"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数量</w:t>
            </w:r>
          </w:p>
        </w:tc>
        <w:tc>
          <w:tcPr>
            <w:tcW w:w="709"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单价</w:t>
            </w:r>
          </w:p>
        </w:tc>
        <w:tc>
          <w:tcPr>
            <w:tcW w:w="4243" w:type="dxa"/>
            <w:gridSpan w:val="8"/>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84" w:type="dxa"/>
            <w:vMerge w:val="restart"/>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项目名称</w:t>
            </w:r>
          </w:p>
        </w:tc>
        <w:tc>
          <w:tcPr>
            <w:tcW w:w="708" w:type="dxa"/>
            <w:vMerge w:val="restart"/>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预算资金</w:t>
            </w:r>
          </w:p>
        </w:tc>
        <w:tc>
          <w:tcPr>
            <w:tcW w:w="993" w:type="dxa"/>
            <w:vMerge w:val="continue"/>
            <w:vAlign w:val="center"/>
          </w:tcPr>
          <w:p>
            <w:pPr>
              <w:spacing w:line="560" w:lineRule="exact"/>
              <w:jc w:val="left"/>
              <w:outlineLvl w:val="0"/>
              <w:rPr>
                <w:rFonts w:ascii="宋体" w:hAnsi="宋体" w:eastAsia="宋体" w:cs="Times New Roman"/>
              </w:rPr>
            </w:pPr>
          </w:p>
        </w:tc>
        <w:tc>
          <w:tcPr>
            <w:tcW w:w="992" w:type="dxa"/>
            <w:vMerge w:val="continue"/>
            <w:vAlign w:val="center"/>
          </w:tcPr>
          <w:p>
            <w:pPr>
              <w:spacing w:line="560" w:lineRule="exact"/>
              <w:jc w:val="left"/>
              <w:outlineLvl w:val="0"/>
              <w:rPr>
                <w:rFonts w:ascii="宋体" w:hAnsi="宋体" w:eastAsia="宋体" w:cs="Times New Roman"/>
              </w:rPr>
            </w:pPr>
          </w:p>
        </w:tc>
        <w:tc>
          <w:tcPr>
            <w:tcW w:w="425" w:type="dxa"/>
            <w:vMerge w:val="continue"/>
            <w:vAlign w:val="center"/>
          </w:tcPr>
          <w:p>
            <w:pPr>
              <w:spacing w:line="560" w:lineRule="exact"/>
              <w:jc w:val="left"/>
              <w:outlineLvl w:val="0"/>
              <w:rPr>
                <w:rFonts w:ascii="宋体" w:hAnsi="宋体" w:eastAsia="宋体" w:cs="Times New Roman"/>
              </w:rPr>
            </w:pPr>
          </w:p>
        </w:tc>
        <w:tc>
          <w:tcPr>
            <w:tcW w:w="567" w:type="dxa"/>
            <w:vMerge w:val="continue"/>
            <w:vAlign w:val="center"/>
          </w:tcPr>
          <w:p>
            <w:pPr>
              <w:spacing w:line="560" w:lineRule="exact"/>
              <w:jc w:val="left"/>
              <w:outlineLvl w:val="0"/>
              <w:rPr>
                <w:rFonts w:ascii="宋体" w:hAnsi="宋体" w:eastAsia="宋体" w:cs="Times New Roman"/>
              </w:rPr>
            </w:pPr>
          </w:p>
        </w:tc>
        <w:tc>
          <w:tcPr>
            <w:tcW w:w="709" w:type="dxa"/>
            <w:vMerge w:val="continue"/>
            <w:vAlign w:val="center"/>
          </w:tcPr>
          <w:p>
            <w:pPr>
              <w:spacing w:line="560" w:lineRule="exact"/>
              <w:jc w:val="left"/>
              <w:outlineLvl w:val="0"/>
              <w:rPr>
                <w:rFonts w:ascii="宋体" w:hAnsi="宋体" w:eastAsia="宋体" w:cs="Times New Roman"/>
              </w:rPr>
            </w:pPr>
          </w:p>
        </w:tc>
        <w:tc>
          <w:tcPr>
            <w:tcW w:w="709"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总计</w:t>
            </w:r>
          </w:p>
        </w:tc>
        <w:tc>
          <w:tcPr>
            <w:tcW w:w="3018" w:type="dxa"/>
            <w:gridSpan w:val="6"/>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当年部门预算安排资金</w:t>
            </w:r>
          </w:p>
        </w:tc>
        <w:tc>
          <w:tcPr>
            <w:tcW w:w="516" w:type="dxa"/>
            <w:vMerge w:val="restart"/>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84" w:type="dxa"/>
            <w:vMerge w:val="continue"/>
            <w:vAlign w:val="center"/>
          </w:tcPr>
          <w:p>
            <w:pPr>
              <w:spacing w:line="560" w:lineRule="exact"/>
              <w:jc w:val="left"/>
              <w:outlineLvl w:val="0"/>
              <w:rPr>
                <w:rFonts w:ascii="宋体" w:hAnsi="宋体" w:eastAsia="宋体" w:cs="Times New Roman"/>
              </w:rPr>
            </w:pPr>
          </w:p>
        </w:tc>
        <w:tc>
          <w:tcPr>
            <w:tcW w:w="708" w:type="dxa"/>
            <w:vMerge w:val="continue"/>
            <w:vAlign w:val="center"/>
          </w:tcPr>
          <w:p>
            <w:pPr>
              <w:spacing w:line="560" w:lineRule="exact"/>
              <w:jc w:val="left"/>
              <w:outlineLvl w:val="0"/>
              <w:rPr>
                <w:rFonts w:ascii="宋体" w:hAnsi="宋体" w:eastAsia="宋体" w:cs="Times New Roman"/>
              </w:rPr>
            </w:pPr>
          </w:p>
        </w:tc>
        <w:tc>
          <w:tcPr>
            <w:tcW w:w="993" w:type="dxa"/>
            <w:vMerge w:val="continue"/>
            <w:vAlign w:val="center"/>
          </w:tcPr>
          <w:p>
            <w:pPr>
              <w:spacing w:line="560" w:lineRule="exact"/>
              <w:jc w:val="left"/>
              <w:outlineLvl w:val="0"/>
              <w:rPr>
                <w:rFonts w:ascii="宋体" w:hAnsi="宋体" w:eastAsia="宋体" w:cs="Times New Roman"/>
              </w:rPr>
            </w:pPr>
          </w:p>
        </w:tc>
        <w:tc>
          <w:tcPr>
            <w:tcW w:w="992" w:type="dxa"/>
            <w:vMerge w:val="continue"/>
            <w:vAlign w:val="center"/>
          </w:tcPr>
          <w:p>
            <w:pPr>
              <w:spacing w:line="560" w:lineRule="exact"/>
              <w:jc w:val="left"/>
              <w:outlineLvl w:val="0"/>
              <w:rPr>
                <w:rFonts w:ascii="宋体" w:hAnsi="宋体" w:eastAsia="宋体" w:cs="Times New Roman"/>
              </w:rPr>
            </w:pPr>
          </w:p>
        </w:tc>
        <w:tc>
          <w:tcPr>
            <w:tcW w:w="425" w:type="dxa"/>
            <w:vMerge w:val="continue"/>
            <w:vAlign w:val="center"/>
          </w:tcPr>
          <w:p>
            <w:pPr>
              <w:spacing w:line="560" w:lineRule="exact"/>
              <w:jc w:val="left"/>
              <w:outlineLvl w:val="0"/>
              <w:rPr>
                <w:rFonts w:ascii="宋体" w:hAnsi="宋体" w:eastAsia="宋体" w:cs="Times New Roman"/>
              </w:rPr>
            </w:pPr>
          </w:p>
        </w:tc>
        <w:tc>
          <w:tcPr>
            <w:tcW w:w="567" w:type="dxa"/>
            <w:vMerge w:val="continue"/>
            <w:vAlign w:val="center"/>
          </w:tcPr>
          <w:p>
            <w:pPr>
              <w:spacing w:line="560" w:lineRule="exact"/>
              <w:jc w:val="left"/>
              <w:outlineLvl w:val="0"/>
              <w:rPr>
                <w:rFonts w:ascii="宋体" w:hAnsi="宋体" w:eastAsia="宋体" w:cs="Times New Roman"/>
              </w:rPr>
            </w:pPr>
          </w:p>
        </w:tc>
        <w:tc>
          <w:tcPr>
            <w:tcW w:w="709" w:type="dxa"/>
            <w:vMerge w:val="continue"/>
            <w:vAlign w:val="center"/>
          </w:tcPr>
          <w:p>
            <w:pPr>
              <w:spacing w:line="560" w:lineRule="exact"/>
              <w:jc w:val="left"/>
              <w:outlineLvl w:val="0"/>
              <w:rPr>
                <w:rFonts w:ascii="宋体" w:hAnsi="宋体" w:eastAsia="宋体" w:cs="Times New Roman"/>
              </w:rPr>
            </w:pPr>
          </w:p>
        </w:tc>
        <w:tc>
          <w:tcPr>
            <w:tcW w:w="709" w:type="dxa"/>
            <w:vMerge w:val="continue"/>
            <w:vAlign w:val="center"/>
          </w:tcPr>
          <w:p>
            <w:pPr>
              <w:spacing w:line="560" w:lineRule="exact"/>
              <w:jc w:val="left"/>
              <w:outlineLvl w:val="0"/>
              <w:rPr>
                <w:rFonts w:ascii="宋体" w:hAnsi="宋体" w:eastAsia="宋体" w:cs="Times New Roman"/>
              </w:rPr>
            </w:pPr>
          </w:p>
        </w:tc>
        <w:tc>
          <w:tcPr>
            <w:tcW w:w="843" w:type="dxa"/>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合计</w:t>
            </w:r>
          </w:p>
        </w:tc>
        <w:tc>
          <w:tcPr>
            <w:tcW w:w="562"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一般公共预算拨款</w:t>
            </w:r>
          </w:p>
        </w:tc>
        <w:tc>
          <w:tcPr>
            <w:tcW w:w="511"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基金预算拨款</w:t>
            </w:r>
          </w:p>
        </w:tc>
        <w:tc>
          <w:tcPr>
            <w:tcW w:w="551"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财政专户核拨</w:t>
            </w:r>
          </w:p>
        </w:tc>
        <w:tc>
          <w:tcPr>
            <w:tcW w:w="551" w:type="dxa"/>
            <w:gridSpan w:val="2"/>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其他来源收入</w:t>
            </w:r>
          </w:p>
        </w:tc>
        <w:tc>
          <w:tcPr>
            <w:tcW w:w="516" w:type="dxa"/>
            <w:vMerge w:val="continue"/>
            <w:vAlign w:val="center"/>
          </w:tcPr>
          <w:p>
            <w:pPr>
              <w:spacing w:line="280" w:lineRule="exact"/>
              <w:jc w:val="left"/>
              <w:outlineLvl w:val="0"/>
              <w:rPr>
                <w:rFonts w:ascii="宋体" w:hAnsi="宋体" w:eastAsia="宋体"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合　计</w:t>
            </w:r>
          </w:p>
        </w:tc>
        <w:tc>
          <w:tcPr>
            <w:tcW w:w="708" w:type="dxa"/>
            <w:vAlign w:val="center"/>
          </w:tcPr>
          <w:p>
            <w:pPr>
              <w:spacing w:line="560" w:lineRule="exact"/>
              <w:jc w:val="right"/>
              <w:rPr>
                <w:rFonts w:ascii="宋体" w:hAnsi="宋体" w:eastAsia="宋体" w:cs="Times New Roman"/>
                <w:b/>
                <w:bCs/>
              </w:rPr>
            </w:pPr>
          </w:p>
        </w:tc>
        <w:tc>
          <w:tcPr>
            <w:tcW w:w="993" w:type="dxa"/>
            <w:vAlign w:val="center"/>
          </w:tcPr>
          <w:p>
            <w:pPr>
              <w:spacing w:line="560" w:lineRule="exact"/>
              <w:jc w:val="left"/>
              <w:rPr>
                <w:rFonts w:ascii="宋体" w:hAnsi="宋体" w:eastAsia="宋体" w:cs="Times New Roman"/>
                <w:b/>
                <w:bCs/>
              </w:rPr>
            </w:pPr>
          </w:p>
        </w:tc>
        <w:tc>
          <w:tcPr>
            <w:tcW w:w="992" w:type="dxa"/>
            <w:vAlign w:val="center"/>
          </w:tcPr>
          <w:p>
            <w:pPr>
              <w:spacing w:line="560" w:lineRule="exact"/>
              <w:jc w:val="left"/>
              <w:rPr>
                <w:rFonts w:ascii="宋体" w:hAnsi="宋体" w:eastAsia="宋体" w:cs="Times New Roman"/>
                <w:b/>
                <w:bCs/>
              </w:rPr>
            </w:pPr>
          </w:p>
        </w:tc>
        <w:tc>
          <w:tcPr>
            <w:tcW w:w="425" w:type="dxa"/>
            <w:vAlign w:val="center"/>
          </w:tcPr>
          <w:p>
            <w:pPr>
              <w:spacing w:line="560" w:lineRule="exact"/>
              <w:jc w:val="left"/>
              <w:rPr>
                <w:rFonts w:ascii="宋体" w:hAnsi="宋体" w:eastAsia="宋体" w:cs="Times New Roman"/>
                <w:b/>
                <w:bCs/>
              </w:rPr>
            </w:pPr>
          </w:p>
        </w:tc>
        <w:tc>
          <w:tcPr>
            <w:tcW w:w="567" w:type="dxa"/>
            <w:vAlign w:val="center"/>
          </w:tcPr>
          <w:p>
            <w:pPr>
              <w:spacing w:line="560" w:lineRule="exact"/>
              <w:jc w:val="right"/>
              <w:rPr>
                <w:rFonts w:ascii="宋体" w:hAnsi="宋体" w:eastAsia="宋体" w:cs="Times New Roman"/>
                <w:b/>
                <w:bCs/>
              </w:rPr>
            </w:pPr>
          </w:p>
        </w:tc>
        <w:tc>
          <w:tcPr>
            <w:tcW w:w="709" w:type="dxa"/>
            <w:vAlign w:val="center"/>
          </w:tcPr>
          <w:p>
            <w:pPr>
              <w:spacing w:line="560" w:lineRule="exact"/>
              <w:jc w:val="right"/>
              <w:rPr>
                <w:rFonts w:ascii="宋体" w:hAnsi="宋体" w:eastAsia="宋体" w:cs="Times New Roman"/>
                <w:b/>
                <w:bCs/>
              </w:rPr>
            </w:pPr>
          </w:p>
        </w:tc>
        <w:tc>
          <w:tcPr>
            <w:tcW w:w="709"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w:t>
            </w:r>
          </w:p>
        </w:tc>
        <w:tc>
          <w:tcPr>
            <w:tcW w:w="843"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w:t>
            </w:r>
          </w:p>
        </w:tc>
        <w:tc>
          <w:tcPr>
            <w:tcW w:w="562" w:type="dxa"/>
            <w:vAlign w:val="center"/>
          </w:tcPr>
          <w:p>
            <w:pPr>
              <w:spacing w:line="560" w:lineRule="exact"/>
              <w:jc w:val="right"/>
              <w:rPr>
                <w:rFonts w:ascii="宋体" w:hAnsi="宋体" w:eastAsia="宋体" w:cs="Times New Roman"/>
                <w:b/>
                <w:bCs/>
              </w:rPr>
            </w:pPr>
          </w:p>
        </w:tc>
        <w:tc>
          <w:tcPr>
            <w:tcW w:w="511" w:type="dxa"/>
            <w:vAlign w:val="center"/>
          </w:tcPr>
          <w:p>
            <w:pPr>
              <w:spacing w:line="560" w:lineRule="exact"/>
              <w:jc w:val="right"/>
              <w:rPr>
                <w:rFonts w:ascii="宋体" w:hAnsi="宋体" w:eastAsia="宋体" w:cs="Times New Roman"/>
                <w:b/>
                <w:bCs/>
              </w:rPr>
            </w:pPr>
          </w:p>
        </w:tc>
        <w:tc>
          <w:tcPr>
            <w:tcW w:w="551" w:type="dxa"/>
            <w:vAlign w:val="center"/>
          </w:tcPr>
          <w:p>
            <w:pPr>
              <w:spacing w:line="560" w:lineRule="exact"/>
              <w:jc w:val="right"/>
              <w:rPr>
                <w:rFonts w:ascii="宋体" w:hAnsi="宋体" w:eastAsia="宋体" w:cs="Times New Roman"/>
                <w:b/>
                <w:bCs/>
              </w:rPr>
            </w:pPr>
          </w:p>
        </w:tc>
        <w:tc>
          <w:tcPr>
            <w:tcW w:w="551" w:type="dxa"/>
            <w:gridSpan w:val="2"/>
            <w:vAlign w:val="center"/>
          </w:tcPr>
          <w:p>
            <w:pPr>
              <w:spacing w:line="560" w:lineRule="exact"/>
              <w:jc w:val="right"/>
              <w:rPr>
                <w:rFonts w:ascii="宋体" w:hAnsi="宋体" w:eastAsia="宋体" w:cs="Times New Roman"/>
                <w:b/>
                <w:bCs/>
              </w:rPr>
            </w:pPr>
          </w:p>
        </w:tc>
        <w:tc>
          <w:tcPr>
            <w:tcW w:w="516" w:type="dxa"/>
            <w:vAlign w:val="center"/>
          </w:tcPr>
          <w:p>
            <w:pPr>
              <w:spacing w:line="560" w:lineRule="exact"/>
              <w:jc w:val="right"/>
              <w:rPr>
                <w:rFonts w:ascii="宋体" w:hAnsi="宋体" w:eastAsia="宋体" w:cs="Times New Roman"/>
                <w:b/>
                <w:bC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vAlign w:val="center"/>
          </w:tcPr>
          <w:p>
            <w:pPr>
              <w:spacing w:line="560" w:lineRule="exact"/>
              <w:jc w:val="center"/>
              <w:rPr>
                <w:rFonts w:ascii="宋体" w:hAnsi="宋体" w:eastAsia="宋体" w:cs="Times New Roman"/>
                <w:b/>
                <w:bCs/>
              </w:rPr>
            </w:pPr>
            <w:r>
              <w:rPr>
                <w:rFonts w:hint="eastAsia" w:ascii="宋体" w:hAnsi="宋体" w:eastAsia="宋体" w:cs="Times New Roman"/>
                <w:b/>
                <w:bCs/>
              </w:rPr>
              <w:t>日常公用经费</w:t>
            </w:r>
          </w:p>
        </w:tc>
        <w:tc>
          <w:tcPr>
            <w:tcW w:w="708"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w:t>
            </w:r>
          </w:p>
        </w:tc>
        <w:tc>
          <w:tcPr>
            <w:tcW w:w="993" w:type="dxa"/>
            <w:vAlign w:val="center"/>
          </w:tcPr>
          <w:p>
            <w:pPr>
              <w:spacing w:line="560" w:lineRule="exact"/>
              <w:jc w:val="left"/>
              <w:rPr>
                <w:rFonts w:ascii="宋体" w:hAnsi="宋体" w:eastAsia="宋体" w:cs="Times New Roman"/>
                <w:b/>
                <w:bCs/>
              </w:rPr>
            </w:pPr>
            <w:r>
              <w:rPr>
                <w:rFonts w:hint="eastAsia" w:ascii="宋体" w:hAnsi="宋体" w:eastAsia="宋体" w:cs="Times New Roman"/>
                <w:b/>
                <w:bCs/>
              </w:rPr>
              <w:t>电脑</w:t>
            </w:r>
          </w:p>
        </w:tc>
        <w:tc>
          <w:tcPr>
            <w:tcW w:w="992" w:type="dxa"/>
            <w:vAlign w:val="center"/>
          </w:tcPr>
          <w:p>
            <w:pPr>
              <w:spacing w:line="560" w:lineRule="exact"/>
              <w:jc w:val="left"/>
              <w:rPr>
                <w:rFonts w:ascii="宋体" w:hAnsi="宋体" w:eastAsia="宋体" w:cs="Times New Roman"/>
                <w:b/>
                <w:bCs/>
              </w:rPr>
            </w:pPr>
            <w:r>
              <w:rPr>
                <w:rFonts w:hint="eastAsia" w:ascii="宋体" w:hAnsi="宋体" w:eastAsia="宋体" w:cs="Times New Roman"/>
                <w:b/>
                <w:bCs/>
              </w:rPr>
              <w:t>A020199</w:t>
            </w:r>
          </w:p>
        </w:tc>
        <w:tc>
          <w:tcPr>
            <w:tcW w:w="425" w:type="dxa"/>
            <w:vAlign w:val="center"/>
          </w:tcPr>
          <w:p>
            <w:pPr>
              <w:spacing w:line="560" w:lineRule="exact"/>
              <w:jc w:val="left"/>
              <w:rPr>
                <w:rFonts w:ascii="宋体" w:hAnsi="宋体" w:eastAsia="宋体" w:cs="Times New Roman"/>
                <w:b/>
                <w:bCs/>
              </w:rPr>
            </w:pPr>
            <w:r>
              <w:rPr>
                <w:rFonts w:hint="eastAsia" w:ascii="宋体" w:hAnsi="宋体" w:eastAsia="宋体" w:cs="Times New Roman"/>
                <w:b/>
                <w:bCs/>
              </w:rPr>
              <w:t>台</w:t>
            </w:r>
          </w:p>
        </w:tc>
        <w:tc>
          <w:tcPr>
            <w:tcW w:w="567"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1</w:t>
            </w:r>
          </w:p>
        </w:tc>
        <w:tc>
          <w:tcPr>
            <w:tcW w:w="709"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w:t>
            </w:r>
          </w:p>
        </w:tc>
        <w:tc>
          <w:tcPr>
            <w:tcW w:w="709"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w:t>
            </w:r>
          </w:p>
        </w:tc>
        <w:tc>
          <w:tcPr>
            <w:tcW w:w="843"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w:t>
            </w:r>
          </w:p>
        </w:tc>
        <w:tc>
          <w:tcPr>
            <w:tcW w:w="562" w:type="dxa"/>
            <w:vAlign w:val="center"/>
          </w:tcPr>
          <w:p>
            <w:pPr>
              <w:spacing w:line="560" w:lineRule="exact"/>
              <w:jc w:val="right"/>
              <w:rPr>
                <w:rFonts w:ascii="宋体" w:hAnsi="宋体" w:eastAsia="宋体" w:cs="Times New Roman"/>
                <w:b/>
                <w:bCs/>
              </w:rPr>
            </w:pPr>
          </w:p>
        </w:tc>
        <w:tc>
          <w:tcPr>
            <w:tcW w:w="511" w:type="dxa"/>
            <w:vAlign w:val="center"/>
          </w:tcPr>
          <w:p>
            <w:pPr>
              <w:spacing w:line="560" w:lineRule="exact"/>
              <w:jc w:val="right"/>
              <w:rPr>
                <w:rFonts w:ascii="宋体" w:hAnsi="宋体" w:eastAsia="宋体" w:cs="Times New Roman"/>
                <w:b/>
                <w:bCs/>
              </w:rPr>
            </w:pPr>
          </w:p>
        </w:tc>
        <w:tc>
          <w:tcPr>
            <w:tcW w:w="551" w:type="dxa"/>
            <w:vAlign w:val="center"/>
          </w:tcPr>
          <w:p>
            <w:pPr>
              <w:spacing w:line="560" w:lineRule="exact"/>
              <w:jc w:val="right"/>
              <w:rPr>
                <w:rFonts w:ascii="宋体" w:hAnsi="宋体" w:eastAsia="宋体" w:cs="Times New Roman"/>
                <w:b/>
                <w:bCs/>
              </w:rPr>
            </w:pPr>
          </w:p>
        </w:tc>
        <w:tc>
          <w:tcPr>
            <w:tcW w:w="551" w:type="dxa"/>
            <w:gridSpan w:val="2"/>
            <w:vAlign w:val="center"/>
          </w:tcPr>
          <w:p>
            <w:pPr>
              <w:spacing w:line="560" w:lineRule="exact"/>
              <w:jc w:val="right"/>
              <w:rPr>
                <w:rFonts w:ascii="宋体" w:hAnsi="宋体" w:eastAsia="宋体" w:cs="Times New Roman"/>
                <w:b/>
                <w:bCs/>
              </w:rPr>
            </w:pPr>
          </w:p>
        </w:tc>
        <w:tc>
          <w:tcPr>
            <w:tcW w:w="516" w:type="dxa"/>
            <w:vAlign w:val="center"/>
          </w:tcPr>
          <w:p>
            <w:pPr>
              <w:spacing w:line="560" w:lineRule="exact"/>
              <w:jc w:val="right"/>
              <w:rPr>
                <w:rFonts w:ascii="宋体" w:hAnsi="宋体" w:eastAsia="宋体" w:cs="Times New Roman"/>
                <w:b/>
                <w:bCs/>
              </w:rPr>
            </w:pPr>
          </w:p>
        </w:tc>
      </w:tr>
    </w:tbl>
    <w:p>
      <w:pPr>
        <w:widowControl/>
        <w:spacing w:line="360" w:lineRule="auto"/>
        <w:ind w:firstLine="977" w:firstLineChars="304"/>
        <w:jc w:val="left"/>
        <w:rPr>
          <w:rFonts w:ascii="Calibri" w:hAnsi="Calibri" w:eastAsia="仿宋_GB2312" w:cs="Calibri"/>
          <w:b/>
          <w:kern w:val="0"/>
          <w:sz w:val="32"/>
          <w:szCs w:val="32"/>
        </w:rPr>
      </w:pPr>
      <w:r>
        <w:rPr>
          <w:rFonts w:hint="eastAsia" w:ascii="Calibri" w:hAnsi="Calibri" w:eastAsia="仿宋_GB2312" w:cs="Calibri"/>
          <w:b/>
          <w:kern w:val="0"/>
          <w:sz w:val="32"/>
          <w:szCs w:val="32"/>
        </w:rPr>
        <w:t>七、国有资产情况的说明</w:t>
      </w:r>
    </w:p>
    <w:p>
      <w:pPr>
        <w:widowControl/>
        <w:spacing w:line="360" w:lineRule="auto"/>
        <w:ind w:firstLine="972" w:firstLineChars="304"/>
        <w:jc w:val="left"/>
        <w:rPr>
          <w:rFonts w:ascii="仿宋_GB2312" w:hAnsi="Calibri" w:eastAsia="仿宋_GB2312" w:cs="仿宋_GB2312"/>
          <w:kern w:val="0"/>
          <w:sz w:val="32"/>
          <w:szCs w:val="32"/>
        </w:rPr>
      </w:pPr>
      <w:r>
        <w:rPr>
          <w:rFonts w:ascii="仿宋_GB2312" w:hAnsi="宋体" w:eastAsia="仿宋_GB2312" w:cs="宋体"/>
          <w:color w:val="333333"/>
          <w:kern w:val="0"/>
          <w:sz w:val="32"/>
          <w:szCs w:val="32"/>
        </w:rPr>
        <w:t>截止上年</w:t>
      </w:r>
      <w:r>
        <w:rPr>
          <w:rFonts w:ascii="仿宋_GB2312" w:hAnsi="Calibri" w:eastAsia="仿宋_GB2312" w:cs="仿宋_GB2312"/>
          <w:kern w:val="0"/>
          <w:sz w:val="32"/>
          <w:szCs w:val="32"/>
        </w:rPr>
        <w:t>末固定资产</w:t>
      </w:r>
      <w:r>
        <w:rPr>
          <w:rFonts w:hint="eastAsia" w:ascii="仿宋_GB2312" w:hAnsi="Calibri" w:eastAsia="仿宋_GB2312" w:cs="仿宋_GB2312"/>
          <w:kern w:val="0"/>
          <w:sz w:val="32"/>
          <w:szCs w:val="32"/>
          <w:lang w:eastAsia="zh-CN"/>
        </w:rPr>
        <w:t>账面</w:t>
      </w:r>
      <w:bookmarkStart w:id="0" w:name="_GoBack"/>
      <w:bookmarkEnd w:id="0"/>
      <w:r>
        <w:rPr>
          <w:rFonts w:ascii="仿宋_GB2312" w:hAnsi="Calibri" w:eastAsia="仿宋_GB2312" w:cs="仿宋_GB2312"/>
          <w:kern w:val="0"/>
          <w:sz w:val="32"/>
          <w:szCs w:val="32"/>
        </w:rPr>
        <w:t>结余</w:t>
      </w:r>
      <w:r>
        <w:rPr>
          <w:rFonts w:hint="eastAsia" w:ascii="仿宋_GB2312" w:hAnsi="Calibri" w:eastAsia="仿宋_GB2312" w:cs="仿宋_GB2312"/>
          <w:kern w:val="0"/>
          <w:sz w:val="32"/>
          <w:szCs w:val="32"/>
        </w:rPr>
        <w:t>155.76</w:t>
      </w:r>
      <w:r>
        <w:rPr>
          <w:rFonts w:ascii="仿宋_GB2312" w:hAnsi="Calibri" w:eastAsia="仿宋_GB2312" w:cs="仿宋_GB2312"/>
          <w:kern w:val="0"/>
          <w:sz w:val="32"/>
          <w:szCs w:val="32"/>
        </w:rPr>
        <w:t>万元。</w:t>
      </w:r>
      <w:r>
        <w:rPr>
          <w:rFonts w:hint="eastAsia" w:ascii="仿宋_GB2312" w:hAnsi="Calibri" w:eastAsia="仿宋_GB2312" w:cs="仿宋_GB2312"/>
          <w:kern w:val="0"/>
          <w:sz w:val="32"/>
          <w:szCs w:val="32"/>
        </w:rPr>
        <w:t>其他固定资产包括打印机2台，电脑5台，办公桌椅15个等。</w:t>
      </w:r>
    </w:p>
    <w:tbl>
      <w:tblPr>
        <w:tblStyle w:val="6"/>
        <w:tblW w:w="9060" w:type="dxa"/>
        <w:tblInd w:w="-106" w:type="dxa"/>
        <w:tblLayout w:type="fixed"/>
        <w:tblCellMar>
          <w:top w:w="0" w:type="dxa"/>
          <w:left w:w="108" w:type="dxa"/>
          <w:bottom w:w="0" w:type="dxa"/>
          <w:right w:w="108" w:type="dxa"/>
        </w:tblCellMar>
      </w:tblPr>
      <w:tblGrid>
        <w:gridCol w:w="4139"/>
        <w:gridCol w:w="855"/>
        <w:gridCol w:w="4066"/>
      </w:tblGrid>
      <w:tr>
        <w:tblPrEx>
          <w:tblCellMar>
            <w:top w:w="0" w:type="dxa"/>
            <w:left w:w="108" w:type="dxa"/>
            <w:bottom w:w="0" w:type="dxa"/>
            <w:right w:w="108" w:type="dxa"/>
          </w:tblCellMar>
        </w:tblPrEx>
        <w:trPr>
          <w:trHeight w:val="705" w:hRule="atLeast"/>
        </w:trPr>
        <w:tc>
          <w:tcPr>
            <w:tcW w:w="9060" w:type="dxa"/>
            <w:gridSpan w:val="3"/>
            <w:tcBorders>
              <w:top w:val="nil"/>
              <w:left w:val="nil"/>
              <w:bottom w:val="nil"/>
              <w:right w:val="nil"/>
            </w:tcBorders>
            <w:vAlign w:val="center"/>
          </w:tcPr>
          <w:p>
            <w:pPr>
              <w:widowControl/>
              <w:jc w:val="center"/>
              <w:rPr>
                <w:rFonts w:ascii="宋体" w:hAnsi="宋体" w:eastAsia="宋体" w:cs="Times New Roman"/>
                <w:b/>
                <w:bCs/>
                <w:kern w:val="0"/>
                <w:sz w:val="32"/>
                <w:szCs w:val="32"/>
              </w:rPr>
            </w:pPr>
            <w:r>
              <w:rPr>
                <w:rFonts w:hint="eastAsia" w:ascii="宋体" w:hAnsi="宋体" w:eastAsia="宋体" w:cs="宋体"/>
                <w:b/>
                <w:bCs/>
                <w:kern w:val="0"/>
                <w:sz w:val="32"/>
                <w:szCs w:val="32"/>
              </w:rPr>
              <w:t>部门固定资产占用情况表</w:t>
            </w:r>
          </w:p>
        </w:tc>
      </w:tr>
      <w:tr>
        <w:tblPrEx>
          <w:tblCellMar>
            <w:top w:w="0" w:type="dxa"/>
            <w:left w:w="108" w:type="dxa"/>
            <w:bottom w:w="0" w:type="dxa"/>
            <w:right w:w="108" w:type="dxa"/>
          </w:tblCellMar>
        </w:tblPrEx>
        <w:trPr>
          <w:trHeight w:val="510" w:hRule="atLeast"/>
        </w:trPr>
        <w:tc>
          <w:tcPr>
            <w:tcW w:w="4994" w:type="dxa"/>
            <w:gridSpan w:val="2"/>
            <w:tcBorders>
              <w:top w:val="nil"/>
              <w:left w:val="nil"/>
              <w:bottom w:val="nil"/>
              <w:right w:val="nil"/>
            </w:tcBorders>
            <w:vAlign w:val="center"/>
          </w:tcPr>
          <w:p>
            <w:pPr>
              <w:widowControl/>
              <w:jc w:val="left"/>
              <w:rPr>
                <w:rFonts w:ascii="宋体" w:hAnsi="宋体" w:eastAsia="宋体" w:cs="Times New Roman"/>
                <w:kern w:val="0"/>
                <w:sz w:val="22"/>
              </w:rPr>
            </w:pPr>
            <w:r>
              <w:rPr>
                <w:rFonts w:hint="eastAsia" w:ascii="宋体" w:hAnsi="宋体" w:eastAsia="宋体" w:cs="宋体"/>
                <w:kern w:val="0"/>
                <w:sz w:val="22"/>
              </w:rPr>
              <w:t>编制部门：</w:t>
            </w:r>
            <w:r>
              <w:rPr>
                <w:rFonts w:hint="eastAsia" w:ascii="宋体" w:hAnsi="宋体" w:eastAsia="宋体" w:cs="方正小标宋_GBK"/>
                <w:sz w:val="24"/>
                <w:szCs w:val="24"/>
              </w:rPr>
              <w:t>成安县总工会</w:t>
            </w:r>
          </w:p>
        </w:tc>
        <w:tc>
          <w:tcPr>
            <w:tcW w:w="4066" w:type="dxa"/>
            <w:tcBorders>
              <w:top w:val="nil"/>
              <w:left w:val="nil"/>
              <w:bottom w:val="nil"/>
              <w:right w:val="nil"/>
            </w:tcBorders>
            <w:vAlign w:val="center"/>
          </w:tcPr>
          <w:p>
            <w:pPr>
              <w:widowControl/>
              <w:ind w:firstLine="550" w:firstLineChars="250"/>
              <w:jc w:val="left"/>
              <w:rPr>
                <w:rFonts w:ascii="宋体" w:hAnsi="宋体" w:eastAsia="宋体" w:cs="宋体"/>
                <w:kern w:val="0"/>
                <w:sz w:val="22"/>
              </w:rPr>
            </w:pPr>
            <w:r>
              <w:rPr>
                <w:rFonts w:hint="eastAsia" w:ascii="宋体" w:hAnsi="宋体" w:eastAsia="宋体" w:cs="宋体"/>
                <w:kern w:val="0"/>
                <w:sz w:val="22"/>
              </w:rPr>
              <w:t>截止时间：2019年</w:t>
            </w:r>
            <w:r>
              <w:rPr>
                <w:rFonts w:ascii="宋体" w:hAnsi="宋体" w:eastAsia="宋体" w:cs="宋体"/>
                <w:kern w:val="0"/>
                <w:sz w:val="22"/>
              </w:rPr>
              <w:t>12</w:t>
            </w:r>
            <w:r>
              <w:rPr>
                <w:rFonts w:hint="eastAsia" w:ascii="宋体" w:hAnsi="宋体" w:eastAsia="宋体" w:cs="宋体"/>
                <w:kern w:val="0"/>
                <w:sz w:val="22"/>
              </w:rPr>
              <w:t>月</w:t>
            </w:r>
            <w:r>
              <w:rPr>
                <w:rFonts w:ascii="宋体" w:hAnsi="宋体" w:eastAsia="宋体" w:cs="宋体"/>
                <w:kern w:val="0"/>
                <w:sz w:val="22"/>
              </w:rPr>
              <w:t>31</w:t>
            </w:r>
            <w:r>
              <w:rPr>
                <w:rFonts w:hint="eastAsia" w:ascii="宋体" w:hAnsi="宋体" w:eastAsia="宋体" w:cs="宋体"/>
                <w:kern w:val="0"/>
                <w:sz w:val="22"/>
              </w:rPr>
              <w:t>日</w:t>
            </w:r>
          </w:p>
        </w:tc>
      </w:tr>
      <w:tr>
        <w:tblPrEx>
          <w:tblCellMar>
            <w:top w:w="0" w:type="dxa"/>
            <w:left w:w="108" w:type="dxa"/>
            <w:bottom w:w="0" w:type="dxa"/>
            <w:right w:w="108" w:type="dxa"/>
          </w:tblCellMar>
        </w:tblPrEx>
        <w:trPr>
          <w:trHeight w:val="645" w:hRule="atLeast"/>
        </w:trPr>
        <w:tc>
          <w:tcPr>
            <w:tcW w:w="41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项目</w:t>
            </w:r>
          </w:p>
        </w:tc>
        <w:tc>
          <w:tcPr>
            <w:tcW w:w="855"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数量</w:t>
            </w:r>
          </w:p>
        </w:tc>
        <w:tc>
          <w:tcPr>
            <w:tcW w:w="4066"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价值（金额单位：万元）</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宋体"/>
                <w:kern w:val="0"/>
                <w:sz w:val="22"/>
              </w:rPr>
              <w:t>资产总额</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22"/>
              </w:rPr>
            </w:pPr>
            <w:r>
              <w:rPr>
                <w:rFonts w:ascii="宋体" w:hAnsi="宋体" w:eastAsia="宋体" w:cs="宋体"/>
                <w:kern w:val="0"/>
                <w:sz w:val="22"/>
              </w:rPr>
              <w:t>——</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155.76</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1</w:t>
            </w:r>
            <w:r>
              <w:rPr>
                <w:rFonts w:hint="eastAsia" w:ascii="宋体" w:hAnsi="宋体" w:eastAsia="宋体" w:cs="宋体"/>
                <w:kern w:val="0"/>
                <w:sz w:val="22"/>
              </w:rPr>
              <w:t>、房屋（平方米）</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hint="eastAsia" w:ascii="宋体" w:hAnsi="宋体" w:eastAsia="宋体" w:cs="宋体"/>
                <w:kern w:val="0"/>
                <w:sz w:val="22"/>
              </w:rPr>
              <w:t>其中：办公用房（平方米）</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960</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98.8</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2</w:t>
            </w:r>
            <w:r>
              <w:rPr>
                <w:rFonts w:hint="eastAsia" w:ascii="宋体" w:hAnsi="宋体" w:eastAsia="宋体" w:cs="宋体"/>
                <w:kern w:val="0"/>
                <w:sz w:val="22"/>
              </w:rPr>
              <w:t>、车辆（台、辆）</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3</w:t>
            </w:r>
            <w:r>
              <w:rPr>
                <w:rFonts w:hint="eastAsia" w:ascii="宋体" w:hAnsi="宋体" w:eastAsia="宋体" w:cs="宋体"/>
                <w:kern w:val="0"/>
                <w:sz w:val="22"/>
              </w:rPr>
              <w:t>、单价在</w:t>
            </w:r>
            <w:r>
              <w:rPr>
                <w:rFonts w:ascii="宋体" w:hAnsi="宋体" w:eastAsia="宋体" w:cs="宋体"/>
                <w:kern w:val="0"/>
                <w:sz w:val="22"/>
              </w:rPr>
              <w:t>50</w:t>
            </w:r>
            <w:r>
              <w:rPr>
                <w:rFonts w:hint="eastAsia" w:ascii="宋体" w:hAnsi="宋体" w:eastAsia="宋体" w:cs="宋体"/>
                <w:kern w:val="0"/>
                <w:sz w:val="22"/>
              </w:rPr>
              <w:t>万元以上的设备</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4</w:t>
            </w:r>
            <w:r>
              <w:rPr>
                <w:rFonts w:hint="eastAsia" w:ascii="宋体" w:hAnsi="宋体" w:eastAsia="宋体" w:cs="宋体"/>
                <w:kern w:val="0"/>
                <w:sz w:val="22"/>
              </w:rPr>
              <w:t>、其他固定资产</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50</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56.97</w:t>
            </w:r>
          </w:p>
        </w:tc>
      </w:tr>
    </w:tbl>
    <w:p>
      <w:pPr>
        <w:widowControl/>
        <w:spacing w:line="360" w:lineRule="auto"/>
        <w:ind w:firstLine="972" w:firstLineChars="304"/>
        <w:jc w:val="left"/>
        <w:rPr>
          <w:rFonts w:ascii="仿宋_GB2312" w:hAnsi="Calibri" w:eastAsia="仿宋_GB2312" w:cs="仿宋_GB2312"/>
          <w:kern w:val="0"/>
          <w:sz w:val="32"/>
          <w:szCs w:val="32"/>
        </w:rPr>
      </w:pPr>
    </w:p>
    <w:p>
      <w:pPr>
        <w:widowControl/>
        <w:spacing w:line="360" w:lineRule="auto"/>
        <w:jc w:val="left"/>
        <w:rPr>
          <w:rFonts w:ascii="仿宋_GB2312" w:hAnsi="Calibri" w:eastAsia="仿宋_GB2312" w:cs="仿宋_GB2312"/>
          <w:b/>
          <w:kern w:val="0"/>
          <w:sz w:val="32"/>
          <w:szCs w:val="32"/>
        </w:rPr>
      </w:pPr>
    </w:p>
    <w:p>
      <w:pPr>
        <w:widowControl/>
        <w:spacing w:line="360" w:lineRule="auto"/>
        <w:ind w:firstLine="643" w:firstLineChars="200"/>
        <w:jc w:val="left"/>
        <w:rPr>
          <w:rFonts w:ascii="仿宋" w:hAnsi="仿宋" w:eastAsia="仿宋" w:cs="仿宋"/>
          <w:kern w:val="0"/>
          <w:sz w:val="32"/>
          <w:szCs w:val="32"/>
        </w:rPr>
      </w:pPr>
      <w:r>
        <w:rPr>
          <w:rFonts w:hint="eastAsia" w:ascii="仿宋_GB2312" w:hAnsi="Calibri" w:eastAsia="仿宋_GB2312" w:cs="仿宋_GB2312"/>
          <w:b/>
          <w:kern w:val="0"/>
          <w:sz w:val="32"/>
          <w:szCs w:val="32"/>
        </w:rPr>
        <w:t>八、</w:t>
      </w:r>
      <w:r>
        <w:rPr>
          <w:rFonts w:hint="eastAsia" w:ascii="仿宋" w:hAnsi="仿宋" w:eastAsia="仿宋" w:cs="仿宋"/>
          <w:b/>
          <w:kern w:val="0"/>
          <w:sz w:val="32"/>
          <w:szCs w:val="32"/>
        </w:rPr>
        <w:t>名词解释</w:t>
      </w:r>
      <w:r>
        <w:rPr>
          <w:rFonts w:hint="eastAsia" w:ascii="仿宋" w:hAnsi="仿宋" w:eastAsia="仿宋" w:cs="仿宋"/>
          <w:kern w:val="0"/>
          <w:sz w:val="32"/>
          <w:szCs w:val="32"/>
        </w:rPr>
        <w:t> </w:t>
      </w:r>
    </w:p>
    <w:p>
      <w:pPr>
        <w:widowControl/>
        <w:numPr>
          <w:ilvl w:val="0"/>
          <w:numId w:val="3"/>
        </w:numPr>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财政拨款收入：指</w:t>
      </w:r>
      <w:r>
        <w:rPr>
          <w:rFonts w:hint="eastAsia" w:ascii="仿宋" w:hAnsi="仿宋" w:eastAsia="仿宋" w:cs="仿宋"/>
          <w:kern w:val="0"/>
          <w:sz w:val="32"/>
          <w:szCs w:val="32"/>
        </w:rPr>
        <w:t>财政当年拨付的资金。</w:t>
      </w:r>
    </w:p>
    <w:p>
      <w:pPr>
        <w:widowControl/>
        <w:spacing w:line="360" w:lineRule="auto"/>
        <w:ind w:firstLine="640" w:firstLineChars="200"/>
        <w:jc w:val="left"/>
        <w:rPr>
          <w:rFonts w:ascii="Calibri" w:hAnsi="Calibri" w:eastAsia="仿宋_GB2312" w:cs="Calibri"/>
          <w:b/>
          <w:kern w:val="0"/>
          <w:sz w:val="32"/>
          <w:szCs w:val="32"/>
        </w:rPr>
      </w:pPr>
      <w:r>
        <w:rPr>
          <w:rFonts w:hint="eastAsia" w:ascii="仿宋" w:hAnsi="仿宋" w:eastAsia="仿宋" w:cs="仿宋"/>
          <w:kern w:val="0"/>
          <w:sz w:val="32"/>
          <w:szCs w:val="32"/>
        </w:rPr>
        <w:t>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w:t>
      </w:r>
    </w:p>
    <w:p>
      <w:pPr>
        <w:widowControl/>
        <w:spacing w:line="360" w:lineRule="auto"/>
        <w:ind w:firstLine="480" w:firstLineChars="200"/>
        <w:jc w:val="left"/>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 3</w:t>
      </w:r>
      <w:r>
        <w:rPr>
          <w:rFonts w:hint="eastAsia" w:ascii="仿宋" w:hAnsi="仿宋" w:eastAsia="仿宋" w:cs="仿宋"/>
          <w:b/>
          <w:kern w:val="0"/>
          <w:sz w:val="32"/>
          <w:szCs w:val="32"/>
        </w:rPr>
        <w:t>、年初结转和结余</w:t>
      </w:r>
      <w:r>
        <w:rPr>
          <w:rFonts w:hint="eastAsia" w:ascii="仿宋" w:hAnsi="仿宋" w:eastAsia="仿宋" w:cs="仿宋"/>
          <w:kern w:val="0"/>
          <w:sz w:val="32"/>
          <w:szCs w:val="32"/>
        </w:rPr>
        <w:t>：指以前年度尚未完成，结转到本年仍按照原规定用途继续使用的资金，或项目已完成等产生的结余资金。</w:t>
      </w:r>
    </w:p>
    <w:p>
      <w:pPr>
        <w:widowControl/>
        <w:spacing w:line="360" w:lineRule="auto"/>
        <w:ind w:firstLine="643" w:firstLineChars="200"/>
        <w:jc w:val="left"/>
        <w:rPr>
          <w:rFonts w:ascii="仿宋" w:hAnsi="仿宋" w:eastAsia="仿宋" w:cs="仿宋"/>
          <w:kern w:val="0"/>
          <w:sz w:val="32"/>
          <w:szCs w:val="32"/>
        </w:rPr>
      </w:pPr>
      <w:r>
        <w:rPr>
          <w:rFonts w:hint="eastAsia" w:ascii="仿宋" w:hAnsi="仿宋" w:eastAsia="仿宋" w:cs="仿宋"/>
          <w:b/>
          <w:kern w:val="0"/>
          <w:sz w:val="32"/>
          <w:szCs w:val="32"/>
        </w:rPr>
        <w:t> 4、基本支出</w:t>
      </w:r>
      <w:r>
        <w:rPr>
          <w:rFonts w:hint="eastAsia" w:ascii="仿宋" w:hAnsi="仿宋" w:eastAsia="仿宋" w:cs="仿宋"/>
          <w:kern w:val="0"/>
          <w:sz w:val="32"/>
          <w:szCs w:val="32"/>
        </w:rPr>
        <w:t>：指单位为了保障其正常运转、完成日常工作任务而发生的人员支出和公用支出。</w:t>
      </w:r>
    </w:p>
    <w:p>
      <w:pPr>
        <w:widowControl/>
        <w:spacing w:line="360" w:lineRule="auto"/>
        <w:ind w:firstLine="643" w:firstLineChars="200"/>
        <w:jc w:val="left"/>
        <w:rPr>
          <w:rFonts w:ascii="Calibri" w:hAnsi="Calibri" w:eastAsia="仿宋_GB2312" w:cs="Calibri"/>
          <w:b/>
          <w:kern w:val="0"/>
          <w:sz w:val="32"/>
          <w:szCs w:val="32"/>
        </w:rPr>
      </w:pPr>
      <w:r>
        <w:rPr>
          <w:rFonts w:hint="eastAsia" w:ascii="仿宋" w:hAnsi="仿宋" w:eastAsia="仿宋" w:cs="仿宋"/>
          <w:b/>
          <w:kern w:val="0"/>
          <w:sz w:val="32"/>
          <w:szCs w:val="32"/>
        </w:rPr>
        <w:t> 5、项目支出：</w:t>
      </w:r>
      <w:r>
        <w:rPr>
          <w:rFonts w:hint="eastAsia" w:ascii="仿宋" w:hAnsi="仿宋" w:eastAsia="仿宋" w:cs="仿宋"/>
          <w:kern w:val="0"/>
          <w:sz w:val="32"/>
          <w:szCs w:val="32"/>
        </w:rPr>
        <w:t>指单位为了特定的工作任务和事业发展目标，在基本支出之外所发生的支出。</w:t>
      </w:r>
    </w:p>
    <w:p>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pPr>
        <w:widowControl/>
        <w:spacing w:line="360" w:lineRule="auto"/>
        <w:ind w:firstLine="640" w:firstLineChars="200"/>
        <w:jc w:val="left"/>
        <w:rPr>
          <w:rFonts w:ascii="仿宋" w:hAnsi="仿宋" w:eastAsia="仿宋" w:cs="仿宋"/>
          <w:szCs w:val="24"/>
        </w:rPr>
      </w:pPr>
      <w:r>
        <w:rPr>
          <w:rFonts w:hint="eastAsia" w:ascii="仿宋" w:hAnsi="仿宋" w:eastAsia="仿宋" w:cs="仿宋"/>
          <w:kern w:val="0"/>
          <w:sz w:val="32"/>
          <w:szCs w:val="32"/>
        </w:rPr>
        <w:t>无。</w:t>
      </w:r>
    </w:p>
    <w:p>
      <w:pPr>
        <w:widowControl/>
        <w:spacing w:line="360" w:lineRule="auto"/>
        <w:ind w:firstLine="420" w:firstLineChars="200"/>
        <w:jc w:val="left"/>
      </w:pPr>
    </w:p>
    <w:sectPr>
      <w:pgSz w:w="11907" w:h="16839"/>
      <w:pgMar w:top="1020" w:right="1134" w:bottom="1020" w:left="1134" w:header="851" w:footer="992" w:gutter="0"/>
      <w:cols w:space="0" w:num="1"/>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书宋_GBK">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roma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BCCB38"/>
    <w:multiLevelType w:val="singleLevel"/>
    <w:tmpl w:val="58BCCB38"/>
    <w:lvl w:ilvl="0" w:tentative="0">
      <w:start w:val="1"/>
      <w:numFmt w:val="decimal"/>
      <w:suff w:val="nothing"/>
      <w:lvlText w:val="%1、"/>
      <w:lvlJc w:val="left"/>
    </w:lvl>
  </w:abstractNum>
  <w:abstractNum w:abstractNumId="1">
    <w:nsid w:val="5A0BB78E"/>
    <w:multiLevelType w:val="singleLevel"/>
    <w:tmpl w:val="5A0BB78E"/>
    <w:lvl w:ilvl="0" w:tentative="0">
      <w:start w:val="1"/>
      <w:numFmt w:val="decimal"/>
      <w:suff w:val="nothing"/>
      <w:lvlText w:val="%1、"/>
      <w:lvlJc w:val="left"/>
    </w:lvl>
  </w:abstractNum>
  <w:abstractNum w:abstractNumId="2">
    <w:nsid w:val="66163943"/>
    <w:multiLevelType w:val="multilevel"/>
    <w:tmpl w:val="66163943"/>
    <w:lvl w:ilvl="0" w:tentative="0">
      <w:start w:val="6"/>
      <w:numFmt w:val="japaneseCounting"/>
      <w:lvlText w:val="%1、"/>
      <w:lvlJc w:val="left"/>
      <w:pPr>
        <w:ind w:left="2138" w:hanging="720"/>
      </w:pPr>
      <w:rPr>
        <w:rFonts w:hint="default" w:ascii="仿宋" w:hAnsi="仿宋" w:eastAsia="仿宋" w:cs="仿宋"/>
        <w:b/>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810D6"/>
    <w:rsid w:val="000054B6"/>
    <w:rsid w:val="000913EF"/>
    <w:rsid w:val="00093BE4"/>
    <w:rsid w:val="000A75FA"/>
    <w:rsid w:val="000C2470"/>
    <w:rsid w:val="000D231C"/>
    <w:rsid w:val="000D2EB9"/>
    <w:rsid w:val="001774CF"/>
    <w:rsid w:val="00190CEB"/>
    <w:rsid w:val="00194D6B"/>
    <w:rsid w:val="001D7F45"/>
    <w:rsid w:val="002330F2"/>
    <w:rsid w:val="00236B7F"/>
    <w:rsid w:val="0024293E"/>
    <w:rsid w:val="002C4EB8"/>
    <w:rsid w:val="002D43D8"/>
    <w:rsid w:val="002E3A95"/>
    <w:rsid w:val="002F418A"/>
    <w:rsid w:val="00355C43"/>
    <w:rsid w:val="00371AE6"/>
    <w:rsid w:val="003730D4"/>
    <w:rsid w:val="003D4B92"/>
    <w:rsid w:val="00480169"/>
    <w:rsid w:val="004A12F5"/>
    <w:rsid w:val="004A6C19"/>
    <w:rsid w:val="004C3904"/>
    <w:rsid w:val="00535949"/>
    <w:rsid w:val="00545E8E"/>
    <w:rsid w:val="005D136A"/>
    <w:rsid w:val="005E274B"/>
    <w:rsid w:val="00601E9C"/>
    <w:rsid w:val="0061371F"/>
    <w:rsid w:val="0062621A"/>
    <w:rsid w:val="006560E8"/>
    <w:rsid w:val="00657C7F"/>
    <w:rsid w:val="00685811"/>
    <w:rsid w:val="006B09CB"/>
    <w:rsid w:val="006D1C5B"/>
    <w:rsid w:val="006E52CB"/>
    <w:rsid w:val="00724FE1"/>
    <w:rsid w:val="007A507B"/>
    <w:rsid w:val="007D6BF0"/>
    <w:rsid w:val="008058DC"/>
    <w:rsid w:val="008C479C"/>
    <w:rsid w:val="008C7744"/>
    <w:rsid w:val="009E611A"/>
    <w:rsid w:val="009F3C82"/>
    <w:rsid w:val="00A07D70"/>
    <w:rsid w:val="00A1130B"/>
    <w:rsid w:val="00A35FC1"/>
    <w:rsid w:val="00A41E4B"/>
    <w:rsid w:val="00A61E29"/>
    <w:rsid w:val="00A6226E"/>
    <w:rsid w:val="00A80198"/>
    <w:rsid w:val="00AE29B6"/>
    <w:rsid w:val="00B138E4"/>
    <w:rsid w:val="00B520FF"/>
    <w:rsid w:val="00B851DF"/>
    <w:rsid w:val="00C0352F"/>
    <w:rsid w:val="00CB110A"/>
    <w:rsid w:val="00CC2644"/>
    <w:rsid w:val="00D945ED"/>
    <w:rsid w:val="00E73D1B"/>
    <w:rsid w:val="00E810D6"/>
    <w:rsid w:val="00EA4B50"/>
    <w:rsid w:val="00EF1266"/>
    <w:rsid w:val="00F37FAA"/>
    <w:rsid w:val="00F4740D"/>
    <w:rsid w:val="00F53FC9"/>
    <w:rsid w:val="00F80D85"/>
    <w:rsid w:val="00FF5661"/>
    <w:rsid w:val="013B67CD"/>
    <w:rsid w:val="016C22DD"/>
    <w:rsid w:val="01CA412B"/>
    <w:rsid w:val="037D399A"/>
    <w:rsid w:val="03B213E5"/>
    <w:rsid w:val="043852C1"/>
    <w:rsid w:val="047F71D2"/>
    <w:rsid w:val="06096D52"/>
    <w:rsid w:val="063402B1"/>
    <w:rsid w:val="06550E5D"/>
    <w:rsid w:val="0726741C"/>
    <w:rsid w:val="078B752A"/>
    <w:rsid w:val="08D34D69"/>
    <w:rsid w:val="09E50DB9"/>
    <w:rsid w:val="0B6C587A"/>
    <w:rsid w:val="0BB759F9"/>
    <w:rsid w:val="0CBF7A43"/>
    <w:rsid w:val="0DD4180B"/>
    <w:rsid w:val="130B706D"/>
    <w:rsid w:val="13161153"/>
    <w:rsid w:val="139106CF"/>
    <w:rsid w:val="13DE0FA8"/>
    <w:rsid w:val="163506CD"/>
    <w:rsid w:val="17252863"/>
    <w:rsid w:val="175940C0"/>
    <w:rsid w:val="17C16AC9"/>
    <w:rsid w:val="180D78B9"/>
    <w:rsid w:val="1AEF7278"/>
    <w:rsid w:val="1B2A5EA4"/>
    <w:rsid w:val="1CC97251"/>
    <w:rsid w:val="1CEB0A1C"/>
    <w:rsid w:val="1D0F12B6"/>
    <w:rsid w:val="1E8167C1"/>
    <w:rsid w:val="1EAA0AE1"/>
    <w:rsid w:val="1FDE5432"/>
    <w:rsid w:val="21AA2D40"/>
    <w:rsid w:val="21B66276"/>
    <w:rsid w:val="228819EE"/>
    <w:rsid w:val="2716314B"/>
    <w:rsid w:val="288A4B30"/>
    <w:rsid w:val="28E516DB"/>
    <w:rsid w:val="299267B6"/>
    <w:rsid w:val="2AD57C75"/>
    <w:rsid w:val="2BAA47A7"/>
    <w:rsid w:val="2CC1056F"/>
    <w:rsid w:val="2DCE40BA"/>
    <w:rsid w:val="2E066AE5"/>
    <w:rsid w:val="2E2777CE"/>
    <w:rsid w:val="2EE04A84"/>
    <w:rsid w:val="2F887EEE"/>
    <w:rsid w:val="31D059F4"/>
    <w:rsid w:val="332A0BBD"/>
    <w:rsid w:val="3387759D"/>
    <w:rsid w:val="351C5D1D"/>
    <w:rsid w:val="36DF5EE5"/>
    <w:rsid w:val="38963AA1"/>
    <w:rsid w:val="39461E7C"/>
    <w:rsid w:val="39A75722"/>
    <w:rsid w:val="3B6E7B6E"/>
    <w:rsid w:val="3C712CD5"/>
    <w:rsid w:val="3CEC5D53"/>
    <w:rsid w:val="3F0567FC"/>
    <w:rsid w:val="3F2305E6"/>
    <w:rsid w:val="3F331926"/>
    <w:rsid w:val="441C57E9"/>
    <w:rsid w:val="44240E6E"/>
    <w:rsid w:val="44986D47"/>
    <w:rsid w:val="456A5D0D"/>
    <w:rsid w:val="457C0C14"/>
    <w:rsid w:val="45AF507C"/>
    <w:rsid w:val="45B90BF3"/>
    <w:rsid w:val="460143F1"/>
    <w:rsid w:val="475B18CD"/>
    <w:rsid w:val="49994B41"/>
    <w:rsid w:val="4A4F1F05"/>
    <w:rsid w:val="4B7040C7"/>
    <w:rsid w:val="4CA957E7"/>
    <w:rsid w:val="4D9730D4"/>
    <w:rsid w:val="4E11191B"/>
    <w:rsid w:val="4E4335D2"/>
    <w:rsid w:val="4F4F374A"/>
    <w:rsid w:val="56783930"/>
    <w:rsid w:val="59AF56D7"/>
    <w:rsid w:val="5AA21FFC"/>
    <w:rsid w:val="5B2B3FCD"/>
    <w:rsid w:val="5BAE356C"/>
    <w:rsid w:val="5CB07A05"/>
    <w:rsid w:val="5ED17601"/>
    <w:rsid w:val="5F525C02"/>
    <w:rsid w:val="612F2391"/>
    <w:rsid w:val="61897173"/>
    <w:rsid w:val="63F21B1B"/>
    <w:rsid w:val="65493192"/>
    <w:rsid w:val="665451BF"/>
    <w:rsid w:val="666C26EF"/>
    <w:rsid w:val="69C753B6"/>
    <w:rsid w:val="69DA4533"/>
    <w:rsid w:val="6A804B8A"/>
    <w:rsid w:val="6B1A4039"/>
    <w:rsid w:val="6B511389"/>
    <w:rsid w:val="6D036829"/>
    <w:rsid w:val="6D5763C1"/>
    <w:rsid w:val="6D81148F"/>
    <w:rsid w:val="6E8006EE"/>
    <w:rsid w:val="6ECC4D84"/>
    <w:rsid w:val="70BA2DA1"/>
    <w:rsid w:val="71B87B2B"/>
    <w:rsid w:val="729B4F6A"/>
    <w:rsid w:val="733E01F4"/>
    <w:rsid w:val="7424079F"/>
    <w:rsid w:val="74C9628B"/>
    <w:rsid w:val="74D4598A"/>
    <w:rsid w:val="763743A2"/>
    <w:rsid w:val="76FD3FC3"/>
    <w:rsid w:val="7AA5545A"/>
    <w:rsid w:val="7BAA5900"/>
    <w:rsid w:val="7D9A3104"/>
    <w:rsid w:val="7DB94919"/>
    <w:rsid w:val="7E215BF5"/>
    <w:rsid w:val="7EC03A0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 w:type="paragraph" w:customStyle="1" w:styleId="10">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7ACF57-8828-43D0-9BBB-1BDEF357003D}">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Pages>
  <Words>2716</Words>
  <Characters>2890</Characters>
  <Lines>22</Lines>
  <Paragraphs>6</Paragraphs>
  <TotalTime>14</TotalTime>
  <ScaleCrop>false</ScaleCrop>
  <LinksUpToDate>false</LinksUpToDate>
  <CharactersWithSpaces>2899</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lenovo</cp:lastModifiedBy>
  <cp:lastPrinted>2016-04-01T02:44:00Z</cp:lastPrinted>
  <dcterms:modified xsi:type="dcterms:W3CDTF">2025-10-27T01:30:48Z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KSOTemplateDocerSaveRecord">
    <vt:lpwstr>eyJoZGlkIjoiMmJhYTk2OGM5M2Q4NTRjZGM1Y2ZiZWQyNjg4NDkxMDkiLCJ1c2VySWQiOiIzNjIxMDYwODIifQ==</vt:lpwstr>
  </property>
  <property fmtid="{D5CDD505-2E9C-101B-9397-08002B2CF9AE}" pid="4" name="ICV">
    <vt:lpwstr>3132D05D47644CDCA6BC01CF9864A1FD_12</vt:lpwstr>
  </property>
</Properties>
</file>