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b/>
          <w:sz w:val="44"/>
          <w:szCs w:val="44"/>
        </w:rPr>
      </w:pPr>
    </w:p>
    <w:p>
      <w:pPr>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成安县纪律检查委员会</w:t>
      </w:r>
    </w:p>
    <w:p>
      <w:pPr>
        <w:jc w:val="center"/>
        <w:rPr>
          <w:rFonts w:hint="eastAsia" w:asciiTheme="majorEastAsia" w:hAnsiTheme="majorEastAsia" w:eastAsiaTheme="majorEastAsia"/>
          <w:b/>
          <w:sz w:val="44"/>
          <w:szCs w:val="44"/>
        </w:rPr>
      </w:pPr>
      <w:r>
        <w:rPr>
          <w:rFonts w:hint="eastAsia" w:asciiTheme="majorEastAsia" w:hAnsiTheme="majorEastAsia" w:eastAsiaTheme="majorEastAsia"/>
          <w:b/>
          <w:sz w:val="44"/>
          <w:szCs w:val="44"/>
        </w:rPr>
        <w:t>2020年部门预算公开情况说明</w:t>
      </w:r>
    </w:p>
    <w:p>
      <w:pPr>
        <w:jc w:val="center"/>
        <w:rPr>
          <w:rFonts w:asciiTheme="majorEastAsia" w:hAnsiTheme="majorEastAsia" w:eastAsiaTheme="majorEastAsia"/>
          <w:b/>
          <w:sz w:val="30"/>
          <w:szCs w:val="30"/>
        </w:rPr>
      </w:pPr>
    </w:p>
    <w:p>
      <w:pPr>
        <w:widowControl/>
        <w:spacing w:line="360" w:lineRule="auto"/>
        <w:ind w:firstLine="640" w:firstLineChars="200"/>
        <w:jc w:val="left"/>
        <w:rPr>
          <w:rFonts w:ascii="仿宋" w:hAnsi="仿宋" w:eastAsia="仿宋" w:cs="仿宋_GB2312"/>
          <w:kern w:val="0"/>
          <w:sz w:val="32"/>
          <w:szCs w:val="32"/>
        </w:rPr>
      </w:pPr>
      <w:r>
        <w:rPr>
          <w:rFonts w:ascii="仿宋" w:hAnsi="仿宋" w:eastAsia="仿宋" w:cs="仿宋_GB2312"/>
          <w:sz w:val="32"/>
          <w:szCs w:val="32"/>
        </w:rPr>
        <w:t>按照《</w:t>
      </w:r>
      <w:r>
        <w:rPr>
          <w:rFonts w:hint="eastAsia" w:ascii="仿宋" w:hAnsi="仿宋" w:eastAsia="仿宋" w:cs="仿宋_GB2312"/>
          <w:sz w:val="32"/>
          <w:szCs w:val="32"/>
          <w:lang w:val="en-US" w:eastAsia="zh-CN"/>
        </w:rPr>
        <w:t>中华人民共和国</w:t>
      </w:r>
      <w:r>
        <w:rPr>
          <w:rFonts w:ascii="仿宋" w:hAnsi="仿宋" w:eastAsia="仿宋" w:cs="仿宋_GB2312"/>
          <w:sz w:val="32"/>
          <w:szCs w:val="32"/>
        </w:rPr>
        <w:t>预算法》有关规定</w:t>
      </w:r>
      <w:r>
        <w:rPr>
          <w:rFonts w:hint="eastAsia" w:ascii="仿宋" w:hAnsi="仿宋" w:eastAsia="仿宋" w:cs="仿宋_GB2312"/>
          <w:sz w:val="32"/>
          <w:szCs w:val="32"/>
        </w:rPr>
        <w:t>和</w:t>
      </w:r>
      <w:r>
        <w:rPr>
          <w:rFonts w:ascii="仿宋" w:hAnsi="仿宋" w:eastAsia="仿宋" w:cs="楷体_GB2312"/>
          <w:sz w:val="32"/>
          <w:szCs w:val="32"/>
        </w:rPr>
        <w:t>财政部关于印发《地方预决算公开操作规程》的通知，</w:t>
      </w:r>
      <w:r>
        <w:rPr>
          <w:rFonts w:ascii="仿宋" w:hAnsi="仿宋" w:eastAsia="仿宋" w:cs="仿宋_GB2312"/>
          <w:kern w:val="0"/>
          <w:sz w:val="32"/>
          <w:szCs w:val="32"/>
        </w:rPr>
        <w:t>现将</w:t>
      </w:r>
      <w:r>
        <w:rPr>
          <w:rFonts w:hint="eastAsia" w:ascii="仿宋" w:hAnsi="仿宋" w:eastAsia="仿宋" w:cs="仿宋_GB2312"/>
          <w:kern w:val="0"/>
          <w:sz w:val="32"/>
          <w:szCs w:val="32"/>
        </w:rPr>
        <w:t>成安县纪律检查委员会</w:t>
      </w:r>
      <w:r>
        <w:rPr>
          <w:rFonts w:ascii="仿宋" w:hAnsi="仿宋" w:eastAsia="仿宋" w:cs="仿宋_GB2312"/>
          <w:kern w:val="0"/>
          <w:sz w:val="32"/>
          <w:szCs w:val="32"/>
        </w:rPr>
        <w:t>局20</w:t>
      </w:r>
      <w:r>
        <w:rPr>
          <w:rFonts w:hint="eastAsia" w:ascii="仿宋" w:hAnsi="仿宋" w:eastAsia="仿宋" w:cs="仿宋_GB2312"/>
          <w:kern w:val="0"/>
          <w:sz w:val="32"/>
          <w:szCs w:val="32"/>
        </w:rPr>
        <w:t>20</w:t>
      </w:r>
      <w:r>
        <w:rPr>
          <w:rFonts w:ascii="仿宋" w:hAnsi="仿宋" w:eastAsia="仿宋" w:cs="仿宋_GB2312"/>
          <w:kern w:val="0"/>
          <w:sz w:val="32"/>
          <w:szCs w:val="32"/>
        </w:rPr>
        <w:t>年部门预算公开如下</w:t>
      </w:r>
      <w:r>
        <w:rPr>
          <w:rFonts w:hint="eastAsia" w:ascii="仿宋" w:hAnsi="仿宋" w:eastAsia="仿宋" w:cs="仿宋_GB2312"/>
          <w:kern w:val="0"/>
          <w:sz w:val="32"/>
          <w:szCs w:val="32"/>
        </w:rPr>
        <w:t>：</w:t>
      </w:r>
    </w:p>
    <w:p>
      <w:pPr>
        <w:widowControl/>
        <w:numPr>
          <w:ilvl w:val="0"/>
          <w:numId w:val="1"/>
        </w:numPr>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部门职责及机构设置情况</w:t>
      </w:r>
    </w:p>
    <w:p>
      <w:pPr>
        <w:ind w:firstLine="640" w:firstLineChars="200"/>
        <w:rPr>
          <w:rFonts w:ascii="仿宋" w:hAnsi="仿宋" w:eastAsia="仿宋" w:cs="仿宋"/>
          <w:sz w:val="32"/>
          <w:szCs w:val="32"/>
        </w:rPr>
      </w:pPr>
      <w:r>
        <w:rPr>
          <w:rFonts w:hint="eastAsia" w:ascii="仿宋" w:hAnsi="仿宋" w:eastAsia="仿宋" w:cs="仿宋"/>
          <w:sz w:val="32"/>
          <w:szCs w:val="32"/>
        </w:rPr>
        <w:t>（一）主管全县党的纪律检查工作，负责贯彻落实上级党委和县委关于加强党风廉政建设的决定，维护党的章程和党的法规，检查党的路线、方针、政策和决议的执行情况。</w:t>
      </w:r>
    </w:p>
    <w:p>
      <w:pPr>
        <w:ind w:firstLine="640" w:firstLineChars="200"/>
        <w:rPr>
          <w:rFonts w:ascii="仿宋" w:hAnsi="仿宋" w:eastAsia="仿宋" w:cs="仿宋"/>
          <w:sz w:val="32"/>
          <w:szCs w:val="32"/>
        </w:rPr>
      </w:pPr>
      <w:r>
        <w:rPr>
          <w:rFonts w:hint="eastAsia" w:ascii="仿宋" w:hAnsi="仿宋" w:eastAsia="仿宋" w:cs="仿宋"/>
          <w:sz w:val="32"/>
          <w:szCs w:val="32"/>
        </w:rPr>
        <w:t>（二）主管全县行政监察工作，负责贯彻落实上级党委和政府有关行政监察工作的决定，监督检查县政府各部门及其工作人员和县辖乡镇（场）政府及其负责人执行国家政策、法律、法规、国民经济和社会发展计划以及政府颁发的决定、决议、命令的情况。</w:t>
      </w:r>
    </w:p>
    <w:p>
      <w:pPr>
        <w:ind w:firstLine="640" w:firstLineChars="200"/>
        <w:rPr>
          <w:rFonts w:ascii="仿宋" w:hAnsi="仿宋" w:eastAsia="仿宋" w:cs="仿宋"/>
          <w:sz w:val="32"/>
          <w:szCs w:val="32"/>
        </w:rPr>
      </w:pPr>
      <w:r>
        <w:rPr>
          <w:rFonts w:hint="eastAsia" w:ascii="仿宋" w:hAnsi="仿宋" w:eastAsia="仿宋" w:cs="仿宋"/>
          <w:sz w:val="32"/>
          <w:szCs w:val="32"/>
        </w:rPr>
        <w:t>（三）负责检查并处理县委和县政府各部门、各乡镇（场）党的组织和县委管理的党员领导干部违反党的章程及党内法规的案件，按照干部管理权限和任命程序，决定和取销对这些案件中的党员的处分；受理党员的控告和申诉，必要时直接查处下级党的纪律检查机关管辖范围内的比较重要或复杂的案件。</w:t>
      </w:r>
    </w:p>
    <w:p>
      <w:pPr>
        <w:ind w:firstLine="640" w:firstLineChars="200"/>
        <w:rPr>
          <w:rFonts w:ascii="仿宋" w:hAnsi="仿宋" w:eastAsia="仿宋" w:cs="仿宋"/>
          <w:sz w:val="32"/>
          <w:szCs w:val="32"/>
        </w:rPr>
      </w:pPr>
      <w:r>
        <w:rPr>
          <w:rFonts w:hint="eastAsia" w:ascii="仿宋" w:hAnsi="仿宋" w:eastAsia="仿宋" w:cs="仿宋"/>
          <w:sz w:val="32"/>
          <w:szCs w:val="32"/>
        </w:rPr>
        <w:t>（四）负责调查处理县政府各部门及其工作人员，县辖乡镇（场）政府及其负责人违反国家政策、法律、法规以及违反政纪的行为，并根据责任人所犯错误的情节轻重，按照干部管理权限和任命程序，作出撤职及撤职以下的行政处分的决定；受理监察对象不服政纪处分的申诉，受理个人或单位对监察对象违纪行为的检举、控告。</w:t>
      </w:r>
    </w:p>
    <w:p>
      <w:pPr>
        <w:ind w:firstLine="640" w:firstLineChars="200"/>
        <w:rPr>
          <w:rFonts w:ascii="仿宋" w:hAnsi="仿宋" w:eastAsia="仿宋" w:cs="仿宋"/>
          <w:sz w:val="32"/>
          <w:szCs w:val="32"/>
        </w:rPr>
      </w:pPr>
      <w:r>
        <w:rPr>
          <w:rFonts w:hint="eastAsia" w:ascii="仿宋" w:hAnsi="仿宋" w:eastAsia="仿宋" w:cs="仿宋"/>
          <w:sz w:val="32"/>
          <w:szCs w:val="32"/>
        </w:rPr>
        <w:t>（五）负责监督检查、综合分析全县党风廉政建设情况；组织实施全县关于党风廉政建设的工作部署，抓好党风廉政建设责任制的落实，指导和督促下级纪检监察组织党风廉政建设业务工作；组织实施全县性或重要的党风廉政建设检查活动和廉政建设专项治理活动；负责管理领导干部廉洁自律工作；配合组织部门抓好乡科级班子民生活会的落实。</w:t>
      </w:r>
    </w:p>
    <w:p>
      <w:pPr>
        <w:ind w:firstLine="640" w:firstLineChars="200"/>
        <w:rPr>
          <w:rFonts w:ascii="仿宋" w:hAnsi="仿宋" w:eastAsia="仿宋" w:cs="仿宋"/>
          <w:sz w:val="32"/>
          <w:szCs w:val="32"/>
        </w:rPr>
      </w:pPr>
      <w:r>
        <w:rPr>
          <w:rFonts w:hint="eastAsia" w:ascii="仿宋" w:hAnsi="仿宋" w:eastAsia="仿宋" w:cs="仿宋"/>
          <w:sz w:val="32"/>
          <w:szCs w:val="32"/>
        </w:rPr>
        <w:t>（六）负责组织、督促、检查、指导对普遍性、倾向性不正之风的纠正工作；调查研究、综合分析部门和行业不正之风情况，提出纠正措施；承办不正之风典型案件的查处等工作。</w:t>
      </w:r>
    </w:p>
    <w:p>
      <w:pPr>
        <w:ind w:firstLine="640" w:firstLineChars="200"/>
        <w:rPr>
          <w:rFonts w:ascii="仿宋" w:hAnsi="仿宋" w:eastAsia="仿宋" w:cs="仿宋"/>
          <w:sz w:val="32"/>
          <w:szCs w:val="32"/>
        </w:rPr>
      </w:pPr>
      <w:r>
        <w:rPr>
          <w:rFonts w:hint="eastAsia" w:ascii="仿宋" w:hAnsi="仿宋" w:eastAsia="仿宋" w:cs="仿宋"/>
          <w:sz w:val="32"/>
          <w:szCs w:val="32"/>
        </w:rPr>
        <w:t>（七）指导全县纪检监察系统开展执法监察，监督检查贯彻执行党的路线、方针、政策和国家法律、法规、决定、命令的情况；负责承办执法监察事项，并将执法监察中发现的违法违纪案件线索转交有关部门处理。</w:t>
      </w:r>
    </w:p>
    <w:p>
      <w:pPr>
        <w:ind w:firstLine="640" w:firstLineChars="200"/>
        <w:rPr>
          <w:rFonts w:ascii="仿宋" w:hAnsi="仿宋" w:eastAsia="仿宋" w:cs="仿宋"/>
          <w:sz w:val="32"/>
          <w:szCs w:val="32"/>
        </w:rPr>
      </w:pPr>
      <w:r>
        <w:rPr>
          <w:rFonts w:hint="eastAsia" w:ascii="仿宋" w:hAnsi="仿宋" w:eastAsia="仿宋" w:cs="仿宋"/>
          <w:sz w:val="32"/>
          <w:szCs w:val="32"/>
        </w:rPr>
        <w:t>（八）负责作出关于维护党纪的决定，制定党风党纪教育计划，配合有关部门做好党的纪检工作方针、政策的宣传和对党员遵守纪律的教育工作。</w:t>
      </w:r>
    </w:p>
    <w:p>
      <w:pPr>
        <w:ind w:firstLine="640" w:firstLineChars="200"/>
        <w:rPr>
          <w:rFonts w:ascii="仿宋" w:hAnsi="仿宋" w:eastAsia="仿宋" w:cs="仿宋"/>
          <w:sz w:val="32"/>
          <w:szCs w:val="32"/>
        </w:rPr>
      </w:pPr>
      <w:r>
        <w:rPr>
          <w:rFonts w:hint="eastAsia" w:ascii="仿宋" w:hAnsi="仿宋" w:eastAsia="仿宋" w:cs="仿宋"/>
          <w:sz w:val="32"/>
          <w:szCs w:val="32"/>
        </w:rPr>
        <w:t>（九）会同有关部门做好行政监察工作的方针、政策和法规的宣传工作，教育国家工作人员遵纪守法、为政清廉。</w:t>
      </w:r>
    </w:p>
    <w:p>
      <w:pPr>
        <w:ind w:firstLine="640" w:firstLineChars="200"/>
        <w:rPr>
          <w:rFonts w:ascii="仿宋" w:hAnsi="仿宋" w:eastAsia="仿宋" w:cs="仿宋"/>
          <w:sz w:val="32"/>
          <w:szCs w:val="32"/>
        </w:rPr>
      </w:pPr>
      <w:r>
        <w:rPr>
          <w:rFonts w:hint="eastAsia" w:ascii="仿宋" w:hAnsi="仿宋" w:eastAsia="仿宋" w:cs="仿宋"/>
          <w:sz w:val="32"/>
          <w:szCs w:val="32"/>
        </w:rPr>
        <w:t>（十）负责对党的纪律检查和行政监察工作理论及有关问题进行调查研究，根据我县实际，草拟有关地方性规定。</w:t>
      </w:r>
    </w:p>
    <w:p>
      <w:pPr>
        <w:ind w:firstLine="640" w:firstLineChars="200"/>
        <w:rPr>
          <w:rFonts w:ascii="仿宋" w:hAnsi="仿宋" w:eastAsia="仿宋" w:cs="仿宋"/>
          <w:sz w:val="32"/>
          <w:szCs w:val="32"/>
        </w:rPr>
      </w:pPr>
      <w:r>
        <w:rPr>
          <w:rFonts w:hint="eastAsia" w:ascii="仿宋" w:hAnsi="仿宋" w:eastAsia="仿宋" w:cs="仿宋"/>
          <w:sz w:val="32"/>
          <w:szCs w:val="32"/>
        </w:rPr>
        <w:t>（十一）调查研究县政府各部门和县辖乡镇（场）政府制定规定的情况，对其违反国家法律和有关国家利益的条款，提出修改、补充的建议；变更或撤销乡镇（场）行政监察组织不适当的决定和规定。</w:t>
      </w:r>
    </w:p>
    <w:p>
      <w:pPr>
        <w:ind w:firstLine="640" w:firstLineChars="200"/>
        <w:rPr>
          <w:rFonts w:ascii="仿宋" w:hAnsi="仿宋" w:eastAsia="仿宋" w:cs="仿宋"/>
          <w:sz w:val="32"/>
          <w:szCs w:val="32"/>
        </w:rPr>
      </w:pPr>
      <w:r>
        <w:rPr>
          <w:rFonts w:hint="eastAsia" w:ascii="仿宋" w:hAnsi="仿宋" w:eastAsia="仿宋" w:cs="仿宋"/>
          <w:sz w:val="32"/>
          <w:szCs w:val="32"/>
        </w:rPr>
        <w:t>（十二）抓好纪检监察干部队伍的管理；考察、审核县辖乡镇（场）纪委领导班子和监察组领导干部、纪工委监察分局干部以及县直有关部门的纪委、纪检（监察）组领导干部人选，组织和指导全县纪检监察系统干部的培训工作。</w:t>
      </w:r>
    </w:p>
    <w:p>
      <w:pPr>
        <w:ind w:firstLine="640" w:firstLineChars="200"/>
        <w:rPr>
          <w:rFonts w:ascii="仿宋" w:hAnsi="仿宋" w:eastAsia="仿宋" w:cs="仿宋"/>
          <w:sz w:val="32"/>
          <w:szCs w:val="32"/>
        </w:rPr>
      </w:pPr>
      <w:r>
        <w:rPr>
          <w:rFonts w:hint="eastAsia" w:ascii="仿宋" w:hAnsi="仿宋" w:eastAsia="仿宋" w:cs="仿宋"/>
          <w:sz w:val="32"/>
          <w:szCs w:val="32"/>
        </w:rPr>
        <w:t>（十三）承办县委、县政府交办的其他工作。</w:t>
      </w:r>
    </w:p>
    <w:p>
      <w:pPr>
        <w:widowControl/>
        <w:spacing w:line="360" w:lineRule="auto"/>
        <w:ind w:firstLine="641" w:firstLineChars="200"/>
        <w:jc w:val="left"/>
        <w:rPr>
          <w:rFonts w:ascii="华文楷体" w:hAnsi="华文楷体" w:eastAsia="华文楷体" w:cs="Calibri"/>
          <w:b/>
          <w:kern w:val="0"/>
          <w:sz w:val="32"/>
          <w:szCs w:val="32"/>
        </w:rPr>
      </w:pPr>
      <w:r>
        <w:rPr>
          <w:rFonts w:ascii="华文楷体" w:hAnsi="华文楷体" w:eastAsia="华文楷体" w:cs="Calibri"/>
          <w:b/>
          <w:kern w:val="0"/>
          <w:sz w:val="32"/>
          <w:szCs w:val="32"/>
        </w:rPr>
        <w:t>机构</w:t>
      </w:r>
      <w:r>
        <w:rPr>
          <w:rFonts w:hint="eastAsia" w:ascii="华文楷体" w:hAnsi="华文楷体" w:eastAsia="华文楷体" w:cs="Calibri"/>
          <w:b/>
          <w:kern w:val="0"/>
          <w:sz w:val="32"/>
          <w:szCs w:val="32"/>
        </w:rPr>
        <w:t>设置：</w:t>
      </w:r>
    </w:p>
    <w:p>
      <w:pPr>
        <w:jc w:val="center"/>
        <w:outlineLvl w:val="0"/>
        <w:rPr>
          <w:rFonts w:ascii="仿宋" w:hAnsi="仿宋" w:eastAsia="仿宋" w:cs="Times New Roman"/>
          <w:sz w:val="32"/>
          <w:szCs w:val="32"/>
        </w:rPr>
      </w:pPr>
      <w:r>
        <w:rPr>
          <w:rFonts w:hint="eastAsia" w:ascii="仿宋" w:hAnsi="仿宋" w:eastAsia="仿宋" w:cs="方正小标宋_GBK"/>
          <w:sz w:val="32"/>
          <w:szCs w:val="32"/>
        </w:rPr>
        <w:t>部门机构设置情况</w:t>
      </w:r>
    </w:p>
    <w:tbl>
      <w:tblPr>
        <w:tblStyle w:val="6"/>
        <w:tblW w:w="86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467"/>
        <w:gridCol w:w="1415"/>
        <w:gridCol w:w="1701"/>
        <w:gridCol w:w="20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单位名称</w:t>
            </w:r>
          </w:p>
        </w:tc>
        <w:tc>
          <w:tcPr>
            <w:tcW w:w="1415"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单位性质</w:t>
            </w:r>
          </w:p>
        </w:tc>
        <w:tc>
          <w:tcPr>
            <w:tcW w:w="1701"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单位规格</w:t>
            </w:r>
          </w:p>
        </w:tc>
        <w:tc>
          <w:tcPr>
            <w:tcW w:w="2046" w:type="dxa"/>
            <w:vMerge w:val="restart"/>
            <w:vAlign w:val="center"/>
          </w:tcPr>
          <w:p>
            <w:pPr>
              <w:spacing w:line="300" w:lineRule="exact"/>
              <w:jc w:val="center"/>
              <w:rPr>
                <w:rFonts w:ascii="仿宋" w:hAnsi="仿宋" w:eastAsia="仿宋" w:cs="Times New Roman"/>
                <w:bCs/>
                <w:sz w:val="28"/>
                <w:szCs w:val="28"/>
              </w:rPr>
            </w:pPr>
            <w:r>
              <w:rPr>
                <w:rFonts w:hint="eastAsia" w:ascii="仿宋" w:hAnsi="仿宋" w:eastAsia="仿宋" w:cs="方正书宋_GBK"/>
                <w:bCs/>
                <w:sz w:val="28"/>
                <w:szCs w:val="28"/>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3467" w:type="dxa"/>
            <w:vMerge w:val="continue"/>
            <w:vAlign w:val="center"/>
          </w:tcPr>
          <w:p>
            <w:pPr>
              <w:spacing w:line="300" w:lineRule="exact"/>
              <w:jc w:val="left"/>
              <w:outlineLvl w:val="0"/>
              <w:rPr>
                <w:rFonts w:ascii="仿宋" w:hAnsi="仿宋" w:eastAsia="仿宋" w:cs="Times New Roman"/>
                <w:sz w:val="28"/>
                <w:szCs w:val="28"/>
              </w:rPr>
            </w:pPr>
          </w:p>
        </w:tc>
        <w:tc>
          <w:tcPr>
            <w:tcW w:w="1415" w:type="dxa"/>
            <w:vMerge w:val="continue"/>
            <w:vAlign w:val="center"/>
          </w:tcPr>
          <w:p>
            <w:pPr>
              <w:spacing w:line="300" w:lineRule="exact"/>
              <w:jc w:val="left"/>
              <w:outlineLvl w:val="0"/>
              <w:rPr>
                <w:rFonts w:ascii="仿宋" w:hAnsi="仿宋" w:eastAsia="仿宋" w:cs="Times New Roman"/>
                <w:sz w:val="28"/>
                <w:szCs w:val="28"/>
              </w:rPr>
            </w:pPr>
          </w:p>
        </w:tc>
        <w:tc>
          <w:tcPr>
            <w:tcW w:w="1701" w:type="dxa"/>
            <w:vMerge w:val="continue"/>
            <w:vAlign w:val="center"/>
          </w:tcPr>
          <w:p>
            <w:pPr>
              <w:spacing w:line="300" w:lineRule="exact"/>
              <w:jc w:val="left"/>
              <w:outlineLvl w:val="0"/>
              <w:rPr>
                <w:rFonts w:ascii="仿宋" w:hAnsi="仿宋" w:eastAsia="仿宋" w:cs="Times New Roman"/>
                <w:sz w:val="28"/>
                <w:szCs w:val="28"/>
              </w:rPr>
            </w:pPr>
          </w:p>
        </w:tc>
        <w:tc>
          <w:tcPr>
            <w:tcW w:w="2046" w:type="dxa"/>
            <w:vMerge w:val="continue"/>
            <w:vAlign w:val="center"/>
          </w:tcPr>
          <w:p>
            <w:pPr>
              <w:spacing w:line="300" w:lineRule="exact"/>
              <w:jc w:val="left"/>
              <w:outlineLvl w:val="0"/>
              <w:rPr>
                <w:rFonts w:ascii="仿宋" w:hAnsi="仿宋" w:eastAsia="仿宋" w:cs="Times New Roman"/>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4" w:hRule="atLeast"/>
          <w:jc w:val="center"/>
        </w:trPr>
        <w:tc>
          <w:tcPr>
            <w:tcW w:w="3467" w:type="dxa"/>
            <w:vAlign w:val="center"/>
          </w:tcPr>
          <w:p>
            <w:pPr>
              <w:spacing w:line="300" w:lineRule="exact"/>
              <w:jc w:val="left"/>
              <w:rPr>
                <w:rFonts w:ascii="仿宋" w:hAnsi="仿宋" w:eastAsia="仿宋" w:cs="Times New Roman"/>
                <w:sz w:val="28"/>
                <w:szCs w:val="28"/>
              </w:rPr>
            </w:pPr>
            <w:r>
              <w:rPr>
                <w:rFonts w:hint="eastAsia" w:ascii="仿宋" w:hAnsi="仿宋" w:eastAsia="仿宋" w:cs="仿宋"/>
                <w:bCs/>
                <w:kern w:val="0"/>
                <w:sz w:val="28"/>
                <w:szCs w:val="28"/>
              </w:rPr>
              <w:t>成安县成安县纪律检查委员会</w:t>
            </w:r>
          </w:p>
        </w:tc>
        <w:tc>
          <w:tcPr>
            <w:tcW w:w="1415"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0" w:hRule="atLeast"/>
          <w:jc w:val="center"/>
        </w:trPr>
        <w:tc>
          <w:tcPr>
            <w:tcW w:w="3467" w:type="dxa"/>
            <w:vAlign w:val="center"/>
          </w:tcPr>
          <w:p>
            <w:pPr>
              <w:spacing w:line="300" w:lineRule="exact"/>
              <w:jc w:val="left"/>
              <w:rPr>
                <w:rFonts w:ascii="仿宋" w:hAnsi="仿宋" w:eastAsia="仿宋" w:cs="Times New Roman"/>
              </w:rPr>
            </w:pPr>
            <w:r>
              <w:rPr>
                <w:rFonts w:hint="eastAsia" w:ascii="仿宋" w:hAnsi="仿宋" w:eastAsia="仿宋" w:cs="Times New Roman"/>
                <w:sz w:val="28"/>
                <w:szCs w:val="28"/>
              </w:rPr>
              <w:t>成安县监察局</w:t>
            </w:r>
          </w:p>
        </w:tc>
        <w:tc>
          <w:tcPr>
            <w:tcW w:w="1415"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行政</w:t>
            </w:r>
          </w:p>
        </w:tc>
        <w:tc>
          <w:tcPr>
            <w:tcW w:w="1701"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县级</w:t>
            </w:r>
          </w:p>
        </w:tc>
        <w:tc>
          <w:tcPr>
            <w:tcW w:w="2046" w:type="dxa"/>
            <w:vAlign w:val="center"/>
          </w:tcPr>
          <w:p>
            <w:pPr>
              <w:spacing w:line="300" w:lineRule="exact"/>
              <w:jc w:val="center"/>
              <w:rPr>
                <w:rFonts w:ascii="仿宋" w:hAnsi="仿宋" w:eastAsia="仿宋" w:cs="Times New Roman"/>
                <w:sz w:val="28"/>
                <w:szCs w:val="28"/>
              </w:rPr>
            </w:pPr>
            <w:r>
              <w:rPr>
                <w:rFonts w:hint="eastAsia" w:ascii="仿宋" w:hAnsi="仿宋" w:eastAsia="仿宋" w:cs="Times New Roman"/>
                <w:sz w:val="28"/>
                <w:szCs w:val="28"/>
              </w:rPr>
              <w:t>财政拨款</w:t>
            </w:r>
          </w:p>
        </w:tc>
      </w:tr>
    </w:tbl>
    <w:p>
      <w:pPr>
        <w:widowControl/>
        <w:spacing w:line="360" w:lineRule="auto"/>
        <w:jc w:val="left"/>
        <w:rPr>
          <w:rFonts w:ascii="仿宋" w:hAnsi="仿宋" w:eastAsia="仿宋" w:cs="仿宋"/>
          <w:bCs/>
          <w:kern w:val="0"/>
          <w:sz w:val="32"/>
          <w:szCs w:val="32"/>
        </w:rPr>
      </w:pPr>
      <w:r>
        <w:rPr>
          <w:rFonts w:hint="eastAsia" w:ascii="仿宋" w:hAnsi="仿宋" w:eastAsia="仿宋" w:cs="仿宋"/>
          <w:bCs/>
          <w:kern w:val="0"/>
          <w:sz w:val="32"/>
          <w:szCs w:val="32"/>
        </w:rPr>
        <w:t>成安县成安县纪律检查委员会预算编码是320，内设23个机构。</w:t>
      </w:r>
    </w:p>
    <w:p>
      <w:pPr>
        <w:widowControl/>
        <w:spacing w:line="360" w:lineRule="auto"/>
        <w:ind w:left="420" w:leftChars="200"/>
        <w:jc w:val="left"/>
        <w:rPr>
          <w:rFonts w:ascii="华文楷体" w:hAnsi="华文楷体" w:eastAsia="华文楷体"/>
          <w:b/>
          <w:color w:val="000000"/>
          <w:sz w:val="32"/>
          <w:szCs w:val="32"/>
        </w:rPr>
      </w:pPr>
      <w:r>
        <w:rPr>
          <w:rFonts w:hint="eastAsia" w:ascii="华文楷体" w:hAnsi="华文楷体" w:eastAsia="华文楷体" w:cs="仿宋"/>
          <w:b/>
          <w:bCs/>
          <w:kern w:val="0"/>
          <w:sz w:val="32"/>
          <w:szCs w:val="32"/>
        </w:rPr>
        <w:t>办公室</w:t>
      </w:r>
    </w:p>
    <w:p>
      <w:pPr>
        <w:widowControl/>
        <w:spacing w:line="360" w:lineRule="auto"/>
        <w:ind w:firstLine="640" w:firstLineChars="200"/>
        <w:jc w:val="left"/>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1）负责处理委局机关日常事务，负责县纪委全委会、常委会议、县纪委书记办公会、监察局长办公会及其他重要会议、活动的筹备组织工作，负责与县纪委委员的联系；</w:t>
      </w:r>
    </w:p>
    <w:p>
      <w:pPr>
        <w:adjustRightInd w:val="0"/>
        <w:spacing w:line="600" w:lineRule="exact"/>
        <w:rPr>
          <w:rFonts w:ascii="仿宋" w:hAnsi="仿宋" w:eastAsia="仿宋"/>
          <w:color w:val="000000"/>
          <w:sz w:val="32"/>
          <w:szCs w:val="32"/>
        </w:rPr>
      </w:pPr>
      <w:r>
        <w:rPr>
          <w:rFonts w:hint="eastAsia" w:ascii="仿宋" w:hAnsi="仿宋" w:eastAsia="仿宋"/>
          <w:color w:val="000000"/>
          <w:sz w:val="32"/>
          <w:szCs w:val="32"/>
        </w:rPr>
        <w:t>（2）汇总党风廉政建设和反腐败工作情况，组织起草委局有关文件文稿，编发通报和信息，审核以委局及办公室名义发布的公文；</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督促检查市纪委、监察局、县委、县政府领导批办交办事项的落实情况，以及县纪委全委会工作部署和县纪委常委会议、书记办公会、监察局长办公会议决定事项及委局领导批办交办事项的落实情况，汇总委局贯彻落实县委党的建设工作领导小组分工任务情况，组织协调有关县人大代表建议和县政协提案答复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组织协调委局机关机要文件的办理和运行管理，保管、使用县纪委、监察局及其办公室印章，负责制发委局机关各部门、直属单位及派驻机构印章，负责委局机关保密工作，协调纪检监察系统密码管理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（5）负责委局机关对外联络接洽、值班工作；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（6）统筹指导归档工作，负责委局机关及派驻机构文书、音像等档案管理，编辑整理有关档案材料；</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（7）承担收集、上报“两个责任”履职情况和考核工作；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（8）协调委局机关有关工作，指导纪检监察系统所承担的办公室相关工作；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（9）负责委局机关后勤管理、财务管理、国有资产管理、房管基建和安全保卫工作；配合审计主管部门对委局机关财务进行审计，对机关本级专项经费进行审计；</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（10）负责委局机关及派驻机构涉案款物管理工作；负责委局机关干部职工医疗和卫生防疫工作；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（11）负责离退休干部（职工）党组织建设和思想政治工作，组织离退休干部（职工）开展党员活动，文化娱乐和健康休养活动；做好离退休干部（职工）的服务管理工作；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（12）综合分析党风廉政建设和反腐败工作情况，开展政策理论及重大课题调查研究；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（13）起草县纪委全委会工作报告、委局领导同志文稿，会同有关部门起草委局重要文件；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（14）汇总、整理党风廉政建设和反腐败工作研究成果和信息资料，组织开展对纪检监察工作历史及规律的研究；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（15）组织协调全县纪检监察系统的调研工作和社科理论界相关重大课题研究；</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（16）会同有关单位开展党风廉政建设和反腐败工作民意调查；</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（17）负责制定全县纪检监察机关信息化建设工作规划，指导下级纪检组织开展信息化建设和应用工作；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（18）负责纪检监察信息化应用软件及网站的建设、运行、维护和管理；</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（19）负责委局机关局域网和视频会议系统的建设、运行、维护和管理，负责计算机终端维护、管理和其他技术服务保障工作；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（20）配合有关部门对纪检监察系统网络信息安全和保密工作进行监督检查；</w:t>
      </w:r>
    </w:p>
    <w:p>
      <w:pPr>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w:t>
      </w:r>
      <w:r>
        <w:rPr>
          <w:rFonts w:hint="eastAsia" w:ascii="仿宋" w:hAnsi="仿宋" w:eastAsia="仿宋"/>
          <w:sz w:val="32"/>
          <w:szCs w:val="32"/>
        </w:rPr>
        <w:t>21</w:t>
      </w:r>
      <w:r>
        <w:rPr>
          <w:rFonts w:hint="eastAsia" w:ascii="仿宋" w:hAnsi="仿宋" w:eastAsia="仿宋"/>
          <w:color w:val="000000"/>
          <w:sz w:val="32"/>
          <w:szCs w:val="32"/>
        </w:rPr>
        <w:t>）</w:t>
      </w:r>
      <w:r>
        <w:rPr>
          <w:rFonts w:hint="eastAsia" w:ascii="仿宋" w:hAnsi="仿宋" w:eastAsia="仿宋"/>
          <w:sz w:val="32"/>
          <w:szCs w:val="32"/>
        </w:rPr>
        <w:t>负责本部门干部日常管理和监督，承办领导交办的其他事项。</w:t>
      </w:r>
    </w:p>
    <w:p>
      <w:pPr>
        <w:spacing w:line="560" w:lineRule="exact"/>
        <w:rPr>
          <w:rFonts w:hint="eastAsia" w:ascii="仿宋" w:hAnsi="仿宋" w:eastAsia="仿宋" w:cs="仿宋"/>
          <w:b w:val="0"/>
          <w:bCs/>
          <w:kern w:val="0"/>
          <w:sz w:val="32"/>
          <w:szCs w:val="32"/>
        </w:rPr>
      </w:pPr>
      <w:r>
        <w:rPr>
          <w:rFonts w:hint="eastAsia" w:ascii="华文楷体" w:hAnsi="华文楷体" w:eastAsia="华文楷体"/>
          <w:b/>
          <w:sz w:val="32"/>
          <w:szCs w:val="32"/>
        </w:rPr>
        <w:t xml:space="preserve"> </w:t>
      </w:r>
      <w:r>
        <w:rPr>
          <w:rFonts w:hint="eastAsia" w:ascii="华文楷体" w:hAnsi="华文楷体" w:eastAsia="华文楷体"/>
          <w:b/>
          <w:sz w:val="32"/>
          <w:szCs w:val="32"/>
          <w:lang w:val="en-US" w:eastAsia="zh-CN"/>
        </w:rPr>
        <w:t xml:space="preserve">   </w:t>
      </w:r>
      <w:r>
        <w:rPr>
          <w:rFonts w:hint="eastAsia" w:ascii="仿宋" w:hAnsi="仿宋" w:eastAsia="仿宋" w:cs="仿宋"/>
          <w:b w:val="0"/>
          <w:bCs/>
          <w:sz w:val="32"/>
          <w:szCs w:val="32"/>
        </w:rPr>
        <w:t>第一纪检监察室、第二纪检监察室、案件审理室、党风政风建设室、执法监察室、信访室、干部管理室和行政效能监察室、纪工委</w:t>
      </w:r>
      <w:r>
        <w:rPr>
          <w:rFonts w:hint="eastAsia" w:ascii="仿宋" w:hAnsi="仿宋" w:eastAsia="仿宋" w:cs="仿宋"/>
          <w:b w:val="0"/>
          <w:bCs/>
          <w:kern w:val="0"/>
          <w:sz w:val="32"/>
          <w:szCs w:val="32"/>
        </w:rPr>
        <w:t>科室</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s="仿宋"/>
          <w:bCs/>
          <w:kern w:val="0"/>
          <w:sz w:val="32"/>
          <w:szCs w:val="32"/>
        </w:rPr>
        <w:t>主要负责：</w:t>
      </w:r>
      <w:r>
        <w:rPr>
          <w:rFonts w:hint="eastAsia" w:ascii="仿宋" w:hAnsi="仿宋" w:eastAsia="仿宋"/>
          <w:color w:val="000000"/>
          <w:sz w:val="32"/>
          <w:szCs w:val="32"/>
        </w:rPr>
        <w:t>1、负责全县纪检监察系统领导班子建设、干部队伍建设和组织建设的综合规划、政策研究和制度建设；</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2、负责委局机关干部队伍建设，承办有关机构编制、干部人事、工资福利等工作，督促机关各部门加强干部日常管理和监督；</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3、会同有关部门，负责县纪委派出纪工委领导班子考察、任免及组织建设等相关工作；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4、会同有关部门，承办各乡（镇）纪委书记、副书记提名和考察等干部人事工作；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5、负责全县纪检监察系统干部教育培训工作，会同有关部门承办对全县纪检监察系统的表彰、奖励工作，负责委局机关因公临时出国（境）备案和委局机关、派驻机构工作人员因私出国(境)办理等工作；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6、承办纪检监察干部赴国（境）外考察、进修、培训等事宜，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7、负责组织协调县党风廉政建设和反腐败宣传工作，组织开展相关法律法规、理论政策、形势任务、决策部署、成效经验和先进典型等宣传及舆论引导工作；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8、负责组织协调全县党风廉政建设和反腐败教育工作，开展对党员、公务员的理想信念和宗旨教育、党风党纪和廉洁自律教育，组织协调廉政文化建设及纪检监察电化教育工作；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9、负责委局机关的新闻事务，承担委局新闻发布的日常工作，组织协调党风廉政建设和反腐败信息传播工作；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10、负责组织协调全县党风廉政建设和反腐败网络舆情信息收集、研判和处置工作，协调县有关部门和重点新闻网站等做好网络宣传引导工作；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11、指导全县纪检监察系统的宣传教育、廉政文化建设和网络信息工作；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12、负责委局机关党的建设，领导委局机关各部门党组织的工作；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13、负责在委局机关宣传和执行党的路线方针政策和上级党组织的决议，组织委局机关党员学习政治理论、法律法规等，推进学习型党组织建设；</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14、负责委局机关党员的思想政治工作，承担委局机关党的基层组织建设、发展党员、开展党员思想政治教育和培训工作；</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15、负责委局机关日常纪律作风建设，制定相关制度，督促委局机关各部门加强干部日常管理和监督；</w:t>
      </w:r>
    </w:p>
    <w:p>
      <w:pPr>
        <w:adjustRightInd w:val="0"/>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16、领导机关工会、共青团、妇委会和计划生育工作，承担委局机关精神文明建设委员会办公室的日常工作；</w:t>
      </w:r>
    </w:p>
    <w:p>
      <w:pPr>
        <w:adjustRightInd w:val="0"/>
        <w:spacing w:line="600" w:lineRule="exact"/>
        <w:ind w:firstLine="640" w:firstLineChars="200"/>
        <w:rPr>
          <w:rFonts w:ascii="仿宋" w:hAnsi="仿宋" w:eastAsia="仿宋"/>
          <w:sz w:val="32"/>
          <w:szCs w:val="32"/>
        </w:rPr>
      </w:pPr>
      <w:r>
        <w:rPr>
          <w:rFonts w:hint="eastAsia" w:ascii="仿宋" w:hAnsi="仿宋" w:eastAsia="仿宋"/>
          <w:color w:val="000000"/>
          <w:sz w:val="32"/>
          <w:szCs w:val="32"/>
        </w:rPr>
        <w:t>17、负责本部门干部日常管理和监督，承办领导和上级党组织交办的其他事项。</w:t>
      </w:r>
    </w:p>
    <w:p>
      <w:pPr>
        <w:widowControl/>
        <w:spacing w:line="360" w:lineRule="auto"/>
        <w:ind w:firstLine="641" w:firstLineChars="200"/>
        <w:jc w:val="left"/>
        <w:rPr>
          <w:rFonts w:ascii="华文楷体" w:hAnsi="华文楷体" w:eastAsia="华文楷体" w:cs="Calibri"/>
          <w:b/>
          <w:kern w:val="0"/>
          <w:sz w:val="32"/>
          <w:szCs w:val="32"/>
        </w:rPr>
      </w:pPr>
      <w:r>
        <w:rPr>
          <w:rFonts w:hint="eastAsia" w:ascii="华文楷体" w:hAnsi="华文楷体" w:eastAsia="华文楷体" w:cs="Calibri"/>
          <w:b/>
          <w:kern w:val="0"/>
          <w:sz w:val="32"/>
          <w:szCs w:val="32"/>
        </w:rPr>
        <w:t>人员编制和领导职数</w:t>
      </w:r>
    </w:p>
    <w:p>
      <w:pPr>
        <w:widowControl/>
        <w:spacing w:line="360" w:lineRule="auto"/>
        <w:ind w:firstLine="640" w:firstLineChars="200"/>
        <w:jc w:val="left"/>
        <w:rPr>
          <w:rFonts w:ascii="仿宋" w:hAnsi="仿宋" w:eastAsia="仿宋" w:cs="仿宋"/>
          <w:bCs/>
          <w:kern w:val="0"/>
          <w:sz w:val="32"/>
          <w:szCs w:val="32"/>
        </w:rPr>
      </w:pPr>
      <w:r>
        <w:rPr>
          <w:rFonts w:hint="eastAsia" w:ascii="仿宋" w:hAnsi="仿宋" w:eastAsia="仿宋" w:cs="仿宋"/>
          <w:bCs/>
          <w:kern w:val="0"/>
          <w:sz w:val="32"/>
          <w:szCs w:val="32"/>
        </w:rPr>
        <w:t>成安县纪律检查委员会，人员编制98名，其中领导职数5个。</w:t>
      </w:r>
    </w:p>
    <w:p>
      <w:pPr>
        <w:widowControl/>
        <w:spacing w:line="360" w:lineRule="auto"/>
        <w:ind w:firstLine="640" w:firstLineChars="200"/>
        <w:jc w:val="left"/>
        <w:rPr>
          <w:rFonts w:ascii="黑体" w:hAnsi="黑体" w:eastAsia="黑体" w:cs="仿宋_GB2312"/>
          <w:kern w:val="0"/>
          <w:sz w:val="32"/>
          <w:szCs w:val="32"/>
        </w:rPr>
      </w:pPr>
      <w:r>
        <w:rPr>
          <w:rFonts w:hint="eastAsia" w:ascii="黑体" w:hAnsi="黑体" w:eastAsia="黑体" w:cs="仿宋_GB2312"/>
          <w:kern w:val="0"/>
          <w:sz w:val="32"/>
          <w:szCs w:val="32"/>
        </w:rPr>
        <w:t>二、部门预算安排的总体情况</w:t>
      </w:r>
    </w:p>
    <w:p>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按照预算管理有关规定，目前我部门预算的编制实行综合预算制度，即全部收入和支出都反映在预算中。</w:t>
      </w:r>
    </w:p>
    <w:p>
      <w:pPr>
        <w:widowControl/>
        <w:spacing w:line="360" w:lineRule="auto"/>
        <w:ind w:firstLine="628"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1、收入说明</w:t>
      </w:r>
    </w:p>
    <w:p>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2020年预算收入为1463.49万元，其中：一般公共预算收入1463.49万元，政府性基金预算财政拨款0万元，国有资本经营预算财政拨款0万元。</w:t>
      </w:r>
    </w:p>
    <w:p>
      <w:pPr>
        <w:widowControl/>
        <w:spacing w:line="360" w:lineRule="auto"/>
        <w:ind w:firstLine="628"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2、支出说明</w:t>
      </w:r>
    </w:p>
    <w:p>
      <w:pPr>
        <w:widowControl/>
        <w:spacing w:line="360" w:lineRule="auto"/>
        <w:ind w:firstLine="627" w:firstLineChars="196"/>
        <w:jc w:val="left"/>
        <w:rPr>
          <w:rFonts w:ascii="仿宋" w:hAnsi="仿宋" w:eastAsia="仿宋" w:cs="仿宋_GB2312"/>
          <w:kern w:val="0"/>
          <w:sz w:val="32"/>
          <w:szCs w:val="32"/>
        </w:rPr>
      </w:pPr>
      <w:r>
        <w:rPr>
          <w:rFonts w:hint="eastAsia" w:ascii="仿宋" w:hAnsi="仿宋" w:eastAsia="仿宋" w:cs="仿宋_GB2312"/>
          <w:kern w:val="0"/>
          <w:sz w:val="32"/>
          <w:szCs w:val="32"/>
        </w:rPr>
        <w:t>2020年支出预算为1463.49万元，其中基本支出1463.49万元，包括人员经费1071.93万元和日常公用经费391.56万元，主要为一般公共服务支出和纪检监察事务等。</w:t>
      </w:r>
    </w:p>
    <w:p>
      <w:pPr>
        <w:widowControl/>
        <w:spacing w:line="360" w:lineRule="auto"/>
        <w:ind w:firstLine="628" w:firstLineChars="196"/>
        <w:jc w:val="left"/>
        <w:rPr>
          <w:rFonts w:ascii="华文楷体" w:hAnsi="华文楷体" w:eastAsia="华文楷体" w:cs="仿宋_GB2312"/>
          <w:b/>
          <w:kern w:val="0"/>
          <w:sz w:val="32"/>
          <w:szCs w:val="32"/>
        </w:rPr>
      </w:pPr>
      <w:r>
        <w:rPr>
          <w:rFonts w:hint="eastAsia" w:ascii="华文楷体" w:hAnsi="华文楷体" w:eastAsia="华文楷体" w:cs="仿宋_GB2312"/>
          <w:b/>
          <w:kern w:val="0"/>
          <w:sz w:val="32"/>
          <w:szCs w:val="32"/>
        </w:rPr>
        <w:t>3、比上年增减变化情况</w:t>
      </w:r>
    </w:p>
    <w:p>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rPr>
        <w:t>2020年预算收支安排1463.49万元，较2019年预算增加308.07万元，其中：保密系统建设241.17</w:t>
      </w:r>
      <w:r>
        <w:rPr>
          <w:rFonts w:ascii="仿宋" w:hAnsi="仿宋" w:eastAsia="仿宋" w:cs="仿宋_GB2312"/>
          <w:kern w:val="0"/>
          <w:sz w:val="32"/>
          <w:szCs w:val="32"/>
        </w:rPr>
        <w:t>万元</w:t>
      </w:r>
      <w:r>
        <w:rPr>
          <w:rFonts w:hint="eastAsia" w:ascii="仿宋" w:hAnsi="仿宋" w:eastAsia="仿宋" w:cs="仿宋_GB2312"/>
          <w:kern w:val="0"/>
          <w:sz w:val="32"/>
          <w:szCs w:val="32"/>
        </w:rPr>
        <w:t>，主要用于办公保密系统改造；办案费用66.9万元，用于办案支出。</w:t>
      </w:r>
    </w:p>
    <w:p>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三、机关运行经费安排情况</w:t>
      </w:r>
    </w:p>
    <w:p>
      <w:pPr>
        <w:widowControl/>
        <w:spacing w:line="360" w:lineRule="auto"/>
        <w:ind w:firstLine="640" w:firstLineChars="200"/>
        <w:jc w:val="left"/>
        <w:rPr>
          <w:rFonts w:ascii="仿宋" w:hAnsi="仿宋" w:eastAsia="仿宋" w:cs="仿宋_GB2312"/>
          <w:kern w:val="0"/>
          <w:sz w:val="32"/>
          <w:szCs w:val="32"/>
        </w:rPr>
      </w:pPr>
      <w:r>
        <w:rPr>
          <w:rFonts w:hint="eastAsia" w:ascii="仿宋" w:hAnsi="仿宋" w:eastAsia="仿宋" w:cs="仿宋_GB2312"/>
          <w:bCs/>
          <w:kern w:val="0"/>
          <w:sz w:val="32"/>
          <w:szCs w:val="32"/>
        </w:rPr>
        <w:t>机关运行经费</w:t>
      </w:r>
      <w:r>
        <w:rPr>
          <w:rFonts w:hint="eastAsia" w:ascii="仿宋" w:hAnsi="仿宋" w:eastAsia="仿宋" w:cs="仿宋_GB2312"/>
          <w:kern w:val="0"/>
          <w:sz w:val="32"/>
          <w:szCs w:val="32"/>
        </w:rPr>
        <w:t>共计安排391.56万元，主要用于办公室的日常维修、办公用房水电费、邮电费、办公用房取暖费、办公用房物业管理费等日常运行支出。</w:t>
      </w:r>
    </w:p>
    <w:p>
      <w:pPr>
        <w:widowControl/>
        <w:spacing w:line="360" w:lineRule="auto"/>
        <w:ind w:firstLine="640" w:firstLineChars="200"/>
        <w:jc w:val="left"/>
        <w:rPr>
          <w:rFonts w:ascii="黑体" w:hAnsi="黑体" w:eastAsia="黑体" w:cs="仿宋_GB2312"/>
          <w:bCs/>
          <w:kern w:val="0"/>
          <w:sz w:val="32"/>
          <w:szCs w:val="32"/>
        </w:rPr>
      </w:pPr>
      <w:r>
        <w:rPr>
          <w:rFonts w:hint="eastAsia" w:ascii="黑体" w:hAnsi="黑体" w:eastAsia="黑体" w:cs="仿宋_GB2312"/>
          <w:bCs/>
          <w:kern w:val="0"/>
          <w:sz w:val="32"/>
          <w:szCs w:val="32"/>
        </w:rPr>
        <w:t>四、财政拨款“三公”经费预算情况及增减变化原因</w:t>
      </w:r>
    </w:p>
    <w:p>
      <w:pPr>
        <w:widowControl/>
        <w:spacing w:line="740" w:lineRule="exact"/>
        <w:ind w:firstLine="640" w:firstLineChars="200"/>
        <w:jc w:val="left"/>
        <w:rPr>
          <w:rFonts w:ascii="仿宋" w:hAnsi="仿宋" w:eastAsia="仿宋" w:cs="仿宋_GB2312"/>
          <w:kern w:val="0"/>
          <w:sz w:val="32"/>
          <w:szCs w:val="32"/>
        </w:rPr>
      </w:pPr>
      <w:r>
        <w:rPr>
          <w:rFonts w:hint="eastAsia" w:ascii="仿宋" w:hAnsi="仿宋" w:eastAsia="仿宋" w:cs="仿宋_GB2312"/>
          <w:kern w:val="0"/>
          <w:sz w:val="32"/>
          <w:szCs w:val="32"/>
          <w:lang w:val="en-US" w:eastAsia="zh-CN"/>
        </w:rPr>
        <w:t>2020</w:t>
      </w:r>
      <w:r>
        <w:rPr>
          <w:rFonts w:hint="eastAsia" w:ascii="仿宋" w:hAnsi="仿宋" w:eastAsia="仿宋" w:cs="仿宋_GB2312"/>
          <w:kern w:val="0"/>
          <w:sz w:val="32"/>
          <w:szCs w:val="32"/>
        </w:rPr>
        <w:t>年，我单位“三公”经费预算安排35万元，其中，因公出国（境）费0万元；公务用车购置及运维费35万元，（其中：公务用车公务用车购置费为0万元，公务用车运行费35万元）；公务接待费0万元。2020年“三公”经费</w:t>
      </w:r>
      <w:r>
        <w:rPr>
          <w:rFonts w:hint="eastAsia" w:ascii="仿宋" w:hAnsi="仿宋" w:eastAsia="仿宋" w:cs="仿宋_GB2312"/>
          <w:kern w:val="0"/>
          <w:sz w:val="32"/>
          <w:szCs w:val="32"/>
          <w:lang w:eastAsia="zh-CN"/>
        </w:rPr>
        <w:t>中因公</w:t>
      </w:r>
      <w:r>
        <w:rPr>
          <w:rFonts w:hint="eastAsia" w:ascii="仿宋" w:hAnsi="仿宋" w:eastAsia="仿宋" w:cs="仿宋_GB2312"/>
          <w:kern w:val="0"/>
          <w:sz w:val="32"/>
          <w:szCs w:val="32"/>
        </w:rPr>
        <w:t>出国（境）费</w:t>
      </w:r>
      <w:r>
        <w:rPr>
          <w:rFonts w:hint="eastAsia" w:ascii="仿宋" w:hAnsi="仿宋" w:eastAsia="仿宋" w:cs="仿宋_GB2312"/>
          <w:kern w:val="0"/>
          <w:sz w:val="32"/>
          <w:szCs w:val="32"/>
          <w:lang w:eastAsia="zh-CN"/>
        </w:rPr>
        <w:t>与去年持平，</w:t>
      </w:r>
      <w:r>
        <w:rPr>
          <w:rFonts w:hint="eastAsia" w:ascii="仿宋" w:hAnsi="仿宋" w:eastAsia="仿宋" w:cs="仿宋_GB2312"/>
          <w:kern w:val="0"/>
          <w:sz w:val="32"/>
          <w:szCs w:val="32"/>
        </w:rPr>
        <w:t>公务用车维护费</w:t>
      </w:r>
      <w:r>
        <w:rPr>
          <w:rFonts w:hint="eastAsia" w:ascii="仿宋" w:hAnsi="仿宋" w:eastAsia="仿宋" w:cs="仿宋_GB2312"/>
          <w:kern w:val="0"/>
          <w:sz w:val="32"/>
          <w:szCs w:val="32"/>
          <w:lang w:eastAsia="zh-CN"/>
        </w:rPr>
        <w:t>较去年</w:t>
      </w:r>
      <w:r>
        <w:rPr>
          <w:rFonts w:hint="eastAsia" w:ascii="仿宋" w:hAnsi="仿宋" w:eastAsia="仿宋" w:cs="仿宋_GB2312"/>
          <w:kern w:val="0"/>
          <w:sz w:val="32"/>
          <w:szCs w:val="32"/>
        </w:rPr>
        <w:t>增长1.1%</w:t>
      </w:r>
      <w:r>
        <w:rPr>
          <w:rFonts w:hint="eastAsia" w:ascii="仿宋" w:hAnsi="仿宋" w:eastAsia="仿宋" w:cs="仿宋_GB2312"/>
          <w:kern w:val="0"/>
          <w:sz w:val="32"/>
          <w:szCs w:val="32"/>
          <w:lang w:eastAsia="zh-CN"/>
        </w:rPr>
        <w:t>，</w:t>
      </w:r>
      <w:r>
        <w:rPr>
          <w:rFonts w:hint="eastAsia" w:ascii="仿宋" w:hAnsi="仿宋" w:eastAsia="仿宋" w:cs="仿宋_GB2312"/>
          <w:kern w:val="0"/>
          <w:sz w:val="32"/>
          <w:szCs w:val="32"/>
        </w:rPr>
        <w:t>原因是增加了车辆开支等原因。公务接</w:t>
      </w:r>
      <w:r>
        <w:rPr>
          <w:rFonts w:hint="eastAsia" w:ascii="仿宋" w:hAnsi="仿宋" w:eastAsia="仿宋" w:cs="仿宋_GB2312"/>
          <w:kern w:val="0"/>
          <w:sz w:val="32"/>
          <w:szCs w:val="32"/>
          <w:lang w:eastAsia="zh-CN"/>
        </w:rPr>
        <w:t>待</w:t>
      </w:r>
      <w:r>
        <w:rPr>
          <w:rFonts w:hint="eastAsia" w:ascii="仿宋" w:hAnsi="仿宋" w:eastAsia="仿宋" w:cs="仿宋_GB2312"/>
          <w:kern w:val="0"/>
          <w:sz w:val="32"/>
          <w:szCs w:val="32"/>
        </w:rPr>
        <w:t>费</w:t>
      </w:r>
      <w:r>
        <w:rPr>
          <w:rFonts w:hint="eastAsia" w:ascii="仿宋" w:hAnsi="仿宋" w:eastAsia="仿宋" w:cs="仿宋_GB2312"/>
          <w:kern w:val="0"/>
          <w:sz w:val="32"/>
          <w:szCs w:val="32"/>
          <w:lang w:eastAsia="zh-CN"/>
        </w:rPr>
        <w:t>与去年持平</w:t>
      </w:r>
      <w:r>
        <w:rPr>
          <w:rFonts w:hint="eastAsia" w:ascii="仿宋" w:hAnsi="仿宋" w:eastAsia="仿宋" w:cs="仿宋_GB2312"/>
          <w:kern w:val="0"/>
          <w:sz w:val="32"/>
          <w:szCs w:val="32"/>
        </w:rPr>
        <w:t>。</w:t>
      </w:r>
    </w:p>
    <w:p>
      <w:pPr>
        <w:widowControl/>
        <w:spacing w:line="360" w:lineRule="auto"/>
        <w:ind w:left="420" w:leftChars="200" w:firstLine="640" w:firstLineChars="200"/>
        <w:jc w:val="left"/>
        <w:rPr>
          <w:rFonts w:ascii="仿宋" w:hAnsi="仿宋" w:eastAsia="仿宋" w:cs="仿宋_GB2312"/>
          <w:kern w:val="0"/>
          <w:sz w:val="32"/>
          <w:szCs w:val="32"/>
        </w:rPr>
      </w:pPr>
    </w:p>
    <w:p>
      <w:pPr>
        <w:widowControl/>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五、绩效预算信息</w:t>
      </w:r>
    </w:p>
    <w:p>
      <w:pPr>
        <w:widowControl/>
        <w:spacing w:line="360" w:lineRule="auto"/>
        <w:ind w:firstLine="643" w:firstLineChars="200"/>
        <w:jc w:val="left"/>
        <w:rPr>
          <w:rFonts w:ascii="仿宋" w:hAnsi="仿宋" w:eastAsia="仿宋" w:cs="Calibri"/>
          <w:b/>
          <w:kern w:val="0"/>
          <w:sz w:val="32"/>
          <w:szCs w:val="32"/>
        </w:rPr>
      </w:pPr>
      <w:r>
        <w:rPr>
          <w:rFonts w:hint="eastAsia" w:ascii="仿宋" w:hAnsi="仿宋" w:eastAsia="仿宋" w:cs="Calibri"/>
          <w:b/>
          <w:kern w:val="0"/>
          <w:sz w:val="32"/>
          <w:szCs w:val="32"/>
        </w:rPr>
        <w:t>(一)总体绩效目标</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坚持以习近平新时代中国特色社会主义思想为指导，深入贯彻党的十九大和十九届五中全会精神，按照中央纪委、省、市纪委和县委部署要求，准确把握进入新发展阶段、贯彻新发展理念、构建新发展格局对纪检监察工作的新要求，充分发挥监督保障执行和促进完善发展作用，坚持稳中求进、坚定稳妥，一体推进</w:t>
      </w:r>
      <w:bookmarkStart w:id="0" w:name="_GoBack"/>
      <w:bookmarkEnd w:id="0"/>
      <w:r>
        <w:rPr>
          <w:rFonts w:hint="eastAsia" w:ascii="仿宋" w:hAnsi="仿宋" w:eastAsia="仿宋" w:cs="Calibri"/>
          <w:kern w:val="0"/>
          <w:sz w:val="32"/>
          <w:szCs w:val="32"/>
        </w:rPr>
        <w:t>不敢腐、不能腐、不想腐，持续巩固发展反腐败斗争压倒性胜利，推动新时代纪检监察工作高质量发展。</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负责全县党的纪律检查工作。贯彻落实党中央和省委、市委关于纪律检查工作的决策部署，维护党的章程和其他党内法规，检查党的路线方针政策和决议的执行情况，协助县委推进全面从严治党、加强党风建设和组织协调反腐败工作。</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2、负责全县监察工作。贯彻落实党中央和省委、市委关于监察工作的决策部署，维护宪法法律，依法对县委管理的行使公权力的公职人员进行监察，调查职务违法和职务犯罪，开展廉政建设和反腐败工作。</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3、综合分析全面从严治党、党风廉政建设和反腐败工作情况，对纪检监察重要理论及实践问题进行调查研究。</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4、派驻纪检监察组对派出机关负责，加强对被监督单位领导班子及其成员、其他领导干部的监督，发现问题应当及时向派出机关和被监督单位党组织报告，认真负责调查处置，对需要问责的提出建议。</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5、支持配合巡视巡察工作。承担巡视巡察整改日常监督责任，做好巡视巡察整改督查督办工作，依规依纪依法处置巡视巡察移交的反映领导干部问题线索。</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6、全面保障纪检监察体制改革；负责机关后勤管理和服务工作；负责机关财务管理、国有资产管理、房管基建、安全保卫工作以及派驻机构人员经费、办案经费有关工作；负责机关及派驻机构涉案款物保管；负责廉政教育基地的运行维护，信息化建设及网络运行维护等。</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7、完成上级交办的其他任务。</w:t>
      </w:r>
    </w:p>
    <w:p>
      <w:pPr>
        <w:widowControl/>
        <w:spacing w:line="360" w:lineRule="auto"/>
        <w:ind w:firstLine="643"/>
        <w:jc w:val="left"/>
        <w:rPr>
          <w:rFonts w:ascii="仿宋" w:hAnsi="仿宋" w:eastAsia="仿宋" w:cs="Calibri"/>
          <w:b/>
          <w:kern w:val="0"/>
          <w:sz w:val="32"/>
          <w:szCs w:val="32"/>
        </w:rPr>
      </w:pPr>
      <w:r>
        <w:rPr>
          <w:rFonts w:hint="eastAsia" w:ascii="仿宋" w:hAnsi="仿宋" w:eastAsia="仿宋" w:cs="Calibri"/>
          <w:b/>
          <w:kern w:val="0"/>
          <w:sz w:val="32"/>
          <w:szCs w:val="32"/>
        </w:rPr>
        <w:t>（二</w:t>
      </w:r>
      <w:r>
        <w:rPr>
          <w:rFonts w:ascii="仿宋" w:hAnsi="仿宋" w:eastAsia="仿宋" w:cs="Calibri"/>
          <w:b/>
          <w:kern w:val="0"/>
          <w:sz w:val="32"/>
          <w:szCs w:val="32"/>
        </w:rPr>
        <w:t>）</w:t>
      </w:r>
      <w:r>
        <w:rPr>
          <w:rFonts w:hint="eastAsia" w:ascii="仿宋" w:hAnsi="仿宋" w:eastAsia="仿宋" w:cs="Calibri"/>
          <w:b/>
          <w:kern w:val="0"/>
          <w:sz w:val="32"/>
          <w:szCs w:val="32"/>
        </w:rPr>
        <w:t>分类绩效目标</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1、党风廉政建设职责绩效目标：积极发挥职能作用认真开展教育活动，加强党风廉政建设，营造风清气正、干事创业的工作氛围，全年实际开展教育活动次数占计划组织活动次数要达到 60%以上。</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2、纪检监察系统管理职责绩效目标：加强全县纪检监察系统领导班子、干部队伍和组织建设，打造一支专业化高素质的纪检监察干部队伍。</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纪检事务管理职责绩效目标：全面保障纪检监察体制改革；负责机关后勤管理和服务工作；负责机关财务管理、国有资产管理、房管基建、安全保卫工作以及派驻机构人员经费、办案经费有关工作；负责机关及派驻机构涉案款物保管；负责办案基地的运行维护，信息化建设及网络运行维护等。综合事务保障率达 80%以上。</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4、纪律检查职责绩效目标：维护党纪国法尊严，坚决惩处腐败分子，有效遏制腐败现象。纪律审查率、监督检查发现线索处置率和案件结案率达 70%以上。</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5、国家监察职责绩效目标：加强对所有行使公权力的公职人员的监督，实现国家监察全面覆盖，深入开展反腐败工作。监察调查完成率、调查发现线索处置率和举报移送立案率达 70%以上。</w:t>
      </w:r>
    </w:p>
    <w:p>
      <w:pPr>
        <w:widowControl/>
        <w:spacing w:line="360" w:lineRule="auto"/>
        <w:ind w:firstLine="643" w:firstLineChars="200"/>
        <w:jc w:val="left"/>
        <w:rPr>
          <w:rFonts w:ascii="仿宋" w:hAnsi="仿宋" w:eastAsia="仿宋" w:cs="Calibri"/>
          <w:kern w:val="0"/>
          <w:sz w:val="32"/>
          <w:szCs w:val="32"/>
        </w:rPr>
      </w:pPr>
      <w:r>
        <w:rPr>
          <w:rFonts w:hint="eastAsia" w:ascii="仿宋" w:hAnsi="仿宋" w:eastAsia="仿宋" w:cs="Calibri"/>
          <w:b/>
          <w:bCs/>
          <w:kern w:val="0"/>
          <w:sz w:val="32"/>
          <w:szCs w:val="32"/>
        </w:rPr>
        <w:t>（三</w:t>
      </w:r>
      <w:r>
        <w:rPr>
          <w:rFonts w:ascii="仿宋" w:hAnsi="仿宋" w:eastAsia="仿宋" w:cs="Calibri"/>
          <w:b/>
          <w:bCs/>
          <w:kern w:val="0"/>
          <w:sz w:val="32"/>
          <w:szCs w:val="32"/>
        </w:rPr>
        <w:t>）</w:t>
      </w:r>
      <w:r>
        <w:rPr>
          <w:rFonts w:hint="eastAsia" w:ascii="仿宋" w:hAnsi="仿宋" w:eastAsia="仿宋" w:cs="Calibri"/>
          <w:b/>
          <w:bCs/>
          <w:kern w:val="0"/>
          <w:sz w:val="32"/>
          <w:szCs w:val="32"/>
        </w:rPr>
        <w:t>工作保障措施</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1、加强支出和绩效管理。优化支出结构，编细编实预算，及早履行政府采购手续，尽快启动项目，及时支付资金，确保支出进度达标，提高财政资金使用效益。按要求开展预算绩效自评和重点评价工作，对评价中发现的问题及时整改。</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2、规范财务资产管理。在完善财务管理制度的基础上，严格审批程序。搞好资产清查，加强固定资产登记、使用和报废处置管理，做到支出合理，物尽其用。</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3、加强内部监督。加强内控管理，严格审核、监督重大支出决策程序，审核政府采购、资产处置等重要经济业务事项的决策和执行是否符合有关规定，配合做好审计、财政监督等外部监督工作，确保财政资金安全有效。</w:t>
      </w:r>
    </w:p>
    <w:p>
      <w:pPr>
        <w:widowControl/>
        <w:spacing w:line="360" w:lineRule="auto"/>
        <w:ind w:firstLine="640" w:firstLineChars="200"/>
        <w:jc w:val="left"/>
        <w:rPr>
          <w:rFonts w:ascii="仿宋" w:hAnsi="仿宋" w:eastAsia="仿宋" w:cs="Calibri"/>
          <w:kern w:val="0"/>
          <w:sz w:val="32"/>
          <w:szCs w:val="32"/>
        </w:rPr>
      </w:pPr>
      <w:r>
        <w:rPr>
          <w:rFonts w:hint="eastAsia" w:ascii="仿宋" w:hAnsi="仿宋" w:eastAsia="仿宋" w:cs="Calibri"/>
          <w:kern w:val="0"/>
          <w:sz w:val="32"/>
          <w:szCs w:val="32"/>
        </w:rPr>
        <w:t>4、加强宣传培训。强化预算绩效意识，进行预算绩效宣传，促进预算绩效管理水平进一步提升。加强调查研究，提出优化资金配置、提高资金使用效益的意见建议。</w:t>
      </w:r>
    </w:p>
    <w:p>
      <w:pPr>
        <w:ind w:firstLine="420"/>
      </w:pPr>
    </w:p>
    <w:p>
      <w:pPr>
        <w:widowControl/>
        <w:spacing w:line="360" w:lineRule="auto"/>
        <w:ind w:firstLine="643" w:firstLineChars="200"/>
        <w:jc w:val="left"/>
        <w:rPr>
          <w:rFonts w:ascii="仿宋" w:hAnsi="仿宋" w:eastAsia="仿宋" w:cs="Calibri"/>
          <w:b/>
          <w:kern w:val="0"/>
          <w:sz w:val="32"/>
          <w:szCs w:val="32"/>
        </w:rPr>
      </w:pPr>
    </w:p>
    <w:p>
      <w:pPr>
        <w:widowControl/>
        <w:spacing w:line="360" w:lineRule="auto"/>
        <w:ind w:firstLine="643" w:firstLineChars="200"/>
        <w:jc w:val="left"/>
        <w:rPr>
          <w:rFonts w:ascii="仿宋" w:hAnsi="仿宋" w:eastAsia="仿宋" w:cs="Calibri"/>
          <w:b/>
          <w:kern w:val="0"/>
          <w:sz w:val="32"/>
          <w:szCs w:val="32"/>
        </w:rPr>
      </w:pPr>
    </w:p>
    <w:p>
      <w:pPr>
        <w:widowControl/>
        <w:spacing w:line="360" w:lineRule="auto"/>
        <w:ind w:firstLine="643" w:firstLineChars="200"/>
        <w:jc w:val="left"/>
        <w:rPr>
          <w:rFonts w:ascii="仿宋" w:hAnsi="仿宋" w:eastAsia="仿宋" w:cs="Calibri"/>
          <w:b/>
          <w:kern w:val="0"/>
          <w:sz w:val="32"/>
          <w:szCs w:val="32"/>
        </w:rPr>
        <w:sectPr>
          <w:pgSz w:w="11907" w:h="16839"/>
          <w:pgMar w:top="1020" w:right="1134" w:bottom="1020" w:left="1134" w:header="851" w:footer="992" w:gutter="0"/>
          <w:cols w:space="425" w:num="1"/>
          <w:docGrid w:type="lines" w:linePitch="312" w:charSpace="0"/>
        </w:sectPr>
      </w:pPr>
    </w:p>
    <w:p>
      <w:pPr>
        <w:ind w:firstLine="640" w:firstLineChars="200"/>
        <w:jc w:val="center"/>
        <w:outlineLvl w:val="0"/>
        <w:rPr>
          <w:rFonts w:ascii="仿宋" w:hAnsi="仿宋" w:eastAsia="仿宋"/>
          <w:sz w:val="32"/>
        </w:rPr>
      </w:pPr>
      <w:r>
        <w:rPr>
          <w:rFonts w:hint="eastAsia" w:ascii="仿宋" w:hAnsi="仿宋" w:eastAsia="仿宋"/>
          <w:sz w:val="32"/>
        </w:rPr>
        <w:t>部门职责-工作活动绩效目标</w:t>
      </w:r>
    </w:p>
    <w:tbl>
      <w:tblPr>
        <w:tblStyle w:val="6"/>
        <w:tblW w:w="1412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877"/>
        <w:gridCol w:w="763"/>
        <w:gridCol w:w="76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pPr>
              <w:spacing w:line="300" w:lineRule="exact"/>
              <w:ind w:firstLine="480" w:firstLineChars="200"/>
              <w:jc w:val="left"/>
              <w:rPr>
                <w:rFonts w:ascii="仿宋" w:hAnsi="仿宋" w:eastAsia="仿宋"/>
                <w:sz w:val="24"/>
              </w:rPr>
            </w:pPr>
          </w:p>
          <w:p>
            <w:pPr>
              <w:spacing w:line="300" w:lineRule="exact"/>
              <w:ind w:firstLine="480" w:firstLineChars="200"/>
              <w:jc w:val="left"/>
              <w:rPr>
                <w:rFonts w:ascii="仿宋" w:hAnsi="仿宋" w:eastAsia="仿宋"/>
                <w:sz w:val="24"/>
              </w:rPr>
            </w:pPr>
          </w:p>
          <w:p>
            <w:pPr>
              <w:spacing w:line="300" w:lineRule="exact"/>
              <w:ind w:firstLine="480" w:firstLineChars="200"/>
              <w:jc w:val="left"/>
              <w:rPr>
                <w:rFonts w:ascii="仿宋" w:hAnsi="仿宋" w:eastAsia="仿宋"/>
                <w:sz w:val="24"/>
              </w:rPr>
            </w:pPr>
            <w:r>
              <w:rPr>
                <w:rFonts w:ascii="仿宋" w:hAnsi="仿宋" w:eastAsia="仿宋"/>
                <w:sz w:val="24"/>
              </w:rPr>
              <w:t>222</w:t>
            </w:r>
            <w:r>
              <w:rPr>
                <w:rFonts w:hint="eastAsia" w:ascii="仿宋" w:hAnsi="仿宋" w:eastAsia="仿宋"/>
                <w:sz w:val="24"/>
              </w:rPr>
              <w:t>成安县纪律检查委员会</w:t>
            </w:r>
          </w:p>
        </w:tc>
        <w:tc>
          <w:tcPr>
            <w:tcW w:w="3139" w:type="dxa"/>
            <w:gridSpan w:val="4"/>
            <w:tcBorders>
              <w:top w:val="single" w:color="FFFFFF" w:sz="6" w:space="0"/>
              <w:left w:val="single" w:color="FFFFFF" w:sz="6" w:space="0"/>
              <w:right w:val="single" w:color="FFFFFF" w:sz="6" w:space="0"/>
            </w:tcBorders>
            <w:shd w:val="clear" w:color="auto" w:fill="auto"/>
            <w:vAlign w:val="center"/>
          </w:tcPr>
          <w:p>
            <w:pPr>
              <w:spacing w:line="300" w:lineRule="exact"/>
              <w:ind w:firstLine="480" w:firstLineChars="200"/>
              <w:jc w:val="right"/>
              <w:rPr>
                <w:rFonts w:ascii="仿宋" w:hAnsi="仿宋" w:eastAsia="仿宋"/>
                <w:sz w:val="24"/>
              </w:rPr>
            </w:pPr>
            <w:r>
              <w:rPr>
                <w:rFonts w:hint="eastAsia" w:ascii="仿宋" w:hAnsi="仿宋" w:eastAsia="仿宋"/>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职责活动</w:t>
            </w:r>
          </w:p>
        </w:tc>
        <w:tc>
          <w:tcPr>
            <w:tcW w:w="1276" w:type="dxa"/>
            <w:vMerge w:val="restart"/>
            <w:shd w:val="clear" w:color="auto" w:fill="auto"/>
            <w:vAlign w:val="center"/>
          </w:tcPr>
          <w:p>
            <w:pPr>
              <w:spacing w:line="300" w:lineRule="exact"/>
              <w:jc w:val="left"/>
              <w:rPr>
                <w:rFonts w:ascii="仿宋" w:hAnsi="仿宋" w:eastAsia="仿宋"/>
                <w:b/>
              </w:rPr>
            </w:pPr>
            <w:r>
              <w:rPr>
                <w:rFonts w:hint="eastAsia" w:ascii="仿宋" w:hAnsi="仿宋" w:eastAsia="仿宋"/>
                <w:b/>
              </w:rPr>
              <w:t>年度预算数</w:t>
            </w:r>
          </w:p>
        </w:tc>
        <w:tc>
          <w:tcPr>
            <w:tcW w:w="2976"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内容描述</w:t>
            </w:r>
          </w:p>
        </w:tc>
        <w:tc>
          <w:tcPr>
            <w:tcW w:w="2976"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绩效目标</w:t>
            </w:r>
          </w:p>
        </w:tc>
        <w:tc>
          <w:tcPr>
            <w:tcW w:w="1417" w:type="dxa"/>
            <w:vMerge w:val="restart"/>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绩效指标</w:t>
            </w:r>
          </w:p>
        </w:tc>
        <w:tc>
          <w:tcPr>
            <w:tcW w:w="3139" w:type="dxa"/>
            <w:gridSpan w:val="4"/>
            <w:shd w:val="clear" w:color="auto" w:fill="auto"/>
            <w:vAlign w:val="center"/>
          </w:tcPr>
          <w:p>
            <w:pPr>
              <w:spacing w:line="300" w:lineRule="exact"/>
              <w:ind w:firstLine="422" w:firstLineChars="200"/>
              <w:jc w:val="center"/>
              <w:rPr>
                <w:rFonts w:ascii="仿宋" w:hAnsi="仿宋" w:eastAsia="仿宋"/>
                <w:b/>
              </w:rPr>
            </w:pPr>
            <w:r>
              <w:rPr>
                <w:rFonts w:hint="eastAsia" w:ascii="仿宋" w:hAnsi="仿宋" w:eastAsia="仿宋"/>
                <w:b/>
              </w:rPr>
              <w:t>评价标准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1276"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2976"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1417" w:type="dxa"/>
            <w:vMerge w:val="continue"/>
            <w:shd w:val="clear" w:color="auto" w:fill="auto"/>
            <w:vAlign w:val="center"/>
          </w:tcPr>
          <w:p>
            <w:pPr>
              <w:spacing w:line="300" w:lineRule="exact"/>
              <w:ind w:firstLine="420" w:firstLineChars="200"/>
              <w:jc w:val="left"/>
              <w:outlineLvl w:val="0"/>
              <w:rPr>
                <w:rFonts w:ascii="仿宋" w:hAnsi="仿宋" w:eastAsia="仿宋"/>
              </w:rPr>
            </w:pPr>
          </w:p>
        </w:tc>
        <w:tc>
          <w:tcPr>
            <w:tcW w:w="737" w:type="dxa"/>
            <w:shd w:val="clear" w:color="auto" w:fill="auto"/>
            <w:vAlign w:val="center"/>
          </w:tcPr>
          <w:p>
            <w:pPr>
              <w:spacing w:line="300" w:lineRule="exact"/>
              <w:jc w:val="center"/>
              <w:rPr>
                <w:rFonts w:ascii="仿宋" w:hAnsi="仿宋" w:eastAsia="仿宋"/>
                <w:b/>
              </w:rPr>
            </w:pPr>
            <w:r>
              <w:rPr>
                <w:rFonts w:hint="eastAsia" w:ascii="仿宋" w:hAnsi="仿宋" w:eastAsia="仿宋"/>
                <w:b/>
              </w:rPr>
              <w:t>优</w:t>
            </w:r>
          </w:p>
        </w:tc>
        <w:tc>
          <w:tcPr>
            <w:tcW w:w="877" w:type="dxa"/>
            <w:shd w:val="clear" w:color="auto" w:fill="auto"/>
            <w:vAlign w:val="center"/>
          </w:tcPr>
          <w:p>
            <w:pPr>
              <w:spacing w:line="300" w:lineRule="exact"/>
              <w:jc w:val="center"/>
              <w:rPr>
                <w:rFonts w:ascii="仿宋" w:hAnsi="仿宋" w:eastAsia="仿宋"/>
                <w:b/>
              </w:rPr>
            </w:pPr>
            <w:r>
              <w:rPr>
                <w:rFonts w:hint="eastAsia" w:ascii="仿宋" w:hAnsi="仿宋" w:eastAsia="仿宋"/>
                <w:b/>
              </w:rPr>
              <w:t>良</w:t>
            </w:r>
          </w:p>
        </w:tc>
        <w:tc>
          <w:tcPr>
            <w:tcW w:w="763" w:type="dxa"/>
            <w:shd w:val="clear" w:color="auto" w:fill="auto"/>
            <w:vAlign w:val="center"/>
          </w:tcPr>
          <w:p>
            <w:pPr>
              <w:spacing w:line="300" w:lineRule="exact"/>
              <w:jc w:val="center"/>
              <w:rPr>
                <w:rFonts w:ascii="仿宋" w:hAnsi="仿宋" w:eastAsia="仿宋"/>
                <w:b/>
              </w:rPr>
            </w:pPr>
            <w:r>
              <w:rPr>
                <w:rFonts w:hint="eastAsia" w:ascii="仿宋" w:hAnsi="仿宋" w:eastAsia="仿宋"/>
                <w:b/>
              </w:rPr>
              <w:t>中</w:t>
            </w:r>
          </w:p>
        </w:tc>
        <w:tc>
          <w:tcPr>
            <w:tcW w:w="762" w:type="dxa"/>
            <w:shd w:val="clear" w:color="auto" w:fill="auto"/>
            <w:vAlign w:val="center"/>
          </w:tcPr>
          <w:p>
            <w:pPr>
              <w:spacing w:line="300" w:lineRule="exact"/>
              <w:jc w:val="center"/>
              <w:rPr>
                <w:rFonts w:ascii="仿宋" w:hAnsi="仿宋" w:eastAsia="仿宋"/>
                <w:b/>
              </w:rPr>
            </w:pPr>
            <w:r>
              <w:rPr>
                <w:rFonts w:hint="eastAsia" w:ascii="仿宋" w:hAnsi="仿宋" w:eastAsia="仿宋"/>
                <w:b/>
              </w:rPr>
              <w:t>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办案问责</w:t>
            </w:r>
          </w:p>
        </w:tc>
        <w:tc>
          <w:tcPr>
            <w:tcW w:w="1276" w:type="dxa"/>
            <w:shd w:val="clear" w:color="auto" w:fill="auto"/>
            <w:vAlign w:val="center"/>
          </w:tcPr>
          <w:p>
            <w:pPr>
              <w:spacing w:line="300" w:lineRule="exact"/>
              <w:ind w:firstLine="420" w:firstLineChars="200"/>
              <w:jc w:val="left"/>
              <w:rPr>
                <w:rFonts w:ascii="仿宋" w:hAnsi="仿宋" w:eastAsia="仿宋"/>
              </w:rPr>
            </w:pP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受理信访、举报，集中管理问题线索、组织协调案件查办，调查、审查违纪违法案件，对案件审理提出处理意见。</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1417" w:type="dxa"/>
            <w:shd w:val="clear" w:color="auto" w:fill="auto"/>
            <w:vAlign w:val="center"/>
          </w:tcPr>
          <w:p>
            <w:pPr>
              <w:spacing w:line="300" w:lineRule="exact"/>
              <w:ind w:firstLine="420" w:firstLineChars="200"/>
              <w:jc w:val="left"/>
              <w:rPr>
                <w:rFonts w:ascii="仿宋" w:hAnsi="仿宋" w:eastAsia="仿宋"/>
              </w:rPr>
            </w:pPr>
          </w:p>
        </w:tc>
        <w:tc>
          <w:tcPr>
            <w:tcW w:w="737" w:type="dxa"/>
            <w:shd w:val="clear" w:color="auto" w:fill="auto"/>
            <w:vAlign w:val="center"/>
          </w:tcPr>
          <w:p>
            <w:pPr>
              <w:spacing w:line="300" w:lineRule="exact"/>
              <w:ind w:firstLine="420" w:firstLineChars="200"/>
              <w:jc w:val="center"/>
              <w:rPr>
                <w:rFonts w:ascii="仿宋" w:hAnsi="仿宋" w:eastAsia="仿宋"/>
              </w:rPr>
            </w:pPr>
          </w:p>
        </w:tc>
        <w:tc>
          <w:tcPr>
            <w:tcW w:w="877" w:type="dxa"/>
            <w:shd w:val="clear" w:color="auto" w:fill="auto"/>
            <w:vAlign w:val="center"/>
          </w:tcPr>
          <w:p>
            <w:pPr>
              <w:spacing w:line="300" w:lineRule="exact"/>
              <w:ind w:firstLine="420" w:firstLineChars="200"/>
              <w:jc w:val="center"/>
              <w:rPr>
                <w:rFonts w:ascii="仿宋" w:hAnsi="仿宋" w:eastAsia="仿宋"/>
              </w:rPr>
            </w:pPr>
          </w:p>
        </w:tc>
        <w:tc>
          <w:tcPr>
            <w:tcW w:w="763" w:type="dxa"/>
            <w:shd w:val="clear" w:color="auto" w:fill="auto"/>
            <w:vAlign w:val="center"/>
          </w:tcPr>
          <w:p>
            <w:pPr>
              <w:spacing w:line="300" w:lineRule="exact"/>
              <w:ind w:firstLine="420" w:firstLineChars="200"/>
              <w:jc w:val="center"/>
              <w:rPr>
                <w:rFonts w:ascii="仿宋" w:hAnsi="仿宋" w:eastAsia="仿宋"/>
              </w:rPr>
            </w:pPr>
          </w:p>
        </w:tc>
        <w:tc>
          <w:tcPr>
            <w:tcW w:w="762" w:type="dxa"/>
            <w:shd w:val="clear" w:color="auto" w:fill="auto"/>
            <w:vAlign w:val="center"/>
          </w:tcPr>
          <w:p>
            <w:pPr>
              <w:spacing w:line="300" w:lineRule="exact"/>
              <w:ind w:firstLine="420" w:firstLineChars="200"/>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　　案件查办</w:t>
            </w:r>
          </w:p>
        </w:tc>
        <w:tc>
          <w:tcPr>
            <w:tcW w:w="1276" w:type="dxa"/>
            <w:shd w:val="clear" w:color="auto" w:fill="auto"/>
            <w:vAlign w:val="center"/>
          </w:tcPr>
          <w:p>
            <w:pPr>
              <w:spacing w:line="300" w:lineRule="exact"/>
              <w:ind w:firstLine="420" w:firstLineChars="200"/>
              <w:jc w:val="left"/>
              <w:rPr>
                <w:rFonts w:ascii="仿宋" w:hAnsi="仿宋" w:eastAsia="仿宋"/>
              </w:rPr>
            </w:pP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对有关对象违反党纪政纪和违纪违法行为进行处理；组织协调案件查办工作</w:t>
            </w:r>
            <w:r>
              <w:rPr>
                <w:rFonts w:ascii="仿宋" w:hAnsi="仿宋" w:eastAsia="仿宋"/>
              </w:rPr>
              <w:t>;</w:t>
            </w:r>
            <w:r>
              <w:rPr>
                <w:rFonts w:hint="eastAsia" w:ascii="仿宋" w:hAnsi="仿宋" w:eastAsia="仿宋"/>
              </w:rPr>
              <w:t>承担县监察局的行政复议、行政应诉及有关条规的起草工作。</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维护党纪国法尊严，坚决惩处腐败分子，有效遏制腐败现象。</w:t>
            </w:r>
          </w:p>
        </w:tc>
        <w:tc>
          <w:tcPr>
            <w:tcW w:w="1417"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资金使用规范率</w:t>
            </w:r>
          </w:p>
        </w:tc>
        <w:tc>
          <w:tcPr>
            <w:tcW w:w="737" w:type="dxa"/>
            <w:shd w:val="clear" w:color="auto" w:fill="auto"/>
            <w:vAlign w:val="center"/>
          </w:tcPr>
          <w:p>
            <w:pPr>
              <w:spacing w:line="300" w:lineRule="exact"/>
              <w:rPr>
                <w:rFonts w:hint="eastAsia" w:ascii="仿宋" w:hAnsi="仿宋" w:eastAsia="仿宋"/>
                <w:lang w:val="en-US" w:eastAsia="zh-CN"/>
              </w:rPr>
            </w:pPr>
            <w:r>
              <w:rPr>
                <w:rFonts w:ascii="仿宋" w:hAnsi="仿宋" w:eastAsia="仿宋"/>
              </w:rPr>
              <w:t>100</w:t>
            </w:r>
            <w:r>
              <w:rPr>
                <w:rFonts w:hint="eastAsia" w:ascii="仿宋" w:hAnsi="仿宋" w:eastAsia="仿宋"/>
                <w:lang w:val="en-US" w:eastAsia="zh-CN"/>
              </w:rPr>
              <w:t>%</w:t>
            </w:r>
          </w:p>
        </w:tc>
        <w:tc>
          <w:tcPr>
            <w:tcW w:w="877" w:type="dxa"/>
            <w:shd w:val="clear" w:color="auto" w:fill="auto"/>
            <w:vAlign w:val="center"/>
          </w:tcPr>
          <w:p>
            <w:pPr>
              <w:spacing w:line="300" w:lineRule="exact"/>
              <w:rPr>
                <w:rFonts w:hint="eastAsia" w:ascii="仿宋" w:hAnsi="仿宋" w:eastAsia="仿宋"/>
                <w:lang w:val="en-US" w:eastAsia="zh-CN"/>
              </w:rPr>
            </w:pPr>
            <w:r>
              <w:rPr>
                <w:rFonts w:hint="eastAsia" w:ascii="宋体" w:hAnsi="宋体" w:eastAsia="宋体" w:cs="宋体"/>
              </w:rPr>
              <w:t>≧</w:t>
            </w:r>
            <w:r>
              <w:rPr>
                <w:rFonts w:ascii="仿宋" w:hAnsi="仿宋" w:eastAsia="仿宋"/>
              </w:rPr>
              <w:t>85</w:t>
            </w:r>
            <w:r>
              <w:rPr>
                <w:rFonts w:hint="eastAsia" w:ascii="仿宋" w:hAnsi="仿宋" w:eastAsia="仿宋"/>
                <w:lang w:val="en-US" w:eastAsia="zh-CN"/>
              </w:rPr>
              <w:t>%</w:t>
            </w:r>
          </w:p>
        </w:tc>
        <w:tc>
          <w:tcPr>
            <w:tcW w:w="763" w:type="dxa"/>
            <w:shd w:val="clear" w:color="auto" w:fill="auto"/>
            <w:vAlign w:val="center"/>
          </w:tcPr>
          <w:p>
            <w:pPr>
              <w:spacing w:line="300" w:lineRule="exact"/>
              <w:rPr>
                <w:rFonts w:hint="eastAsia" w:ascii="仿宋" w:hAnsi="仿宋" w:eastAsia="仿宋"/>
                <w:lang w:val="en-US" w:eastAsia="zh-CN"/>
              </w:rPr>
            </w:pPr>
            <w:r>
              <w:rPr>
                <w:rFonts w:hint="eastAsia" w:ascii="宋体" w:hAnsi="宋体" w:eastAsia="宋体" w:cs="宋体"/>
              </w:rPr>
              <w:t>≧</w:t>
            </w:r>
            <w:r>
              <w:rPr>
                <w:rFonts w:ascii="仿宋" w:hAnsi="仿宋" w:eastAsia="仿宋"/>
              </w:rPr>
              <w:t>65</w:t>
            </w:r>
            <w:r>
              <w:rPr>
                <w:rFonts w:hint="eastAsia" w:ascii="仿宋" w:hAnsi="仿宋" w:eastAsia="仿宋"/>
                <w:lang w:val="en-US" w:eastAsia="zh-CN"/>
              </w:rPr>
              <w:t>%</w:t>
            </w:r>
          </w:p>
        </w:tc>
        <w:tc>
          <w:tcPr>
            <w:tcW w:w="762" w:type="dxa"/>
            <w:shd w:val="clear" w:color="auto" w:fill="auto"/>
            <w:vAlign w:val="center"/>
          </w:tcPr>
          <w:p>
            <w:pPr>
              <w:spacing w:line="300" w:lineRule="exact"/>
              <w:rPr>
                <w:rFonts w:hint="eastAsia" w:ascii="仿宋" w:hAnsi="仿宋" w:eastAsia="仿宋"/>
                <w:lang w:val="en-US" w:eastAsia="zh-CN"/>
              </w:rPr>
            </w:pPr>
            <w:r>
              <w:rPr>
                <w:rFonts w:hint="eastAsia" w:ascii="微软雅黑" w:hAnsi="微软雅黑" w:eastAsia="微软雅黑" w:cs="微软雅黑"/>
              </w:rPr>
              <w:t>&lt;</w:t>
            </w:r>
            <w:r>
              <w:rPr>
                <w:rFonts w:ascii="仿宋" w:hAnsi="仿宋" w:eastAsia="仿宋"/>
              </w:rPr>
              <w:t>40</w:t>
            </w:r>
            <w:r>
              <w:rPr>
                <w:rFonts w:hint="eastAsia" w:ascii="仿宋" w:hAnsi="仿宋" w:eastAsia="仿宋"/>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党风廉政建设</w:t>
            </w:r>
          </w:p>
        </w:tc>
        <w:tc>
          <w:tcPr>
            <w:tcW w:w="1276" w:type="dxa"/>
            <w:shd w:val="clear" w:color="auto" w:fill="auto"/>
            <w:vAlign w:val="center"/>
          </w:tcPr>
          <w:p>
            <w:pPr>
              <w:spacing w:line="300" w:lineRule="exact"/>
              <w:jc w:val="left"/>
              <w:rPr>
                <w:rFonts w:ascii="仿宋" w:hAnsi="仿宋" w:eastAsia="仿宋"/>
              </w:rPr>
            </w:pPr>
            <w:r>
              <w:rPr>
                <w:rFonts w:hint="eastAsia" w:ascii="仿宋" w:hAnsi="仿宋" w:eastAsia="仿宋"/>
              </w:rPr>
              <w:t>35</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组织协调全县党风廉政建设和反腐败宣传、教育、课题研究、法规起草修订等工作；承担县委惩治和预防腐败体系领导小组办公室和县预防腐败局的日常工作。</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1417" w:type="dxa"/>
            <w:shd w:val="clear" w:color="auto" w:fill="auto"/>
            <w:vAlign w:val="center"/>
          </w:tcPr>
          <w:p>
            <w:pPr>
              <w:spacing w:line="300" w:lineRule="exact"/>
              <w:ind w:firstLine="420" w:firstLineChars="200"/>
              <w:jc w:val="left"/>
              <w:rPr>
                <w:rFonts w:ascii="仿宋" w:hAnsi="仿宋" w:eastAsia="仿宋"/>
              </w:rPr>
            </w:pPr>
          </w:p>
        </w:tc>
        <w:tc>
          <w:tcPr>
            <w:tcW w:w="737" w:type="dxa"/>
            <w:shd w:val="clear" w:color="auto" w:fill="auto"/>
            <w:vAlign w:val="center"/>
          </w:tcPr>
          <w:p>
            <w:pPr>
              <w:spacing w:line="300" w:lineRule="exact"/>
              <w:ind w:firstLine="420" w:firstLineChars="200"/>
              <w:jc w:val="center"/>
              <w:rPr>
                <w:rFonts w:ascii="仿宋" w:hAnsi="仿宋" w:eastAsia="仿宋"/>
              </w:rPr>
            </w:pPr>
          </w:p>
        </w:tc>
        <w:tc>
          <w:tcPr>
            <w:tcW w:w="877" w:type="dxa"/>
            <w:shd w:val="clear" w:color="auto" w:fill="auto"/>
            <w:vAlign w:val="center"/>
          </w:tcPr>
          <w:p>
            <w:pPr>
              <w:spacing w:line="300" w:lineRule="exact"/>
              <w:ind w:firstLine="420" w:firstLineChars="200"/>
              <w:jc w:val="center"/>
              <w:rPr>
                <w:rFonts w:ascii="仿宋" w:hAnsi="仿宋" w:eastAsia="仿宋"/>
              </w:rPr>
            </w:pPr>
          </w:p>
        </w:tc>
        <w:tc>
          <w:tcPr>
            <w:tcW w:w="763" w:type="dxa"/>
            <w:shd w:val="clear" w:color="auto" w:fill="auto"/>
            <w:vAlign w:val="center"/>
          </w:tcPr>
          <w:p>
            <w:pPr>
              <w:spacing w:line="300" w:lineRule="exact"/>
              <w:ind w:firstLine="420" w:firstLineChars="200"/>
              <w:jc w:val="center"/>
              <w:rPr>
                <w:rFonts w:ascii="仿宋" w:hAnsi="仿宋" w:eastAsia="仿宋"/>
              </w:rPr>
            </w:pPr>
          </w:p>
        </w:tc>
        <w:tc>
          <w:tcPr>
            <w:tcW w:w="762" w:type="dxa"/>
            <w:shd w:val="clear" w:color="auto" w:fill="auto"/>
            <w:vAlign w:val="center"/>
          </w:tcPr>
          <w:p>
            <w:pPr>
              <w:spacing w:line="300" w:lineRule="exact"/>
              <w:ind w:firstLine="420" w:firstLineChars="200"/>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党风廉政建设</w:t>
            </w:r>
          </w:p>
        </w:tc>
        <w:tc>
          <w:tcPr>
            <w:tcW w:w="1276" w:type="dxa"/>
            <w:shd w:val="clear" w:color="auto" w:fill="auto"/>
            <w:vAlign w:val="center"/>
          </w:tcPr>
          <w:p>
            <w:pPr>
              <w:spacing w:line="300" w:lineRule="exact"/>
              <w:jc w:val="left"/>
              <w:rPr>
                <w:rFonts w:ascii="仿宋" w:hAnsi="仿宋" w:eastAsia="仿宋"/>
              </w:rPr>
            </w:pPr>
            <w:r>
              <w:rPr>
                <w:rFonts w:hint="eastAsia" w:ascii="仿宋" w:hAnsi="仿宋" w:eastAsia="仿宋"/>
              </w:rPr>
              <w:t>65</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组织协调全县党风廉政建设和反腐败宣传教育工作，开展对党员、公务员的廉洁自律教育。</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积极发挥职能作用，加强党风廉政建设，营造风清气正、干事创业的工作氛围。</w:t>
            </w:r>
          </w:p>
        </w:tc>
        <w:tc>
          <w:tcPr>
            <w:tcW w:w="1417"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教育活动落实率</w:t>
            </w:r>
          </w:p>
        </w:tc>
        <w:tc>
          <w:tcPr>
            <w:tcW w:w="737" w:type="dxa"/>
            <w:shd w:val="clear" w:color="auto" w:fill="auto"/>
            <w:vAlign w:val="center"/>
          </w:tcPr>
          <w:p>
            <w:pPr>
              <w:spacing w:line="300" w:lineRule="exact"/>
              <w:rPr>
                <w:rFonts w:ascii="仿宋" w:hAnsi="仿宋" w:eastAsia="仿宋"/>
              </w:rPr>
            </w:pPr>
            <w:r>
              <w:rPr>
                <w:rFonts w:ascii="仿宋" w:hAnsi="仿宋" w:eastAsia="仿宋"/>
              </w:rPr>
              <w:t>100</w:t>
            </w:r>
            <w:r>
              <w:rPr>
                <w:rFonts w:hint="eastAsia" w:ascii="仿宋" w:hAnsi="仿宋" w:eastAsia="仿宋"/>
                <w:lang w:val="en-US" w:eastAsia="zh-CN"/>
              </w:rPr>
              <w:t>%</w:t>
            </w:r>
          </w:p>
        </w:tc>
        <w:tc>
          <w:tcPr>
            <w:tcW w:w="877"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85</w:t>
            </w:r>
            <w:r>
              <w:rPr>
                <w:rFonts w:hint="eastAsia" w:ascii="仿宋" w:hAnsi="仿宋" w:eastAsia="仿宋"/>
                <w:lang w:val="en-US" w:eastAsia="zh-CN"/>
              </w:rPr>
              <w:t>%</w:t>
            </w:r>
          </w:p>
        </w:tc>
        <w:tc>
          <w:tcPr>
            <w:tcW w:w="763"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65</w:t>
            </w:r>
            <w:r>
              <w:rPr>
                <w:rFonts w:hint="eastAsia" w:ascii="仿宋" w:hAnsi="仿宋" w:eastAsia="仿宋"/>
                <w:lang w:val="en-US" w:eastAsia="zh-CN"/>
              </w:rPr>
              <w:t>%</w:t>
            </w:r>
          </w:p>
        </w:tc>
        <w:tc>
          <w:tcPr>
            <w:tcW w:w="762" w:type="dxa"/>
            <w:shd w:val="clear" w:color="auto" w:fill="auto"/>
            <w:vAlign w:val="center"/>
          </w:tcPr>
          <w:p>
            <w:pPr>
              <w:spacing w:line="300" w:lineRule="exact"/>
              <w:rPr>
                <w:rFonts w:ascii="仿宋" w:hAnsi="仿宋" w:eastAsia="仿宋"/>
              </w:rPr>
            </w:pPr>
            <w:r>
              <w:rPr>
                <w:rFonts w:hint="eastAsia" w:ascii="微软雅黑" w:hAnsi="微软雅黑" w:eastAsia="微软雅黑" w:cs="微软雅黑"/>
              </w:rPr>
              <w:t>&lt;</w:t>
            </w:r>
            <w:r>
              <w:rPr>
                <w:rFonts w:ascii="仿宋" w:hAnsi="仿宋" w:eastAsia="仿宋"/>
              </w:rPr>
              <w:t>40</w:t>
            </w:r>
            <w:r>
              <w:rPr>
                <w:rFonts w:hint="eastAsia" w:ascii="仿宋" w:hAnsi="仿宋" w:eastAsia="仿宋"/>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光纤租赁费</w:t>
            </w:r>
          </w:p>
        </w:tc>
        <w:tc>
          <w:tcPr>
            <w:tcW w:w="12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2</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系统网络建设与维护。</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保持线路畅通，服务对象满意。</w:t>
            </w:r>
          </w:p>
        </w:tc>
        <w:tc>
          <w:tcPr>
            <w:tcW w:w="1417" w:type="dxa"/>
            <w:shd w:val="clear" w:color="auto" w:fill="auto"/>
            <w:vAlign w:val="center"/>
          </w:tcPr>
          <w:p>
            <w:pPr>
              <w:spacing w:line="300" w:lineRule="exact"/>
              <w:ind w:firstLine="420" w:firstLineChars="200"/>
              <w:jc w:val="left"/>
              <w:rPr>
                <w:rFonts w:ascii="仿宋" w:hAnsi="仿宋" w:eastAsia="仿宋"/>
              </w:rPr>
            </w:pPr>
          </w:p>
        </w:tc>
        <w:tc>
          <w:tcPr>
            <w:tcW w:w="737" w:type="dxa"/>
            <w:shd w:val="clear" w:color="auto" w:fill="auto"/>
            <w:vAlign w:val="center"/>
          </w:tcPr>
          <w:p>
            <w:pPr>
              <w:spacing w:line="300" w:lineRule="exact"/>
              <w:ind w:firstLine="420" w:firstLineChars="200"/>
              <w:jc w:val="center"/>
              <w:rPr>
                <w:rFonts w:ascii="仿宋" w:hAnsi="仿宋" w:eastAsia="仿宋"/>
              </w:rPr>
            </w:pPr>
          </w:p>
        </w:tc>
        <w:tc>
          <w:tcPr>
            <w:tcW w:w="877" w:type="dxa"/>
            <w:shd w:val="clear" w:color="auto" w:fill="auto"/>
            <w:vAlign w:val="center"/>
          </w:tcPr>
          <w:p>
            <w:pPr>
              <w:spacing w:line="300" w:lineRule="exact"/>
              <w:ind w:firstLine="420" w:firstLineChars="200"/>
              <w:jc w:val="center"/>
              <w:rPr>
                <w:rFonts w:ascii="仿宋" w:hAnsi="仿宋" w:eastAsia="仿宋"/>
              </w:rPr>
            </w:pPr>
          </w:p>
        </w:tc>
        <w:tc>
          <w:tcPr>
            <w:tcW w:w="763" w:type="dxa"/>
            <w:shd w:val="clear" w:color="auto" w:fill="auto"/>
            <w:vAlign w:val="center"/>
          </w:tcPr>
          <w:p>
            <w:pPr>
              <w:spacing w:line="300" w:lineRule="exact"/>
              <w:ind w:firstLine="420" w:firstLineChars="200"/>
              <w:jc w:val="center"/>
              <w:rPr>
                <w:rFonts w:ascii="仿宋" w:hAnsi="仿宋" w:eastAsia="仿宋"/>
              </w:rPr>
            </w:pPr>
          </w:p>
        </w:tc>
        <w:tc>
          <w:tcPr>
            <w:tcW w:w="762" w:type="dxa"/>
            <w:shd w:val="clear" w:color="auto" w:fill="auto"/>
            <w:vAlign w:val="center"/>
          </w:tcPr>
          <w:p>
            <w:pPr>
              <w:spacing w:line="300" w:lineRule="exact"/>
              <w:ind w:firstLine="420" w:firstLineChars="200"/>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　　网络建设与维护</w:t>
            </w:r>
          </w:p>
        </w:tc>
        <w:tc>
          <w:tcPr>
            <w:tcW w:w="12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2</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网络建设和管理；计算机信息网络建设；组织协调各类信息资源的上网和扩充，保障网络和信息安全。</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数据资源丰富、数据正版、权威、可靠，用户满意度高。故障及时修复，线路畅通</w:t>
            </w:r>
            <w:r>
              <w:rPr>
                <w:rFonts w:ascii="仿宋" w:hAnsi="仿宋" w:eastAsia="仿宋"/>
              </w:rPr>
              <w:t>,</w:t>
            </w:r>
            <w:r>
              <w:rPr>
                <w:rFonts w:hint="eastAsia" w:ascii="仿宋" w:hAnsi="仿宋" w:eastAsia="仿宋"/>
              </w:rPr>
              <w:t>系统运行稳定。</w:t>
            </w:r>
          </w:p>
        </w:tc>
        <w:tc>
          <w:tcPr>
            <w:tcW w:w="1417"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用户满意度率</w:t>
            </w:r>
          </w:p>
        </w:tc>
        <w:tc>
          <w:tcPr>
            <w:tcW w:w="737" w:type="dxa"/>
            <w:shd w:val="clear" w:color="auto" w:fill="auto"/>
            <w:vAlign w:val="center"/>
          </w:tcPr>
          <w:p>
            <w:pPr>
              <w:spacing w:line="300" w:lineRule="exact"/>
              <w:rPr>
                <w:rFonts w:ascii="仿宋" w:hAnsi="仿宋" w:eastAsia="仿宋"/>
              </w:rPr>
            </w:pPr>
            <w:r>
              <w:rPr>
                <w:rFonts w:ascii="仿宋" w:hAnsi="仿宋" w:eastAsia="仿宋"/>
              </w:rPr>
              <w:t>100</w:t>
            </w:r>
            <w:r>
              <w:rPr>
                <w:rFonts w:hint="eastAsia" w:ascii="仿宋" w:hAnsi="仿宋" w:eastAsia="仿宋"/>
                <w:lang w:val="en-US" w:eastAsia="zh-CN"/>
              </w:rPr>
              <w:t>%</w:t>
            </w:r>
          </w:p>
        </w:tc>
        <w:tc>
          <w:tcPr>
            <w:tcW w:w="877"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85</w:t>
            </w:r>
            <w:r>
              <w:rPr>
                <w:rFonts w:hint="eastAsia" w:ascii="仿宋" w:hAnsi="仿宋" w:eastAsia="仿宋"/>
                <w:lang w:val="en-US" w:eastAsia="zh-CN"/>
              </w:rPr>
              <w:t>%</w:t>
            </w:r>
          </w:p>
        </w:tc>
        <w:tc>
          <w:tcPr>
            <w:tcW w:w="763" w:type="dxa"/>
            <w:shd w:val="clear" w:color="auto" w:fill="auto"/>
            <w:vAlign w:val="center"/>
          </w:tcPr>
          <w:p>
            <w:pPr>
              <w:spacing w:line="300" w:lineRule="exact"/>
              <w:rPr>
                <w:rFonts w:ascii="仿宋" w:hAnsi="仿宋" w:eastAsia="仿宋"/>
              </w:rPr>
            </w:pPr>
            <w:r>
              <w:rPr>
                <w:rFonts w:hint="eastAsia" w:ascii="宋体" w:hAnsi="宋体" w:eastAsia="宋体" w:cs="宋体"/>
              </w:rPr>
              <w:t>≧</w:t>
            </w:r>
            <w:r>
              <w:rPr>
                <w:rFonts w:ascii="仿宋" w:hAnsi="仿宋" w:eastAsia="仿宋"/>
              </w:rPr>
              <w:t>65</w:t>
            </w:r>
            <w:r>
              <w:rPr>
                <w:rFonts w:hint="eastAsia" w:ascii="仿宋" w:hAnsi="仿宋" w:eastAsia="仿宋"/>
                <w:lang w:val="en-US" w:eastAsia="zh-CN"/>
              </w:rPr>
              <w:t>%</w:t>
            </w:r>
          </w:p>
        </w:tc>
        <w:tc>
          <w:tcPr>
            <w:tcW w:w="762" w:type="dxa"/>
            <w:shd w:val="clear" w:color="auto" w:fill="auto"/>
            <w:vAlign w:val="center"/>
          </w:tcPr>
          <w:p>
            <w:pPr>
              <w:spacing w:line="300" w:lineRule="exact"/>
              <w:rPr>
                <w:rFonts w:ascii="仿宋" w:hAnsi="仿宋" w:eastAsia="仿宋"/>
              </w:rPr>
            </w:pPr>
            <w:r>
              <w:rPr>
                <w:rFonts w:hint="eastAsia" w:ascii="微软雅黑" w:hAnsi="微软雅黑" w:eastAsia="微软雅黑" w:cs="微软雅黑"/>
              </w:rPr>
              <w:t>&lt;</w:t>
            </w:r>
            <w:r>
              <w:rPr>
                <w:rFonts w:ascii="仿宋" w:hAnsi="仿宋" w:eastAsia="仿宋"/>
              </w:rPr>
              <w:t>40</w:t>
            </w:r>
            <w:r>
              <w:rPr>
                <w:rFonts w:hint="eastAsia" w:ascii="仿宋" w:hAnsi="仿宋" w:eastAsia="仿宋"/>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组织协调监督管理指导服务业务培训和日常考核</w:t>
            </w:r>
          </w:p>
        </w:tc>
        <w:tc>
          <w:tcPr>
            <w:tcW w:w="1276" w:type="dxa"/>
            <w:shd w:val="clear" w:color="auto" w:fill="auto"/>
            <w:vAlign w:val="center"/>
          </w:tcPr>
          <w:p>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对政府各部门进驻委托事项办理组织协调监督管理和指导服务。对进驻单位的窗口工作人员进行管理</w:t>
            </w:r>
            <w:r>
              <w:rPr>
                <w:rFonts w:ascii="仿宋" w:hAnsi="仿宋" w:eastAsia="仿宋"/>
              </w:rPr>
              <w:t>,</w:t>
            </w:r>
            <w:r>
              <w:rPr>
                <w:rFonts w:hint="eastAsia" w:ascii="仿宋" w:hAnsi="仿宋" w:eastAsia="仿宋"/>
              </w:rPr>
              <w:t>培训和日常考核。</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行政许可，服务事项应规范办理，工作人员文明服务，应全勤，满勤。</w:t>
            </w:r>
          </w:p>
        </w:tc>
        <w:tc>
          <w:tcPr>
            <w:tcW w:w="1417" w:type="dxa"/>
            <w:shd w:val="clear" w:color="auto" w:fill="auto"/>
            <w:vAlign w:val="center"/>
          </w:tcPr>
          <w:p>
            <w:pPr>
              <w:spacing w:line="300" w:lineRule="exact"/>
              <w:ind w:firstLine="420" w:firstLineChars="200"/>
              <w:jc w:val="left"/>
              <w:rPr>
                <w:rFonts w:ascii="仿宋" w:hAnsi="仿宋" w:eastAsia="仿宋"/>
              </w:rPr>
            </w:pPr>
          </w:p>
        </w:tc>
        <w:tc>
          <w:tcPr>
            <w:tcW w:w="737" w:type="dxa"/>
            <w:shd w:val="clear" w:color="auto" w:fill="auto"/>
            <w:vAlign w:val="center"/>
          </w:tcPr>
          <w:p>
            <w:pPr>
              <w:spacing w:line="300" w:lineRule="exact"/>
              <w:ind w:firstLine="420" w:firstLineChars="200"/>
              <w:jc w:val="center"/>
              <w:rPr>
                <w:rFonts w:ascii="仿宋" w:hAnsi="仿宋" w:eastAsia="仿宋"/>
              </w:rPr>
            </w:pPr>
          </w:p>
        </w:tc>
        <w:tc>
          <w:tcPr>
            <w:tcW w:w="877" w:type="dxa"/>
            <w:shd w:val="clear" w:color="auto" w:fill="auto"/>
            <w:vAlign w:val="center"/>
          </w:tcPr>
          <w:p>
            <w:pPr>
              <w:spacing w:line="300" w:lineRule="exact"/>
              <w:ind w:firstLine="420" w:firstLineChars="200"/>
              <w:jc w:val="center"/>
              <w:rPr>
                <w:rFonts w:ascii="仿宋" w:hAnsi="仿宋" w:eastAsia="仿宋"/>
              </w:rPr>
            </w:pPr>
          </w:p>
        </w:tc>
        <w:tc>
          <w:tcPr>
            <w:tcW w:w="763" w:type="dxa"/>
            <w:shd w:val="clear" w:color="auto" w:fill="auto"/>
            <w:vAlign w:val="center"/>
          </w:tcPr>
          <w:p>
            <w:pPr>
              <w:spacing w:line="300" w:lineRule="exact"/>
              <w:ind w:firstLine="420" w:firstLineChars="200"/>
              <w:jc w:val="center"/>
              <w:rPr>
                <w:rFonts w:ascii="仿宋" w:hAnsi="仿宋" w:eastAsia="仿宋"/>
              </w:rPr>
            </w:pPr>
          </w:p>
        </w:tc>
        <w:tc>
          <w:tcPr>
            <w:tcW w:w="762" w:type="dxa"/>
            <w:shd w:val="clear" w:color="auto" w:fill="auto"/>
            <w:vAlign w:val="center"/>
          </w:tcPr>
          <w:p>
            <w:pPr>
              <w:spacing w:line="300" w:lineRule="exact"/>
              <w:ind w:firstLine="420" w:firstLineChars="200"/>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pPr>
              <w:spacing w:line="300" w:lineRule="exact"/>
              <w:ind w:firstLine="422" w:firstLineChars="200"/>
              <w:jc w:val="left"/>
              <w:rPr>
                <w:rFonts w:ascii="仿宋" w:hAnsi="仿宋" w:eastAsia="仿宋"/>
                <w:b/>
              </w:rPr>
            </w:pPr>
            <w:r>
              <w:rPr>
                <w:rFonts w:hint="eastAsia" w:ascii="仿宋" w:hAnsi="仿宋" w:eastAsia="仿宋"/>
                <w:b/>
              </w:rPr>
              <w:t>　　县级政务服务规范化建设</w:t>
            </w:r>
          </w:p>
        </w:tc>
        <w:tc>
          <w:tcPr>
            <w:tcW w:w="1276" w:type="dxa"/>
            <w:shd w:val="clear" w:color="auto" w:fill="auto"/>
            <w:vAlign w:val="center"/>
          </w:tcPr>
          <w:p>
            <w:pPr>
              <w:spacing w:line="300" w:lineRule="exact"/>
              <w:ind w:firstLine="420" w:firstLineChars="200"/>
              <w:jc w:val="left"/>
              <w:rPr>
                <w:rFonts w:ascii="仿宋" w:hAnsi="仿宋" w:eastAsia="仿宋"/>
              </w:rPr>
            </w:pPr>
            <w:r>
              <w:rPr>
                <w:rFonts w:ascii="仿宋" w:hAnsi="仿宋" w:eastAsia="仿宋"/>
              </w:rPr>
              <w:t>153.60</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加快县级政务服务中心建设，提高行政审批和服务效率，为群众和社会提供优质的行政服务</w:t>
            </w:r>
          </w:p>
        </w:tc>
        <w:tc>
          <w:tcPr>
            <w:tcW w:w="2976"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县级政务服务中心达到标准化</w:t>
            </w:r>
          </w:p>
        </w:tc>
        <w:tc>
          <w:tcPr>
            <w:tcW w:w="1417" w:type="dxa"/>
            <w:shd w:val="clear" w:color="auto" w:fill="auto"/>
            <w:vAlign w:val="center"/>
          </w:tcPr>
          <w:p>
            <w:pPr>
              <w:spacing w:line="300" w:lineRule="exact"/>
              <w:ind w:firstLine="420" w:firstLineChars="200"/>
              <w:jc w:val="left"/>
              <w:rPr>
                <w:rFonts w:ascii="仿宋" w:hAnsi="仿宋" w:eastAsia="仿宋"/>
              </w:rPr>
            </w:pPr>
            <w:r>
              <w:rPr>
                <w:rFonts w:hint="eastAsia" w:ascii="仿宋" w:hAnsi="仿宋" w:eastAsia="仿宋"/>
              </w:rPr>
              <w:t>场地建设办公面积达四千平米，办公设施</w:t>
            </w:r>
            <w:r>
              <w:rPr>
                <w:rFonts w:ascii="仿宋" w:hAnsi="仿宋" w:eastAsia="仿宋"/>
              </w:rPr>
              <w:t>;</w:t>
            </w:r>
            <w:r>
              <w:rPr>
                <w:rFonts w:hint="eastAsia" w:ascii="仿宋" w:hAnsi="仿宋" w:eastAsia="仿宋"/>
              </w:rPr>
              <w:t>开通</w:t>
            </w:r>
            <w:r>
              <w:rPr>
                <w:rFonts w:ascii="仿宋" w:hAnsi="仿宋" w:eastAsia="仿宋"/>
              </w:rPr>
              <w:t>100</w:t>
            </w:r>
            <w:r>
              <w:rPr>
                <w:rFonts w:hint="eastAsia" w:ascii="仿宋" w:hAnsi="仿宋" w:eastAsia="仿宋"/>
              </w:rPr>
              <w:t>兆光纤网络，统一配备办公桌椅，中央空调，专业保洁保安人员。</w:t>
            </w:r>
          </w:p>
        </w:tc>
        <w:tc>
          <w:tcPr>
            <w:tcW w:w="737" w:type="dxa"/>
            <w:shd w:val="clear" w:color="auto" w:fill="auto"/>
            <w:vAlign w:val="center"/>
          </w:tcPr>
          <w:p>
            <w:pPr>
              <w:spacing w:line="300" w:lineRule="exact"/>
              <w:rPr>
                <w:rFonts w:ascii="仿宋" w:hAnsi="仿宋" w:eastAsia="仿宋"/>
              </w:rPr>
            </w:pPr>
            <w:r>
              <w:rPr>
                <w:rFonts w:ascii="仿宋" w:hAnsi="仿宋" w:eastAsia="仿宋"/>
              </w:rPr>
              <w:t>100</w:t>
            </w:r>
          </w:p>
        </w:tc>
        <w:tc>
          <w:tcPr>
            <w:tcW w:w="877" w:type="dxa"/>
            <w:shd w:val="clear" w:color="auto" w:fill="auto"/>
            <w:vAlign w:val="center"/>
          </w:tcPr>
          <w:p>
            <w:pPr>
              <w:spacing w:line="300" w:lineRule="exact"/>
              <w:rPr>
                <w:rFonts w:ascii="仿宋" w:hAnsi="仿宋" w:eastAsia="仿宋"/>
              </w:rPr>
            </w:pPr>
            <w:r>
              <w:rPr>
                <w:rFonts w:ascii="仿宋" w:hAnsi="仿宋" w:eastAsia="仿宋"/>
              </w:rPr>
              <w:t>80</w:t>
            </w:r>
          </w:p>
        </w:tc>
        <w:tc>
          <w:tcPr>
            <w:tcW w:w="763" w:type="dxa"/>
            <w:shd w:val="clear" w:color="auto" w:fill="auto"/>
            <w:vAlign w:val="center"/>
          </w:tcPr>
          <w:p>
            <w:pPr>
              <w:spacing w:line="300" w:lineRule="exact"/>
              <w:rPr>
                <w:rFonts w:ascii="仿宋" w:hAnsi="仿宋" w:eastAsia="仿宋"/>
              </w:rPr>
            </w:pPr>
            <w:r>
              <w:rPr>
                <w:rFonts w:ascii="仿宋" w:hAnsi="仿宋" w:eastAsia="仿宋"/>
              </w:rPr>
              <w:t>60</w:t>
            </w:r>
          </w:p>
        </w:tc>
        <w:tc>
          <w:tcPr>
            <w:tcW w:w="762" w:type="dxa"/>
            <w:shd w:val="clear" w:color="auto" w:fill="auto"/>
            <w:vAlign w:val="center"/>
          </w:tcPr>
          <w:p>
            <w:pPr>
              <w:spacing w:line="300" w:lineRule="exact"/>
              <w:rPr>
                <w:rFonts w:ascii="仿宋" w:hAnsi="仿宋" w:eastAsia="仿宋"/>
              </w:rPr>
            </w:pPr>
            <w:r>
              <w:rPr>
                <w:rFonts w:ascii="仿宋" w:hAnsi="仿宋" w:eastAsia="仿宋"/>
              </w:rPr>
              <w:t>50</w:t>
            </w:r>
          </w:p>
        </w:tc>
      </w:tr>
    </w:tbl>
    <w:p>
      <w:pPr>
        <w:widowControl/>
        <w:spacing w:line="360" w:lineRule="auto"/>
        <w:ind w:firstLine="643" w:firstLineChars="200"/>
        <w:jc w:val="left"/>
        <w:rPr>
          <w:rFonts w:ascii="仿宋" w:hAnsi="仿宋" w:eastAsia="仿宋" w:cs="Calibri"/>
          <w:b/>
          <w:kern w:val="0"/>
          <w:sz w:val="32"/>
          <w:szCs w:val="32"/>
        </w:rPr>
        <w:sectPr>
          <w:pgSz w:w="16839" w:h="11907" w:orient="landscape"/>
          <w:pgMar w:top="1134" w:right="1020" w:bottom="1134" w:left="1020" w:header="851" w:footer="992" w:gutter="0"/>
          <w:cols w:space="425" w:num="1"/>
          <w:docGrid w:type="lines" w:linePitch="312" w:charSpace="0"/>
        </w:sectPr>
      </w:pPr>
    </w:p>
    <w:p>
      <w:pPr>
        <w:spacing w:line="560" w:lineRule="exact"/>
        <w:outlineLvl w:val="0"/>
        <w:rPr>
          <w:rFonts w:ascii="黑体" w:hAnsi="黑体" w:eastAsia="黑体" w:cs="Calibri"/>
          <w:kern w:val="0"/>
          <w:sz w:val="32"/>
          <w:szCs w:val="32"/>
        </w:rPr>
      </w:pPr>
      <w:r>
        <w:rPr>
          <w:rFonts w:hint="eastAsia" w:ascii="黑体" w:hAnsi="黑体" w:eastAsia="黑体" w:cs="Calibri"/>
          <w:kern w:val="0"/>
          <w:sz w:val="32"/>
          <w:szCs w:val="32"/>
        </w:rPr>
        <w:t xml:space="preserve">     六、政府采购预算情况</w:t>
      </w:r>
    </w:p>
    <w:p>
      <w:pPr>
        <w:spacing w:line="560" w:lineRule="exact"/>
        <w:ind w:firstLine="800" w:firstLineChars="250"/>
        <w:outlineLvl w:val="0"/>
        <w:rPr>
          <w:rFonts w:ascii="仿宋" w:hAnsi="仿宋" w:eastAsia="仿宋" w:cs="仿宋"/>
          <w:sz w:val="32"/>
          <w:szCs w:val="32"/>
        </w:rPr>
      </w:pPr>
      <w:r>
        <w:rPr>
          <w:rFonts w:ascii="仿宋" w:hAnsi="仿宋" w:eastAsia="仿宋" w:cs="Times New Roman"/>
          <w:sz w:val="32"/>
          <w:szCs w:val="32"/>
        </w:rPr>
        <w:t>20</w:t>
      </w:r>
      <w:r>
        <w:rPr>
          <w:rFonts w:hint="eastAsia" w:ascii="仿宋" w:hAnsi="仿宋" w:eastAsia="仿宋" w:cs="Times New Roman"/>
          <w:sz w:val="32"/>
          <w:szCs w:val="32"/>
        </w:rPr>
        <w:t>20</w:t>
      </w:r>
      <w:r>
        <w:rPr>
          <w:rFonts w:hint="eastAsia" w:ascii="仿宋" w:hAnsi="仿宋" w:eastAsia="仿宋" w:cs="方正仿宋_GBK"/>
          <w:sz w:val="32"/>
          <w:szCs w:val="32"/>
        </w:rPr>
        <w:t>年，我单位安排政府采购预算25.84万元。</w:t>
      </w:r>
      <w:r>
        <w:rPr>
          <w:rFonts w:ascii="仿宋" w:hAnsi="仿宋" w:eastAsia="仿宋" w:cs="仿宋_GB2312"/>
          <w:kern w:val="0"/>
          <w:sz w:val="32"/>
          <w:szCs w:val="32"/>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按照政府采购相关法律法规要求，结合我</w:t>
      </w:r>
      <w:r>
        <w:rPr>
          <w:rFonts w:hint="eastAsia" w:ascii="仿宋" w:hAnsi="仿宋" w:eastAsia="仿宋" w:cs="仿宋_GB2312"/>
          <w:kern w:val="0"/>
          <w:sz w:val="32"/>
          <w:szCs w:val="32"/>
        </w:rPr>
        <w:t>单位</w:t>
      </w:r>
      <w:r>
        <w:rPr>
          <w:rFonts w:ascii="仿宋" w:hAnsi="仿宋" w:eastAsia="仿宋" w:cs="仿宋_GB2312"/>
          <w:kern w:val="0"/>
          <w:sz w:val="32"/>
          <w:szCs w:val="32"/>
        </w:rPr>
        <w:t>实际，20</w:t>
      </w:r>
      <w:r>
        <w:rPr>
          <w:rFonts w:hint="eastAsia" w:ascii="仿宋" w:hAnsi="仿宋" w:eastAsia="仿宋" w:cs="仿宋_GB2312"/>
          <w:kern w:val="0"/>
          <w:sz w:val="32"/>
          <w:szCs w:val="32"/>
        </w:rPr>
        <w:t>20</w:t>
      </w:r>
      <w:r>
        <w:rPr>
          <w:rFonts w:ascii="仿宋" w:hAnsi="仿宋" w:eastAsia="仿宋" w:cs="仿宋_GB2312"/>
          <w:kern w:val="0"/>
          <w:sz w:val="32"/>
          <w:szCs w:val="32"/>
        </w:rPr>
        <w:t>年我局政府采购事项为</w:t>
      </w:r>
      <w:r>
        <w:rPr>
          <w:rFonts w:hint="eastAsia" w:ascii="仿宋" w:hAnsi="仿宋" w:eastAsia="仿宋" w:cs="仿宋_GB2312"/>
          <w:kern w:val="0"/>
          <w:sz w:val="32"/>
          <w:szCs w:val="32"/>
        </w:rPr>
        <w:t>25.84万元，其中包括，碎纸机30台40000元、办公家具50件90000元、空调6台34400元、复印机3台27000元、音响设备1套67000元。</w:t>
      </w:r>
      <w:r>
        <w:rPr>
          <w:rFonts w:ascii="仿宋" w:hAnsi="仿宋" w:eastAsia="仿宋" w:cs="仿宋_GB2312"/>
          <w:kern w:val="0"/>
          <w:sz w:val="32"/>
          <w:szCs w:val="32"/>
        </w:rPr>
        <w:t>本年拟用于政府采购微机等办公设备</w:t>
      </w:r>
      <w:r>
        <w:rPr>
          <w:rFonts w:hint="eastAsia" w:ascii="仿宋" w:hAnsi="仿宋" w:eastAsia="仿宋" w:cs="仿宋_GB2312"/>
          <w:kern w:val="0"/>
          <w:sz w:val="32"/>
          <w:szCs w:val="32"/>
        </w:rPr>
        <w:t>25.84</w:t>
      </w:r>
      <w:r>
        <w:rPr>
          <w:rFonts w:ascii="仿宋" w:hAnsi="仿宋" w:eastAsia="仿宋" w:cs="仿宋_GB2312"/>
          <w:kern w:val="0"/>
          <w:sz w:val="32"/>
          <w:szCs w:val="32"/>
        </w:rPr>
        <w:t>万元。</w:t>
      </w:r>
      <w:r>
        <w:rPr>
          <w:rFonts w:hint="eastAsia" w:ascii="仿宋" w:hAnsi="仿宋" w:eastAsia="仿宋" w:cs="仿宋"/>
          <w:sz w:val="32"/>
          <w:szCs w:val="32"/>
        </w:rPr>
        <w:t>具体内容见下表。</w:t>
      </w:r>
    </w:p>
    <w:p>
      <w:pPr>
        <w:spacing w:line="560" w:lineRule="exact"/>
        <w:jc w:val="center"/>
        <w:outlineLvl w:val="0"/>
        <w:rPr>
          <w:rFonts w:ascii="黑体" w:hAnsi="黑体" w:eastAsia="黑体" w:cs="Times New Roman"/>
          <w:sz w:val="30"/>
          <w:szCs w:val="30"/>
        </w:rPr>
      </w:pPr>
      <w:r>
        <w:rPr>
          <w:rFonts w:hint="eastAsia" w:ascii="黑体" w:hAnsi="黑体" w:eastAsia="黑体" w:cs="方正小标宋_GBK"/>
          <w:sz w:val="30"/>
          <w:szCs w:val="30"/>
        </w:rPr>
        <w:t>部门政府采购预算</w:t>
      </w:r>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72"/>
        <w:gridCol w:w="637"/>
        <w:gridCol w:w="913"/>
        <w:gridCol w:w="1287"/>
        <w:gridCol w:w="488"/>
        <w:gridCol w:w="525"/>
        <w:gridCol w:w="650"/>
        <w:gridCol w:w="700"/>
        <w:gridCol w:w="712"/>
        <w:gridCol w:w="738"/>
        <w:gridCol w:w="287"/>
        <w:gridCol w:w="513"/>
        <w:gridCol w:w="412"/>
        <w:gridCol w:w="42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6072" w:type="dxa"/>
            <w:gridSpan w:val="7"/>
            <w:tcBorders>
              <w:top w:val="single" w:color="FFFFFF" w:sz="6" w:space="0"/>
              <w:left w:val="single" w:color="FFFFFF" w:sz="6" w:space="0"/>
              <w:right w:val="single" w:color="FFFFFF" w:sz="6" w:space="0"/>
            </w:tcBorders>
            <w:vAlign w:val="center"/>
          </w:tcPr>
          <w:p>
            <w:pPr>
              <w:spacing w:line="560" w:lineRule="exact"/>
              <w:jc w:val="left"/>
              <w:rPr>
                <w:rFonts w:ascii="仿宋" w:hAnsi="仿宋" w:eastAsia="仿宋" w:cs="Times New Roman"/>
                <w:sz w:val="24"/>
                <w:szCs w:val="24"/>
              </w:rPr>
            </w:pPr>
            <w:r>
              <w:rPr>
                <w:rFonts w:hint="eastAsia" w:ascii="仿宋" w:hAnsi="仿宋" w:eastAsia="仿宋" w:cs="方正小标宋_GBK"/>
                <w:sz w:val="24"/>
                <w:szCs w:val="24"/>
              </w:rPr>
              <w:t>部门（单位）名称:成安县纪律检查委员会</w:t>
            </w:r>
          </w:p>
        </w:tc>
        <w:tc>
          <w:tcPr>
            <w:tcW w:w="3783" w:type="dxa"/>
            <w:gridSpan w:val="7"/>
            <w:tcBorders>
              <w:top w:val="single" w:color="FFFFFF" w:sz="6" w:space="0"/>
              <w:left w:val="single" w:color="FFFFFF" w:sz="6" w:space="0"/>
              <w:right w:val="single" w:color="FFFFFF" w:sz="6" w:space="0"/>
            </w:tcBorders>
            <w:vAlign w:val="center"/>
          </w:tcPr>
          <w:p>
            <w:pPr>
              <w:spacing w:line="560" w:lineRule="exact"/>
              <w:jc w:val="right"/>
              <w:rPr>
                <w:rFonts w:ascii="仿宋" w:hAnsi="仿宋" w:eastAsia="仿宋" w:cs="Times New Roman"/>
                <w:sz w:val="24"/>
                <w:szCs w:val="24"/>
              </w:rPr>
            </w:pPr>
            <w:r>
              <w:rPr>
                <w:rFonts w:hint="eastAsia" w:ascii="仿宋" w:hAnsi="仿宋" w:eastAsia="仿宋" w:cs="方正书宋_GBK"/>
                <w:sz w:val="24"/>
                <w:szCs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209" w:type="dxa"/>
            <w:gridSpan w:val="2"/>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政府采购项目来源</w:t>
            </w:r>
          </w:p>
        </w:tc>
        <w:tc>
          <w:tcPr>
            <w:tcW w:w="913"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采购物品名称</w:t>
            </w:r>
          </w:p>
        </w:tc>
        <w:tc>
          <w:tcPr>
            <w:tcW w:w="1287"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政府采购目录序号</w:t>
            </w:r>
          </w:p>
        </w:tc>
        <w:tc>
          <w:tcPr>
            <w:tcW w:w="488"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数量单位</w:t>
            </w:r>
          </w:p>
        </w:tc>
        <w:tc>
          <w:tcPr>
            <w:tcW w:w="525"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数量</w:t>
            </w:r>
          </w:p>
        </w:tc>
        <w:tc>
          <w:tcPr>
            <w:tcW w:w="650"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单价</w:t>
            </w:r>
          </w:p>
        </w:tc>
        <w:tc>
          <w:tcPr>
            <w:tcW w:w="3783" w:type="dxa"/>
            <w:gridSpan w:val="7"/>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572"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项目名称</w:t>
            </w:r>
          </w:p>
        </w:tc>
        <w:tc>
          <w:tcPr>
            <w:tcW w:w="637"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预算资金</w:t>
            </w:r>
          </w:p>
        </w:tc>
        <w:tc>
          <w:tcPr>
            <w:tcW w:w="913" w:type="dxa"/>
            <w:vMerge w:val="continue"/>
            <w:vAlign w:val="center"/>
          </w:tcPr>
          <w:p>
            <w:pPr>
              <w:spacing w:line="560" w:lineRule="exact"/>
              <w:jc w:val="left"/>
              <w:outlineLvl w:val="0"/>
              <w:rPr>
                <w:rFonts w:ascii="仿宋" w:hAnsi="仿宋" w:eastAsia="仿宋" w:cs="Times New Roman"/>
              </w:rPr>
            </w:pPr>
          </w:p>
        </w:tc>
        <w:tc>
          <w:tcPr>
            <w:tcW w:w="1287" w:type="dxa"/>
            <w:vMerge w:val="continue"/>
            <w:vAlign w:val="center"/>
          </w:tcPr>
          <w:p>
            <w:pPr>
              <w:spacing w:line="560" w:lineRule="exact"/>
              <w:jc w:val="left"/>
              <w:outlineLvl w:val="0"/>
              <w:rPr>
                <w:rFonts w:ascii="仿宋" w:hAnsi="仿宋" w:eastAsia="仿宋" w:cs="Times New Roman"/>
              </w:rPr>
            </w:pPr>
          </w:p>
        </w:tc>
        <w:tc>
          <w:tcPr>
            <w:tcW w:w="488" w:type="dxa"/>
            <w:vMerge w:val="continue"/>
            <w:vAlign w:val="center"/>
          </w:tcPr>
          <w:p>
            <w:pPr>
              <w:spacing w:line="560" w:lineRule="exact"/>
              <w:jc w:val="left"/>
              <w:outlineLvl w:val="0"/>
              <w:rPr>
                <w:rFonts w:ascii="仿宋" w:hAnsi="仿宋" w:eastAsia="仿宋" w:cs="Times New Roman"/>
              </w:rPr>
            </w:pPr>
          </w:p>
        </w:tc>
        <w:tc>
          <w:tcPr>
            <w:tcW w:w="525" w:type="dxa"/>
            <w:vMerge w:val="continue"/>
            <w:vAlign w:val="center"/>
          </w:tcPr>
          <w:p>
            <w:pPr>
              <w:spacing w:line="560" w:lineRule="exact"/>
              <w:jc w:val="left"/>
              <w:outlineLvl w:val="0"/>
              <w:rPr>
                <w:rFonts w:ascii="仿宋" w:hAnsi="仿宋" w:eastAsia="仿宋" w:cs="Times New Roman"/>
              </w:rPr>
            </w:pPr>
          </w:p>
        </w:tc>
        <w:tc>
          <w:tcPr>
            <w:tcW w:w="650" w:type="dxa"/>
            <w:vMerge w:val="continue"/>
            <w:vAlign w:val="center"/>
          </w:tcPr>
          <w:p>
            <w:pPr>
              <w:spacing w:line="560" w:lineRule="exact"/>
              <w:jc w:val="left"/>
              <w:outlineLvl w:val="0"/>
              <w:rPr>
                <w:rFonts w:ascii="仿宋" w:hAnsi="仿宋" w:eastAsia="仿宋" w:cs="Times New Roman"/>
              </w:rPr>
            </w:pPr>
          </w:p>
        </w:tc>
        <w:tc>
          <w:tcPr>
            <w:tcW w:w="700" w:type="dxa"/>
            <w:vMerge w:val="restart"/>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总计</w:t>
            </w:r>
          </w:p>
        </w:tc>
        <w:tc>
          <w:tcPr>
            <w:tcW w:w="2662" w:type="dxa"/>
            <w:gridSpan w:val="5"/>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当年部门预算安排资金</w:t>
            </w:r>
          </w:p>
        </w:tc>
        <w:tc>
          <w:tcPr>
            <w:tcW w:w="421" w:type="dxa"/>
            <w:vMerge w:val="restart"/>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572" w:type="dxa"/>
            <w:vMerge w:val="continue"/>
            <w:vAlign w:val="center"/>
          </w:tcPr>
          <w:p>
            <w:pPr>
              <w:spacing w:line="560" w:lineRule="exact"/>
              <w:jc w:val="left"/>
              <w:outlineLvl w:val="0"/>
              <w:rPr>
                <w:rFonts w:ascii="仿宋" w:hAnsi="仿宋" w:eastAsia="仿宋" w:cs="Times New Roman"/>
              </w:rPr>
            </w:pPr>
          </w:p>
        </w:tc>
        <w:tc>
          <w:tcPr>
            <w:tcW w:w="637" w:type="dxa"/>
            <w:vMerge w:val="continue"/>
            <w:vAlign w:val="center"/>
          </w:tcPr>
          <w:p>
            <w:pPr>
              <w:spacing w:line="560" w:lineRule="exact"/>
              <w:jc w:val="left"/>
              <w:outlineLvl w:val="0"/>
              <w:rPr>
                <w:rFonts w:ascii="仿宋" w:hAnsi="仿宋" w:eastAsia="仿宋" w:cs="Times New Roman"/>
              </w:rPr>
            </w:pPr>
          </w:p>
        </w:tc>
        <w:tc>
          <w:tcPr>
            <w:tcW w:w="913" w:type="dxa"/>
            <w:vMerge w:val="continue"/>
            <w:vAlign w:val="center"/>
          </w:tcPr>
          <w:p>
            <w:pPr>
              <w:spacing w:line="560" w:lineRule="exact"/>
              <w:jc w:val="left"/>
              <w:outlineLvl w:val="0"/>
              <w:rPr>
                <w:rFonts w:ascii="仿宋" w:hAnsi="仿宋" w:eastAsia="仿宋" w:cs="Times New Roman"/>
              </w:rPr>
            </w:pPr>
          </w:p>
        </w:tc>
        <w:tc>
          <w:tcPr>
            <w:tcW w:w="1287" w:type="dxa"/>
            <w:vMerge w:val="continue"/>
            <w:vAlign w:val="center"/>
          </w:tcPr>
          <w:p>
            <w:pPr>
              <w:spacing w:line="560" w:lineRule="exact"/>
              <w:jc w:val="left"/>
              <w:outlineLvl w:val="0"/>
              <w:rPr>
                <w:rFonts w:ascii="仿宋" w:hAnsi="仿宋" w:eastAsia="仿宋" w:cs="Times New Roman"/>
              </w:rPr>
            </w:pPr>
          </w:p>
        </w:tc>
        <w:tc>
          <w:tcPr>
            <w:tcW w:w="488" w:type="dxa"/>
            <w:vMerge w:val="continue"/>
            <w:vAlign w:val="center"/>
          </w:tcPr>
          <w:p>
            <w:pPr>
              <w:spacing w:line="560" w:lineRule="exact"/>
              <w:jc w:val="left"/>
              <w:outlineLvl w:val="0"/>
              <w:rPr>
                <w:rFonts w:ascii="仿宋" w:hAnsi="仿宋" w:eastAsia="仿宋" w:cs="Times New Roman"/>
              </w:rPr>
            </w:pPr>
          </w:p>
        </w:tc>
        <w:tc>
          <w:tcPr>
            <w:tcW w:w="525" w:type="dxa"/>
            <w:vMerge w:val="continue"/>
            <w:vAlign w:val="center"/>
          </w:tcPr>
          <w:p>
            <w:pPr>
              <w:spacing w:line="560" w:lineRule="exact"/>
              <w:jc w:val="left"/>
              <w:outlineLvl w:val="0"/>
              <w:rPr>
                <w:rFonts w:ascii="仿宋" w:hAnsi="仿宋" w:eastAsia="仿宋" w:cs="Times New Roman"/>
              </w:rPr>
            </w:pPr>
          </w:p>
        </w:tc>
        <w:tc>
          <w:tcPr>
            <w:tcW w:w="650" w:type="dxa"/>
            <w:vMerge w:val="continue"/>
            <w:vAlign w:val="center"/>
          </w:tcPr>
          <w:p>
            <w:pPr>
              <w:spacing w:line="560" w:lineRule="exact"/>
              <w:jc w:val="left"/>
              <w:outlineLvl w:val="0"/>
              <w:rPr>
                <w:rFonts w:ascii="仿宋" w:hAnsi="仿宋" w:eastAsia="仿宋" w:cs="Times New Roman"/>
              </w:rPr>
            </w:pPr>
          </w:p>
        </w:tc>
        <w:tc>
          <w:tcPr>
            <w:tcW w:w="700" w:type="dxa"/>
            <w:vMerge w:val="continue"/>
            <w:vAlign w:val="center"/>
          </w:tcPr>
          <w:p>
            <w:pPr>
              <w:spacing w:line="560" w:lineRule="exact"/>
              <w:jc w:val="left"/>
              <w:outlineLvl w:val="0"/>
              <w:rPr>
                <w:rFonts w:ascii="仿宋" w:hAnsi="仿宋" w:eastAsia="仿宋" w:cs="Times New Roman"/>
              </w:rPr>
            </w:pPr>
          </w:p>
        </w:tc>
        <w:tc>
          <w:tcPr>
            <w:tcW w:w="712" w:type="dxa"/>
            <w:vAlign w:val="center"/>
          </w:tcPr>
          <w:p>
            <w:pPr>
              <w:spacing w:line="560" w:lineRule="exact"/>
              <w:jc w:val="center"/>
              <w:rPr>
                <w:rFonts w:ascii="仿宋" w:hAnsi="仿宋" w:eastAsia="仿宋" w:cs="Times New Roman"/>
                <w:b/>
                <w:bCs/>
              </w:rPr>
            </w:pPr>
            <w:r>
              <w:rPr>
                <w:rFonts w:hint="eastAsia" w:ascii="仿宋" w:hAnsi="仿宋" w:eastAsia="仿宋" w:cs="方正书宋_GBK"/>
                <w:b/>
                <w:bCs/>
              </w:rPr>
              <w:t>合计</w:t>
            </w:r>
          </w:p>
        </w:tc>
        <w:tc>
          <w:tcPr>
            <w:tcW w:w="738"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一般公共预算拨款</w:t>
            </w:r>
          </w:p>
        </w:tc>
        <w:tc>
          <w:tcPr>
            <w:tcW w:w="287"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基金预算拨款</w:t>
            </w:r>
          </w:p>
        </w:tc>
        <w:tc>
          <w:tcPr>
            <w:tcW w:w="513"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财政专户核拨</w:t>
            </w:r>
          </w:p>
        </w:tc>
        <w:tc>
          <w:tcPr>
            <w:tcW w:w="412" w:type="dxa"/>
            <w:vAlign w:val="center"/>
          </w:tcPr>
          <w:p>
            <w:pPr>
              <w:spacing w:line="220" w:lineRule="exact"/>
              <w:jc w:val="center"/>
              <w:rPr>
                <w:rFonts w:ascii="仿宋" w:hAnsi="仿宋" w:eastAsia="仿宋" w:cs="Times New Roman"/>
                <w:b/>
                <w:bCs/>
              </w:rPr>
            </w:pPr>
            <w:r>
              <w:rPr>
                <w:rFonts w:hint="eastAsia" w:ascii="仿宋" w:hAnsi="仿宋" w:eastAsia="仿宋" w:cs="方正书宋_GBK"/>
                <w:b/>
                <w:bCs/>
              </w:rPr>
              <w:t>其他来源收入</w:t>
            </w:r>
          </w:p>
        </w:tc>
        <w:tc>
          <w:tcPr>
            <w:tcW w:w="421" w:type="dxa"/>
            <w:vMerge w:val="continue"/>
            <w:vAlign w:val="center"/>
          </w:tcPr>
          <w:p>
            <w:pPr>
              <w:spacing w:line="560" w:lineRule="exact"/>
              <w:jc w:val="left"/>
              <w:outlineLvl w:val="0"/>
              <w:rPr>
                <w:rFonts w:ascii="仿宋" w:hAnsi="仿宋" w:eastAsia="仿宋"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572" w:type="dxa"/>
            <w:vAlign w:val="center"/>
          </w:tcPr>
          <w:p>
            <w:pPr>
              <w:spacing w:line="560" w:lineRule="exact"/>
              <w:jc w:val="center"/>
              <w:rPr>
                <w:rFonts w:ascii="仿宋" w:hAnsi="仿宋" w:eastAsia="仿宋" w:cs="Times New Roman"/>
                <w:b/>
                <w:bCs/>
                <w:szCs w:val="21"/>
              </w:rPr>
            </w:pPr>
            <w:r>
              <w:rPr>
                <w:rFonts w:hint="eastAsia" w:ascii="仿宋" w:hAnsi="仿宋" w:eastAsia="仿宋" w:cs="方正书宋_GBK"/>
                <w:b/>
                <w:bCs/>
                <w:szCs w:val="21"/>
              </w:rPr>
              <w:t>合　计</w:t>
            </w:r>
          </w:p>
        </w:tc>
        <w:tc>
          <w:tcPr>
            <w:tcW w:w="6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tc>
        <w:tc>
          <w:tcPr>
            <w:tcW w:w="913" w:type="dxa"/>
            <w:vAlign w:val="center"/>
          </w:tcPr>
          <w:p>
            <w:pPr>
              <w:spacing w:line="560" w:lineRule="exact"/>
              <w:jc w:val="left"/>
              <w:rPr>
                <w:rFonts w:ascii="仿宋" w:hAnsi="仿宋" w:eastAsia="仿宋" w:cs="Times New Roman"/>
                <w:b/>
                <w:bCs/>
                <w:sz w:val="18"/>
                <w:szCs w:val="18"/>
              </w:rPr>
            </w:pPr>
          </w:p>
        </w:tc>
        <w:tc>
          <w:tcPr>
            <w:tcW w:w="1287" w:type="dxa"/>
            <w:vAlign w:val="center"/>
          </w:tcPr>
          <w:p>
            <w:pPr>
              <w:spacing w:line="560" w:lineRule="exact"/>
              <w:jc w:val="left"/>
              <w:rPr>
                <w:rFonts w:ascii="仿宋" w:hAnsi="仿宋" w:eastAsia="仿宋" w:cs="Times New Roman"/>
                <w:b/>
                <w:bCs/>
                <w:sz w:val="18"/>
                <w:szCs w:val="18"/>
              </w:rPr>
            </w:pPr>
          </w:p>
        </w:tc>
        <w:tc>
          <w:tcPr>
            <w:tcW w:w="488" w:type="dxa"/>
            <w:vAlign w:val="center"/>
          </w:tcPr>
          <w:p>
            <w:pPr>
              <w:spacing w:line="560" w:lineRule="exact"/>
              <w:jc w:val="left"/>
              <w:rPr>
                <w:rFonts w:ascii="仿宋" w:hAnsi="仿宋" w:eastAsia="仿宋" w:cs="Times New Roman"/>
                <w:b/>
                <w:bCs/>
                <w:sz w:val="18"/>
                <w:szCs w:val="18"/>
              </w:rPr>
            </w:pPr>
          </w:p>
        </w:tc>
        <w:tc>
          <w:tcPr>
            <w:tcW w:w="525" w:type="dxa"/>
            <w:vAlign w:val="center"/>
          </w:tcPr>
          <w:p>
            <w:pPr>
              <w:spacing w:line="560" w:lineRule="exact"/>
              <w:jc w:val="right"/>
              <w:rPr>
                <w:rFonts w:ascii="仿宋" w:hAnsi="仿宋" w:eastAsia="仿宋" w:cs="Times New Roman"/>
                <w:b/>
                <w:bCs/>
                <w:sz w:val="18"/>
                <w:szCs w:val="18"/>
              </w:rPr>
            </w:pPr>
          </w:p>
        </w:tc>
        <w:tc>
          <w:tcPr>
            <w:tcW w:w="650" w:type="dxa"/>
            <w:vAlign w:val="center"/>
          </w:tcPr>
          <w:p>
            <w:pPr>
              <w:spacing w:line="560" w:lineRule="exact"/>
              <w:jc w:val="right"/>
              <w:rPr>
                <w:rFonts w:ascii="仿宋" w:hAnsi="仿宋" w:eastAsia="仿宋" w:cs="Times New Roman"/>
                <w:b/>
                <w:bCs/>
                <w:sz w:val="18"/>
                <w:szCs w:val="18"/>
              </w:rPr>
            </w:pPr>
          </w:p>
        </w:tc>
        <w:tc>
          <w:tcPr>
            <w:tcW w:w="70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tc>
        <w:tc>
          <w:tcPr>
            <w:tcW w:w="712"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p>
            <w:pPr>
              <w:spacing w:line="560" w:lineRule="exact"/>
              <w:jc w:val="right"/>
              <w:rPr>
                <w:rFonts w:ascii="仿宋" w:hAnsi="仿宋" w:eastAsia="仿宋" w:cs="Times New Roman"/>
                <w:b/>
                <w:bCs/>
                <w:sz w:val="18"/>
                <w:szCs w:val="18"/>
              </w:rPr>
            </w:pPr>
          </w:p>
        </w:tc>
        <w:tc>
          <w:tcPr>
            <w:tcW w:w="73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25.84</w:t>
            </w:r>
          </w:p>
        </w:tc>
        <w:tc>
          <w:tcPr>
            <w:tcW w:w="287"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412" w:type="dxa"/>
            <w:vAlign w:val="center"/>
          </w:tcPr>
          <w:p>
            <w:pPr>
              <w:spacing w:line="560" w:lineRule="exact"/>
              <w:jc w:val="right"/>
              <w:rPr>
                <w:rFonts w:ascii="仿宋" w:hAnsi="仿宋" w:eastAsia="仿宋" w:cs="Times New Roman"/>
                <w:b/>
                <w:bCs/>
                <w:sz w:val="18"/>
                <w:szCs w:val="18"/>
              </w:rPr>
            </w:pPr>
          </w:p>
        </w:tc>
        <w:tc>
          <w:tcPr>
            <w:tcW w:w="42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572" w:type="dxa"/>
            <w:vAlign w:val="center"/>
          </w:tcPr>
          <w:p>
            <w:pPr>
              <w:spacing w:line="560" w:lineRule="exact"/>
              <w:jc w:val="center"/>
              <w:rPr>
                <w:rFonts w:hint="eastAsia" w:ascii="仿宋" w:hAnsi="仿宋" w:eastAsia="仿宋" w:cs="Times New Roman"/>
                <w:b/>
                <w:bCs/>
                <w:szCs w:val="21"/>
                <w:lang w:eastAsia="zh-CN"/>
              </w:rPr>
            </w:pPr>
            <w:r>
              <w:rPr>
                <w:rFonts w:hint="eastAsia" w:ascii="仿宋" w:hAnsi="仿宋" w:eastAsia="仿宋" w:cs="Times New Roman"/>
                <w:b/>
                <w:bCs/>
                <w:szCs w:val="21"/>
                <w:lang w:eastAsia="zh-CN"/>
              </w:rPr>
              <w:t>日常公用经费经费</w:t>
            </w:r>
          </w:p>
        </w:tc>
        <w:tc>
          <w:tcPr>
            <w:tcW w:w="6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913"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碎纸机</w:t>
            </w:r>
          </w:p>
        </w:tc>
        <w:tc>
          <w:tcPr>
            <w:tcW w:w="1287" w:type="dxa"/>
            <w:vAlign w:val="center"/>
          </w:tcPr>
          <w:p>
            <w:pPr>
              <w:spacing w:line="560" w:lineRule="exact"/>
              <w:jc w:val="left"/>
              <w:rPr>
                <w:rFonts w:hint="default" w:ascii="仿宋" w:hAnsi="仿宋" w:eastAsia="仿宋" w:cs="Times New Roman"/>
                <w:b/>
                <w:bCs/>
                <w:sz w:val="18"/>
                <w:szCs w:val="18"/>
                <w:lang w:val="en-US" w:eastAsia="zh-CN"/>
              </w:rPr>
            </w:pPr>
            <w:r>
              <w:rPr>
                <w:rFonts w:hint="eastAsia" w:ascii="仿宋" w:hAnsi="仿宋" w:eastAsia="仿宋" w:cs="Times New Roman"/>
                <w:b/>
                <w:bCs/>
                <w:sz w:val="18"/>
                <w:szCs w:val="18"/>
                <w:lang w:val="en-US" w:eastAsia="zh-CN"/>
              </w:rPr>
              <w:t>A0999</w:t>
            </w:r>
          </w:p>
        </w:tc>
        <w:tc>
          <w:tcPr>
            <w:tcW w:w="488"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5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30</w:t>
            </w:r>
          </w:p>
        </w:tc>
        <w:tc>
          <w:tcPr>
            <w:tcW w:w="6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0.13</w:t>
            </w:r>
          </w:p>
        </w:tc>
        <w:tc>
          <w:tcPr>
            <w:tcW w:w="70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712"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73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w:t>
            </w:r>
          </w:p>
        </w:tc>
        <w:tc>
          <w:tcPr>
            <w:tcW w:w="287"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412" w:type="dxa"/>
            <w:vAlign w:val="center"/>
          </w:tcPr>
          <w:p>
            <w:pPr>
              <w:spacing w:line="560" w:lineRule="exact"/>
              <w:jc w:val="right"/>
              <w:rPr>
                <w:rFonts w:ascii="仿宋" w:hAnsi="仿宋" w:eastAsia="仿宋" w:cs="Times New Roman"/>
                <w:b/>
                <w:bCs/>
                <w:sz w:val="18"/>
                <w:szCs w:val="18"/>
              </w:rPr>
            </w:pPr>
          </w:p>
        </w:tc>
        <w:tc>
          <w:tcPr>
            <w:tcW w:w="42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572"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6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9</w:t>
            </w:r>
          </w:p>
        </w:tc>
        <w:tc>
          <w:tcPr>
            <w:tcW w:w="913"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办公家具椅</w:t>
            </w:r>
          </w:p>
        </w:tc>
        <w:tc>
          <w:tcPr>
            <w:tcW w:w="1287" w:type="dxa"/>
            <w:vAlign w:val="center"/>
          </w:tcPr>
          <w:p>
            <w:pPr>
              <w:spacing w:line="560" w:lineRule="exact"/>
              <w:jc w:val="left"/>
              <w:rPr>
                <w:rFonts w:hint="default" w:ascii="仿宋" w:hAnsi="仿宋" w:eastAsia="仿宋" w:cs="Times New Roman"/>
                <w:b/>
                <w:bCs/>
                <w:sz w:val="18"/>
                <w:szCs w:val="18"/>
                <w:lang w:val="en-US" w:eastAsia="zh-CN"/>
              </w:rPr>
            </w:pPr>
            <w:r>
              <w:rPr>
                <w:rFonts w:hint="eastAsia" w:ascii="仿宋" w:hAnsi="仿宋" w:eastAsia="仿宋" w:cs="Times New Roman"/>
                <w:b/>
                <w:bCs/>
                <w:sz w:val="18"/>
                <w:szCs w:val="18"/>
                <w:lang w:val="en-US" w:eastAsia="zh-CN"/>
              </w:rPr>
              <w:t>A0999</w:t>
            </w:r>
          </w:p>
        </w:tc>
        <w:tc>
          <w:tcPr>
            <w:tcW w:w="488"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张</w:t>
            </w:r>
          </w:p>
        </w:tc>
        <w:tc>
          <w:tcPr>
            <w:tcW w:w="5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40</w:t>
            </w:r>
          </w:p>
        </w:tc>
        <w:tc>
          <w:tcPr>
            <w:tcW w:w="6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0.048</w:t>
            </w:r>
          </w:p>
        </w:tc>
        <w:tc>
          <w:tcPr>
            <w:tcW w:w="70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712"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73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1.92</w:t>
            </w:r>
          </w:p>
        </w:tc>
        <w:tc>
          <w:tcPr>
            <w:tcW w:w="287"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412" w:type="dxa"/>
            <w:vAlign w:val="center"/>
          </w:tcPr>
          <w:p>
            <w:pPr>
              <w:spacing w:line="560" w:lineRule="exact"/>
              <w:jc w:val="right"/>
              <w:rPr>
                <w:rFonts w:ascii="仿宋" w:hAnsi="仿宋" w:eastAsia="仿宋" w:cs="Times New Roman"/>
                <w:b/>
                <w:bCs/>
                <w:sz w:val="18"/>
                <w:szCs w:val="18"/>
              </w:rPr>
            </w:pPr>
          </w:p>
        </w:tc>
        <w:tc>
          <w:tcPr>
            <w:tcW w:w="42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572"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6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913"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空调</w:t>
            </w:r>
          </w:p>
        </w:tc>
        <w:tc>
          <w:tcPr>
            <w:tcW w:w="1287" w:type="dxa"/>
            <w:vAlign w:val="center"/>
          </w:tcPr>
          <w:p>
            <w:pPr>
              <w:spacing w:line="560" w:lineRule="exact"/>
              <w:jc w:val="left"/>
              <w:rPr>
                <w:rFonts w:hint="default" w:ascii="仿宋" w:hAnsi="仿宋" w:eastAsia="仿宋" w:cs="Times New Roman"/>
                <w:b/>
                <w:bCs/>
                <w:sz w:val="18"/>
                <w:szCs w:val="18"/>
                <w:lang w:val="en-US" w:eastAsia="zh-CN"/>
              </w:rPr>
            </w:pPr>
            <w:r>
              <w:rPr>
                <w:rFonts w:hint="eastAsia" w:ascii="仿宋" w:hAnsi="仿宋" w:eastAsia="仿宋" w:cs="Times New Roman"/>
                <w:b/>
                <w:bCs/>
                <w:sz w:val="18"/>
                <w:szCs w:val="18"/>
                <w:lang w:val="en-US" w:eastAsia="zh-CN"/>
              </w:rPr>
              <w:t>A0999</w:t>
            </w:r>
          </w:p>
        </w:tc>
        <w:tc>
          <w:tcPr>
            <w:tcW w:w="488"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5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w:t>
            </w:r>
          </w:p>
        </w:tc>
        <w:tc>
          <w:tcPr>
            <w:tcW w:w="6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0.57</w:t>
            </w:r>
          </w:p>
        </w:tc>
        <w:tc>
          <w:tcPr>
            <w:tcW w:w="70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712"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73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3.44</w:t>
            </w:r>
          </w:p>
        </w:tc>
        <w:tc>
          <w:tcPr>
            <w:tcW w:w="287"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412" w:type="dxa"/>
            <w:vAlign w:val="center"/>
          </w:tcPr>
          <w:p>
            <w:pPr>
              <w:spacing w:line="560" w:lineRule="exact"/>
              <w:jc w:val="right"/>
              <w:rPr>
                <w:rFonts w:ascii="仿宋" w:hAnsi="仿宋" w:eastAsia="仿宋" w:cs="Times New Roman"/>
                <w:b/>
                <w:bCs/>
                <w:sz w:val="18"/>
                <w:szCs w:val="18"/>
              </w:rPr>
            </w:pPr>
          </w:p>
        </w:tc>
        <w:tc>
          <w:tcPr>
            <w:tcW w:w="42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572"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6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913" w:type="dxa"/>
            <w:vAlign w:val="center"/>
          </w:tcPr>
          <w:p>
            <w:pPr>
              <w:spacing w:line="560" w:lineRule="exact"/>
              <w:jc w:val="center"/>
              <w:rPr>
                <w:rFonts w:ascii="仿宋" w:hAnsi="仿宋" w:eastAsia="仿宋" w:cs="Times New Roman"/>
                <w:b/>
                <w:bCs/>
                <w:sz w:val="18"/>
                <w:szCs w:val="18"/>
              </w:rPr>
            </w:pPr>
            <w:r>
              <w:rPr>
                <w:rFonts w:hint="eastAsia" w:ascii="仿宋" w:hAnsi="仿宋" w:eastAsia="仿宋" w:cs="仿宋_GB2312"/>
                <w:kern w:val="0"/>
                <w:szCs w:val="21"/>
              </w:rPr>
              <w:t>复印机</w:t>
            </w:r>
          </w:p>
        </w:tc>
        <w:tc>
          <w:tcPr>
            <w:tcW w:w="1287" w:type="dxa"/>
            <w:vAlign w:val="center"/>
          </w:tcPr>
          <w:p>
            <w:pPr>
              <w:spacing w:line="560" w:lineRule="exact"/>
              <w:jc w:val="left"/>
              <w:rPr>
                <w:rFonts w:hint="default" w:ascii="仿宋" w:hAnsi="仿宋" w:eastAsia="仿宋" w:cs="Times New Roman"/>
                <w:b/>
                <w:bCs/>
                <w:sz w:val="18"/>
                <w:szCs w:val="18"/>
                <w:lang w:val="en-US" w:eastAsia="zh-CN"/>
              </w:rPr>
            </w:pPr>
            <w:r>
              <w:rPr>
                <w:rFonts w:hint="eastAsia" w:ascii="仿宋" w:hAnsi="仿宋" w:eastAsia="仿宋" w:cs="Times New Roman"/>
                <w:b/>
                <w:bCs/>
                <w:sz w:val="18"/>
                <w:szCs w:val="18"/>
                <w:lang w:val="en-US" w:eastAsia="zh-CN"/>
              </w:rPr>
              <w:t>A0201060199</w:t>
            </w:r>
          </w:p>
        </w:tc>
        <w:tc>
          <w:tcPr>
            <w:tcW w:w="488"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台</w:t>
            </w:r>
          </w:p>
        </w:tc>
        <w:tc>
          <w:tcPr>
            <w:tcW w:w="5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3</w:t>
            </w:r>
          </w:p>
        </w:tc>
        <w:tc>
          <w:tcPr>
            <w:tcW w:w="6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0.9</w:t>
            </w:r>
          </w:p>
        </w:tc>
        <w:tc>
          <w:tcPr>
            <w:tcW w:w="70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712"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73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2.7</w:t>
            </w:r>
          </w:p>
        </w:tc>
        <w:tc>
          <w:tcPr>
            <w:tcW w:w="287"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412" w:type="dxa"/>
            <w:vAlign w:val="center"/>
          </w:tcPr>
          <w:p>
            <w:pPr>
              <w:spacing w:line="560" w:lineRule="exact"/>
              <w:jc w:val="right"/>
              <w:rPr>
                <w:rFonts w:ascii="仿宋" w:hAnsi="仿宋" w:eastAsia="仿宋" w:cs="Times New Roman"/>
                <w:b/>
                <w:bCs/>
                <w:sz w:val="18"/>
                <w:szCs w:val="18"/>
              </w:rPr>
            </w:pPr>
          </w:p>
        </w:tc>
        <w:tc>
          <w:tcPr>
            <w:tcW w:w="421" w:type="dxa"/>
            <w:vAlign w:val="center"/>
          </w:tcPr>
          <w:p>
            <w:pPr>
              <w:spacing w:line="560" w:lineRule="exact"/>
              <w:jc w:val="right"/>
              <w:rPr>
                <w:rFonts w:ascii="仿宋" w:hAnsi="仿宋" w:eastAsia="仿宋" w:cs="Times New Roman"/>
                <w:b/>
                <w:bCs/>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1572" w:type="dxa"/>
            <w:vAlign w:val="center"/>
          </w:tcPr>
          <w:p>
            <w:pPr>
              <w:spacing w:line="560" w:lineRule="exact"/>
              <w:jc w:val="center"/>
              <w:rPr>
                <w:rFonts w:ascii="仿宋" w:hAnsi="仿宋" w:eastAsia="仿宋" w:cs="仿宋_GB2312"/>
                <w:kern w:val="0"/>
                <w:szCs w:val="21"/>
              </w:rPr>
            </w:pPr>
            <w:r>
              <w:rPr>
                <w:rFonts w:hint="eastAsia" w:ascii="仿宋" w:hAnsi="仿宋" w:eastAsia="仿宋" w:cs="Times New Roman"/>
                <w:b/>
                <w:bCs/>
                <w:szCs w:val="21"/>
                <w:lang w:eastAsia="zh-CN"/>
              </w:rPr>
              <w:t>日常公用经费</w:t>
            </w:r>
          </w:p>
        </w:tc>
        <w:tc>
          <w:tcPr>
            <w:tcW w:w="637"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913" w:type="dxa"/>
            <w:vAlign w:val="center"/>
          </w:tcPr>
          <w:p>
            <w:pPr>
              <w:spacing w:line="560" w:lineRule="exact"/>
              <w:jc w:val="center"/>
              <w:rPr>
                <w:rFonts w:ascii="仿宋" w:hAnsi="仿宋" w:eastAsia="仿宋" w:cs="仿宋_GB2312"/>
                <w:kern w:val="0"/>
                <w:szCs w:val="21"/>
              </w:rPr>
            </w:pPr>
            <w:r>
              <w:rPr>
                <w:rFonts w:hint="eastAsia" w:ascii="仿宋" w:hAnsi="仿宋" w:eastAsia="仿宋" w:cs="仿宋_GB2312"/>
                <w:kern w:val="0"/>
                <w:szCs w:val="21"/>
              </w:rPr>
              <w:t>音响设备</w:t>
            </w:r>
          </w:p>
        </w:tc>
        <w:tc>
          <w:tcPr>
            <w:tcW w:w="1287" w:type="dxa"/>
            <w:vAlign w:val="center"/>
          </w:tcPr>
          <w:p>
            <w:pPr>
              <w:spacing w:line="560" w:lineRule="exact"/>
              <w:jc w:val="left"/>
              <w:rPr>
                <w:rFonts w:hint="default" w:ascii="仿宋" w:hAnsi="仿宋" w:eastAsia="仿宋" w:cs="Times New Roman"/>
                <w:b/>
                <w:bCs/>
                <w:sz w:val="18"/>
                <w:szCs w:val="18"/>
                <w:lang w:val="en-US" w:eastAsia="zh-CN"/>
              </w:rPr>
            </w:pPr>
            <w:r>
              <w:rPr>
                <w:rFonts w:hint="eastAsia" w:ascii="仿宋" w:hAnsi="仿宋" w:eastAsia="仿宋" w:cs="Times New Roman"/>
                <w:b/>
                <w:bCs/>
                <w:sz w:val="18"/>
                <w:szCs w:val="18"/>
                <w:lang w:val="en-US" w:eastAsia="zh-CN"/>
              </w:rPr>
              <w:t>A0999</w:t>
            </w:r>
          </w:p>
        </w:tc>
        <w:tc>
          <w:tcPr>
            <w:tcW w:w="488" w:type="dxa"/>
            <w:vAlign w:val="center"/>
          </w:tcPr>
          <w:p>
            <w:pPr>
              <w:spacing w:line="560" w:lineRule="exact"/>
              <w:jc w:val="left"/>
              <w:rPr>
                <w:rFonts w:ascii="仿宋" w:hAnsi="仿宋" w:eastAsia="仿宋" w:cs="Times New Roman"/>
                <w:b/>
                <w:bCs/>
                <w:sz w:val="18"/>
                <w:szCs w:val="18"/>
              </w:rPr>
            </w:pPr>
            <w:r>
              <w:rPr>
                <w:rFonts w:hint="eastAsia" w:ascii="仿宋" w:hAnsi="仿宋" w:eastAsia="仿宋" w:cs="Times New Roman"/>
                <w:b/>
                <w:bCs/>
                <w:sz w:val="18"/>
                <w:szCs w:val="18"/>
              </w:rPr>
              <w:t>套</w:t>
            </w:r>
          </w:p>
        </w:tc>
        <w:tc>
          <w:tcPr>
            <w:tcW w:w="525"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1</w:t>
            </w:r>
          </w:p>
        </w:tc>
        <w:tc>
          <w:tcPr>
            <w:tcW w:w="65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700"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712"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738" w:type="dxa"/>
            <w:vAlign w:val="center"/>
          </w:tcPr>
          <w:p>
            <w:pPr>
              <w:spacing w:line="560" w:lineRule="exact"/>
              <w:jc w:val="right"/>
              <w:rPr>
                <w:rFonts w:ascii="仿宋" w:hAnsi="仿宋" w:eastAsia="仿宋" w:cs="Times New Roman"/>
                <w:b/>
                <w:bCs/>
                <w:sz w:val="18"/>
                <w:szCs w:val="18"/>
              </w:rPr>
            </w:pPr>
            <w:r>
              <w:rPr>
                <w:rFonts w:hint="eastAsia" w:ascii="仿宋" w:hAnsi="仿宋" w:eastAsia="仿宋" w:cs="Times New Roman"/>
                <w:b/>
                <w:bCs/>
                <w:sz w:val="18"/>
                <w:szCs w:val="18"/>
              </w:rPr>
              <w:t>6.7</w:t>
            </w:r>
          </w:p>
        </w:tc>
        <w:tc>
          <w:tcPr>
            <w:tcW w:w="287" w:type="dxa"/>
            <w:vAlign w:val="center"/>
          </w:tcPr>
          <w:p>
            <w:pPr>
              <w:spacing w:line="560" w:lineRule="exact"/>
              <w:jc w:val="right"/>
              <w:rPr>
                <w:rFonts w:ascii="仿宋" w:hAnsi="仿宋" w:eastAsia="仿宋" w:cs="Times New Roman"/>
                <w:b/>
                <w:bCs/>
                <w:sz w:val="18"/>
                <w:szCs w:val="18"/>
              </w:rPr>
            </w:pPr>
          </w:p>
        </w:tc>
        <w:tc>
          <w:tcPr>
            <w:tcW w:w="513" w:type="dxa"/>
            <w:vAlign w:val="center"/>
          </w:tcPr>
          <w:p>
            <w:pPr>
              <w:spacing w:line="560" w:lineRule="exact"/>
              <w:jc w:val="right"/>
              <w:rPr>
                <w:rFonts w:ascii="仿宋" w:hAnsi="仿宋" w:eastAsia="仿宋" w:cs="Times New Roman"/>
                <w:b/>
                <w:bCs/>
                <w:sz w:val="18"/>
                <w:szCs w:val="18"/>
              </w:rPr>
            </w:pPr>
          </w:p>
        </w:tc>
        <w:tc>
          <w:tcPr>
            <w:tcW w:w="412" w:type="dxa"/>
            <w:vAlign w:val="center"/>
          </w:tcPr>
          <w:p>
            <w:pPr>
              <w:spacing w:line="560" w:lineRule="exact"/>
              <w:jc w:val="right"/>
              <w:rPr>
                <w:rFonts w:ascii="仿宋" w:hAnsi="仿宋" w:eastAsia="仿宋" w:cs="Times New Roman"/>
                <w:b/>
                <w:bCs/>
                <w:sz w:val="18"/>
                <w:szCs w:val="18"/>
              </w:rPr>
            </w:pPr>
          </w:p>
        </w:tc>
        <w:tc>
          <w:tcPr>
            <w:tcW w:w="421" w:type="dxa"/>
            <w:vAlign w:val="center"/>
          </w:tcPr>
          <w:p>
            <w:pPr>
              <w:spacing w:line="560" w:lineRule="exact"/>
              <w:jc w:val="right"/>
              <w:rPr>
                <w:rFonts w:ascii="仿宋" w:hAnsi="仿宋" w:eastAsia="仿宋" w:cs="Times New Roman"/>
                <w:b/>
                <w:bCs/>
                <w:sz w:val="18"/>
                <w:szCs w:val="18"/>
              </w:rPr>
            </w:pPr>
          </w:p>
        </w:tc>
      </w:tr>
    </w:tbl>
    <w:p>
      <w:pPr>
        <w:widowControl/>
        <w:spacing w:line="360" w:lineRule="auto"/>
        <w:ind w:firstLine="643" w:firstLineChars="200"/>
        <w:jc w:val="left"/>
        <w:rPr>
          <w:rFonts w:ascii="仿宋" w:hAnsi="仿宋" w:eastAsia="仿宋" w:cs="Calibri"/>
          <w:b/>
          <w:kern w:val="0"/>
          <w:sz w:val="32"/>
          <w:szCs w:val="32"/>
        </w:rPr>
      </w:pPr>
    </w:p>
    <w:p>
      <w:pPr>
        <w:widowControl/>
        <w:tabs>
          <w:tab w:val="left" w:pos="910"/>
          <w:tab w:val="left" w:pos="1215"/>
        </w:tabs>
        <w:spacing w:line="360" w:lineRule="auto"/>
        <w:ind w:firstLine="640" w:firstLineChars="200"/>
        <w:jc w:val="left"/>
        <w:rPr>
          <w:rFonts w:ascii="黑体" w:hAnsi="黑体" w:eastAsia="黑体" w:cs="Calibri"/>
          <w:kern w:val="0"/>
          <w:sz w:val="32"/>
          <w:szCs w:val="32"/>
        </w:rPr>
      </w:pPr>
      <w:r>
        <w:rPr>
          <w:rFonts w:hint="eastAsia" w:ascii="黑体" w:hAnsi="黑体" w:eastAsia="黑体" w:cs="Calibri"/>
          <w:kern w:val="0"/>
          <w:sz w:val="32"/>
          <w:szCs w:val="32"/>
        </w:rPr>
        <w:t>七、国有资产信息</w:t>
      </w:r>
    </w:p>
    <w:p>
      <w:pPr>
        <w:widowControl/>
        <w:spacing w:line="360" w:lineRule="auto"/>
        <w:ind w:left="412" w:leftChars="196" w:firstLine="640" w:firstLineChars="200"/>
        <w:jc w:val="left"/>
        <w:rPr>
          <w:rFonts w:ascii="仿宋" w:hAnsi="仿宋" w:eastAsia="仿宋" w:cs="仿宋_GB2312"/>
          <w:kern w:val="0"/>
          <w:sz w:val="32"/>
          <w:szCs w:val="32"/>
        </w:rPr>
      </w:pPr>
      <w:r>
        <w:rPr>
          <w:rFonts w:hint="eastAsia" w:ascii="仿宋" w:hAnsi="仿宋" w:eastAsia="仿宋" w:cs="宋体"/>
          <w:color w:val="333333"/>
          <w:kern w:val="0"/>
          <w:sz w:val="32"/>
          <w:szCs w:val="32"/>
        </w:rPr>
        <w:t>成安县纪律检查委员会（含所属单位）</w:t>
      </w:r>
      <w:r>
        <w:rPr>
          <w:rFonts w:ascii="仿宋" w:hAnsi="仿宋" w:eastAsia="仿宋" w:cs="宋体"/>
          <w:color w:val="333333"/>
          <w:kern w:val="0"/>
          <w:sz w:val="32"/>
          <w:szCs w:val="32"/>
        </w:rPr>
        <w:t>上年</w:t>
      </w:r>
      <w:r>
        <w:rPr>
          <w:rFonts w:ascii="仿宋" w:hAnsi="仿宋" w:eastAsia="仿宋" w:cs="仿宋_GB2312"/>
          <w:kern w:val="0"/>
          <w:sz w:val="32"/>
          <w:szCs w:val="32"/>
        </w:rPr>
        <w:t>末固定资产</w:t>
      </w:r>
      <w:r>
        <w:rPr>
          <w:rFonts w:hint="eastAsia" w:ascii="仿宋" w:hAnsi="仿宋" w:eastAsia="仿宋" w:cs="仿宋_GB2312"/>
          <w:kern w:val="0"/>
          <w:sz w:val="32"/>
          <w:szCs w:val="32"/>
        </w:rPr>
        <w:t>金额为282.1749</w:t>
      </w:r>
      <w:r>
        <w:rPr>
          <w:rFonts w:ascii="仿宋" w:hAnsi="仿宋" w:eastAsia="仿宋" w:cs="仿宋_GB2312"/>
          <w:kern w:val="0"/>
          <w:sz w:val="32"/>
          <w:szCs w:val="32"/>
        </w:rPr>
        <w:t>万元。</w:t>
      </w:r>
      <w:r>
        <w:rPr>
          <w:rFonts w:hint="eastAsia" w:ascii="仿宋" w:hAnsi="仿宋" w:eastAsia="仿宋" w:cs="仿宋_GB2312"/>
          <w:kern w:val="0"/>
          <w:sz w:val="32"/>
          <w:szCs w:val="32"/>
        </w:rPr>
        <w:t>本年度拟购置固定资产25.84万元，主要为碎纸机</w:t>
      </w:r>
      <w:r>
        <w:rPr>
          <w:rFonts w:hint="eastAsia" w:ascii="仿宋" w:hAnsi="仿宋" w:eastAsia="仿宋" w:cs="仿宋_GB2312"/>
          <w:kern w:val="0"/>
          <w:sz w:val="32"/>
          <w:szCs w:val="32"/>
          <w:lang w:val="en-US" w:eastAsia="zh-CN"/>
        </w:rPr>
        <w:t>30台共计4万元</w:t>
      </w:r>
      <w:r>
        <w:rPr>
          <w:rFonts w:hint="eastAsia" w:ascii="仿宋" w:hAnsi="仿宋" w:eastAsia="仿宋" w:cs="仿宋_GB2312"/>
          <w:kern w:val="0"/>
          <w:sz w:val="32"/>
          <w:szCs w:val="32"/>
        </w:rPr>
        <w:t>、办公家具</w:t>
      </w:r>
      <w:r>
        <w:rPr>
          <w:rFonts w:hint="eastAsia" w:ascii="仿宋" w:hAnsi="仿宋" w:eastAsia="仿宋" w:cs="仿宋_GB2312"/>
          <w:kern w:val="0"/>
          <w:sz w:val="32"/>
          <w:szCs w:val="32"/>
          <w:lang w:val="en-US" w:eastAsia="zh-CN"/>
        </w:rPr>
        <w:t>40张共计1.92万元</w:t>
      </w:r>
      <w:r>
        <w:rPr>
          <w:rFonts w:hint="eastAsia" w:ascii="仿宋" w:hAnsi="仿宋" w:eastAsia="仿宋" w:cs="仿宋_GB2312"/>
          <w:kern w:val="0"/>
          <w:sz w:val="32"/>
          <w:szCs w:val="32"/>
        </w:rPr>
        <w:t>、音响设备</w:t>
      </w:r>
      <w:r>
        <w:rPr>
          <w:rFonts w:hint="eastAsia" w:ascii="仿宋" w:hAnsi="仿宋" w:eastAsia="仿宋" w:cs="仿宋_GB2312"/>
          <w:kern w:val="0"/>
          <w:sz w:val="32"/>
          <w:szCs w:val="32"/>
          <w:lang w:val="en-US" w:eastAsia="zh-CN"/>
        </w:rPr>
        <w:t>1套共计2.7万元</w:t>
      </w:r>
      <w:r>
        <w:rPr>
          <w:rFonts w:hint="eastAsia" w:ascii="仿宋" w:hAnsi="仿宋" w:eastAsia="仿宋" w:cs="仿宋_GB2312"/>
          <w:kern w:val="0"/>
          <w:sz w:val="32"/>
          <w:szCs w:val="32"/>
        </w:rPr>
        <w:t>、空调</w:t>
      </w:r>
      <w:r>
        <w:rPr>
          <w:rFonts w:hint="eastAsia" w:ascii="仿宋" w:hAnsi="仿宋" w:eastAsia="仿宋" w:cs="仿宋_GB2312"/>
          <w:kern w:val="0"/>
          <w:sz w:val="32"/>
          <w:szCs w:val="32"/>
          <w:lang w:val="en-US" w:eastAsia="zh-CN"/>
        </w:rPr>
        <w:t>6台共计3.44万元</w:t>
      </w:r>
      <w:r>
        <w:rPr>
          <w:rFonts w:hint="eastAsia" w:ascii="仿宋" w:hAnsi="仿宋" w:eastAsia="仿宋" w:cs="仿宋_GB2312"/>
          <w:kern w:val="0"/>
          <w:sz w:val="32"/>
          <w:szCs w:val="32"/>
        </w:rPr>
        <w:t>、复印机</w:t>
      </w:r>
      <w:r>
        <w:rPr>
          <w:rFonts w:hint="eastAsia" w:ascii="仿宋" w:hAnsi="仿宋" w:eastAsia="仿宋" w:cs="仿宋_GB2312"/>
          <w:kern w:val="0"/>
          <w:sz w:val="32"/>
          <w:szCs w:val="32"/>
          <w:lang w:val="en-US" w:eastAsia="zh-CN"/>
        </w:rPr>
        <w:t>3台共计2.7万元</w:t>
      </w:r>
      <w:r>
        <w:rPr>
          <w:rFonts w:hint="eastAsia" w:ascii="仿宋" w:hAnsi="仿宋" w:eastAsia="仿宋" w:cs="仿宋_GB2312"/>
          <w:kern w:val="0"/>
          <w:sz w:val="32"/>
          <w:szCs w:val="32"/>
        </w:rPr>
        <w:t>已列入政府采购预算。详见上表。</w:t>
      </w:r>
    </w:p>
    <w:tbl>
      <w:tblPr>
        <w:tblStyle w:val="6"/>
        <w:tblW w:w="9855" w:type="dxa"/>
        <w:tblInd w:w="-106" w:type="dxa"/>
        <w:tblLayout w:type="fixed"/>
        <w:tblCellMar>
          <w:top w:w="0" w:type="dxa"/>
          <w:left w:w="108" w:type="dxa"/>
          <w:bottom w:w="0" w:type="dxa"/>
          <w:right w:w="108" w:type="dxa"/>
        </w:tblCellMar>
      </w:tblPr>
      <w:tblGrid>
        <w:gridCol w:w="4502"/>
        <w:gridCol w:w="930"/>
        <w:gridCol w:w="4423"/>
      </w:tblGrid>
      <w:tr>
        <w:tblPrEx>
          <w:tblCellMar>
            <w:top w:w="0" w:type="dxa"/>
            <w:left w:w="108" w:type="dxa"/>
            <w:bottom w:w="0" w:type="dxa"/>
            <w:right w:w="108" w:type="dxa"/>
          </w:tblCellMar>
        </w:tblPrEx>
        <w:trPr>
          <w:trHeight w:val="705" w:hRule="atLeast"/>
        </w:trPr>
        <w:tc>
          <w:tcPr>
            <w:tcW w:w="9855" w:type="dxa"/>
            <w:gridSpan w:val="3"/>
            <w:tcBorders>
              <w:top w:val="nil"/>
              <w:left w:val="nil"/>
              <w:bottom w:val="nil"/>
              <w:right w:val="nil"/>
            </w:tcBorders>
            <w:vAlign w:val="center"/>
          </w:tcPr>
          <w:p>
            <w:pPr>
              <w:widowControl/>
              <w:ind w:firstLine="2570" w:firstLineChars="800"/>
              <w:rPr>
                <w:rFonts w:ascii="仿宋" w:hAnsi="仿宋" w:eastAsia="仿宋" w:cs="Times New Roman"/>
                <w:b/>
                <w:bCs/>
                <w:kern w:val="0"/>
                <w:sz w:val="32"/>
                <w:szCs w:val="32"/>
              </w:rPr>
            </w:pPr>
            <w:r>
              <w:rPr>
                <w:rFonts w:hint="eastAsia" w:ascii="仿宋" w:hAnsi="仿宋" w:eastAsia="仿宋" w:cs="宋体"/>
                <w:b/>
                <w:bCs/>
                <w:kern w:val="0"/>
                <w:sz w:val="32"/>
                <w:szCs w:val="32"/>
              </w:rPr>
              <w:t>部门固定资产占用情况表</w:t>
            </w:r>
          </w:p>
        </w:tc>
      </w:tr>
      <w:tr>
        <w:tblPrEx>
          <w:tblCellMar>
            <w:top w:w="0" w:type="dxa"/>
            <w:left w:w="108" w:type="dxa"/>
            <w:bottom w:w="0" w:type="dxa"/>
            <w:right w:w="108" w:type="dxa"/>
          </w:tblCellMar>
        </w:tblPrEx>
        <w:trPr>
          <w:trHeight w:val="510" w:hRule="atLeast"/>
        </w:trPr>
        <w:tc>
          <w:tcPr>
            <w:tcW w:w="5432" w:type="dxa"/>
            <w:gridSpan w:val="2"/>
            <w:tcBorders>
              <w:top w:val="nil"/>
              <w:left w:val="nil"/>
              <w:bottom w:val="nil"/>
              <w:right w:val="nil"/>
            </w:tcBorders>
            <w:vAlign w:val="center"/>
          </w:tcPr>
          <w:p>
            <w:pPr>
              <w:widowControl/>
              <w:jc w:val="left"/>
              <w:rPr>
                <w:rFonts w:ascii="仿宋" w:hAnsi="仿宋" w:eastAsia="仿宋" w:cs="Times New Roman"/>
                <w:kern w:val="0"/>
                <w:sz w:val="22"/>
              </w:rPr>
            </w:pPr>
            <w:r>
              <w:rPr>
                <w:rFonts w:hint="eastAsia" w:ascii="仿宋" w:hAnsi="仿宋" w:eastAsia="仿宋" w:cs="宋体"/>
                <w:kern w:val="0"/>
                <w:sz w:val="22"/>
              </w:rPr>
              <w:t>编制部门：成安县纪律检查委员会</w:t>
            </w:r>
          </w:p>
        </w:tc>
        <w:tc>
          <w:tcPr>
            <w:tcW w:w="4423" w:type="dxa"/>
            <w:tcBorders>
              <w:top w:val="nil"/>
              <w:left w:val="nil"/>
              <w:bottom w:val="nil"/>
              <w:right w:val="nil"/>
            </w:tcBorders>
            <w:vAlign w:val="center"/>
          </w:tcPr>
          <w:p>
            <w:pPr>
              <w:widowControl/>
              <w:ind w:firstLine="550" w:firstLineChars="250"/>
              <w:jc w:val="left"/>
              <w:rPr>
                <w:rFonts w:ascii="仿宋" w:hAnsi="仿宋" w:eastAsia="仿宋" w:cs="宋体"/>
                <w:kern w:val="0"/>
                <w:sz w:val="22"/>
              </w:rPr>
            </w:pPr>
            <w:r>
              <w:rPr>
                <w:rFonts w:hint="eastAsia" w:ascii="仿宋" w:hAnsi="仿宋" w:eastAsia="仿宋" w:cs="宋体"/>
                <w:kern w:val="0"/>
                <w:sz w:val="22"/>
              </w:rPr>
              <w:t>截止时间：</w:t>
            </w:r>
            <w:r>
              <w:rPr>
                <w:rFonts w:ascii="仿宋" w:hAnsi="仿宋" w:eastAsia="仿宋" w:cs="宋体"/>
                <w:kern w:val="0"/>
                <w:sz w:val="22"/>
              </w:rPr>
              <w:t>201</w:t>
            </w:r>
            <w:r>
              <w:rPr>
                <w:rFonts w:hint="eastAsia" w:ascii="仿宋" w:hAnsi="仿宋" w:eastAsia="仿宋" w:cs="宋体"/>
                <w:kern w:val="0"/>
                <w:sz w:val="22"/>
              </w:rPr>
              <w:t>9年</w:t>
            </w:r>
            <w:r>
              <w:rPr>
                <w:rFonts w:ascii="仿宋" w:hAnsi="仿宋" w:eastAsia="仿宋" w:cs="宋体"/>
                <w:kern w:val="0"/>
                <w:sz w:val="22"/>
              </w:rPr>
              <w:t>12</w:t>
            </w:r>
            <w:r>
              <w:rPr>
                <w:rFonts w:hint="eastAsia" w:ascii="仿宋" w:hAnsi="仿宋" w:eastAsia="仿宋" w:cs="宋体"/>
                <w:kern w:val="0"/>
                <w:sz w:val="22"/>
              </w:rPr>
              <w:t>月</w:t>
            </w:r>
            <w:r>
              <w:rPr>
                <w:rFonts w:ascii="仿宋" w:hAnsi="仿宋" w:eastAsia="仿宋" w:cs="宋体"/>
                <w:kern w:val="0"/>
                <w:sz w:val="22"/>
              </w:rPr>
              <w:t>31</w:t>
            </w:r>
            <w:r>
              <w:rPr>
                <w:rFonts w:hint="eastAsia" w:ascii="仿宋" w:hAnsi="仿宋" w:eastAsia="仿宋" w:cs="宋体"/>
                <w:kern w:val="0"/>
                <w:sz w:val="22"/>
              </w:rPr>
              <w:t>日</w:t>
            </w:r>
          </w:p>
        </w:tc>
      </w:tr>
      <w:tr>
        <w:tblPrEx>
          <w:tblCellMar>
            <w:top w:w="0" w:type="dxa"/>
            <w:left w:w="108" w:type="dxa"/>
            <w:bottom w:w="0" w:type="dxa"/>
            <w:right w:w="108" w:type="dxa"/>
          </w:tblCellMar>
        </w:tblPrEx>
        <w:trPr>
          <w:trHeight w:val="645" w:hRule="atLeast"/>
        </w:trPr>
        <w:tc>
          <w:tcPr>
            <w:tcW w:w="450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Times New Roman"/>
                <w:b/>
                <w:bCs/>
                <w:kern w:val="0"/>
                <w:sz w:val="22"/>
              </w:rPr>
            </w:pPr>
            <w:r>
              <w:rPr>
                <w:rFonts w:hint="eastAsia" w:ascii="仿宋" w:hAnsi="仿宋" w:eastAsia="仿宋" w:cs="宋体"/>
                <w:b/>
                <w:bCs/>
                <w:kern w:val="0"/>
                <w:sz w:val="22"/>
              </w:rPr>
              <w:t>项目</w:t>
            </w:r>
          </w:p>
        </w:tc>
        <w:tc>
          <w:tcPr>
            <w:tcW w:w="930"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Times New Roman"/>
                <w:b/>
                <w:bCs/>
                <w:kern w:val="0"/>
                <w:sz w:val="22"/>
              </w:rPr>
            </w:pPr>
            <w:r>
              <w:rPr>
                <w:rFonts w:hint="eastAsia" w:ascii="仿宋" w:hAnsi="仿宋" w:eastAsia="仿宋" w:cs="宋体"/>
                <w:b/>
                <w:bCs/>
                <w:kern w:val="0"/>
                <w:sz w:val="22"/>
              </w:rPr>
              <w:t>数量</w:t>
            </w:r>
          </w:p>
        </w:tc>
        <w:tc>
          <w:tcPr>
            <w:tcW w:w="4423" w:type="dxa"/>
            <w:tcBorders>
              <w:top w:val="single" w:color="auto" w:sz="4" w:space="0"/>
              <w:left w:val="nil"/>
              <w:bottom w:val="single" w:color="auto" w:sz="4" w:space="0"/>
              <w:right w:val="single" w:color="auto" w:sz="4" w:space="0"/>
            </w:tcBorders>
            <w:vAlign w:val="center"/>
          </w:tcPr>
          <w:p>
            <w:pPr>
              <w:widowControl/>
              <w:jc w:val="center"/>
              <w:rPr>
                <w:rFonts w:ascii="仿宋" w:hAnsi="仿宋" w:eastAsia="仿宋" w:cs="Times New Roman"/>
                <w:b/>
                <w:bCs/>
                <w:kern w:val="0"/>
                <w:sz w:val="22"/>
              </w:rPr>
            </w:pPr>
            <w:r>
              <w:rPr>
                <w:rFonts w:hint="eastAsia" w:ascii="仿宋" w:hAnsi="仿宋" w:eastAsia="仿宋" w:cs="宋体"/>
                <w:b/>
                <w:bCs/>
                <w:kern w:val="0"/>
                <w:sz w:val="22"/>
              </w:rPr>
              <w:t>价值（金额单位：万元）</w:t>
            </w: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宋体"/>
                <w:kern w:val="0"/>
                <w:sz w:val="22"/>
              </w:rPr>
              <w:t>资产总额</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2"/>
              </w:rPr>
            </w:pPr>
            <w:r>
              <w:rPr>
                <w:rFonts w:ascii="仿宋" w:hAnsi="仿宋" w:eastAsia="仿宋" w:cs="宋体"/>
                <w:kern w:val="0"/>
                <w:sz w:val="22"/>
              </w:rPr>
              <w:t>——</w:t>
            </w: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宋体"/>
                <w:kern w:val="0"/>
                <w:sz w:val="22"/>
              </w:rPr>
            </w:pPr>
            <w:r>
              <w:rPr>
                <w:rFonts w:hint="eastAsia" w:ascii="仿宋" w:hAnsi="仿宋" w:eastAsia="仿宋" w:cs="宋体"/>
                <w:kern w:val="0"/>
                <w:sz w:val="22"/>
              </w:rPr>
              <w:t>282.1749</w:t>
            </w: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1</w:t>
            </w:r>
            <w:r>
              <w:rPr>
                <w:rFonts w:hint="eastAsia" w:ascii="仿宋" w:hAnsi="仿宋" w:eastAsia="仿宋" w:cs="宋体"/>
                <w:kern w:val="0"/>
                <w:sz w:val="22"/>
              </w:rPr>
              <w:t>、房屋（平方米）</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hint="eastAsia" w:ascii="仿宋" w:hAnsi="仿宋" w:eastAsia="仿宋" w:cs="宋体"/>
                <w:kern w:val="0"/>
                <w:sz w:val="22"/>
              </w:rPr>
              <w:t>其中：办公用房（平方米）</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2</w:t>
            </w:r>
            <w:r>
              <w:rPr>
                <w:rFonts w:hint="eastAsia" w:ascii="仿宋" w:hAnsi="仿宋" w:eastAsia="仿宋" w:cs="宋体"/>
                <w:kern w:val="0"/>
                <w:sz w:val="22"/>
              </w:rPr>
              <w:t>、车辆（台、辆）</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5</w:t>
            </w: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45</w:t>
            </w: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3</w:t>
            </w:r>
            <w:r>
              <w:rPr>
                <w:rFonts w:hint="eastAsia" w:ascii="仿宋" w:hAnsi="仿宋" w:eastAsia="仿宋" w:cs="宋体"/>
                <w:kern w:val="0"/>
                <w:sz w:val="22"/>
              </w:rPr>
              <w:t>、单价在</w:t>
            </w:r>
            <w:r>
              <w:rPr>
                <w:rFonts w:ascii="仿宋" w:hAnsi="仿宋" w:eastAsia="仿宋" w:cs="宋体"/>
                <w:kern w:val="0"/>
                <w:sz w:val="22"/>
              </w:rPr>
              <w:t>50</w:t>
            </w:r>
            <w:r>
              <w:rPr>
                <w:rFonts w:hint="eastAsia" w:ascii="仿宋" w:hAnsi="仿宋" w:eastAsia="仿宋" w:cs="宋体"/>
                <w:kern w:val="0"/>
                <w:sz w:val="22"/>
              </w:rPr>
              <w:t>万元以上的设备</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p>
        </w:tc>
      </w:tr>
      <w:tr>
        <w:tblPrEx>
          <w:tblCellMar>
            <w:top w:w="0" w:type="dxa"/>
            <w:left w:w="108" w:type="dxa"/>
            <w:bottom w:w="0" w:type="dxa"/>
            <w:right w:w="108" w:type="dxa"/>
          </w:tblCellMar>
        </w:tblPrEx>
        <w:trPr>
          <w:trHeight w:val="645" w:hRule="atLeast"/>
        </w:trPr>
        <w:tc>
          <w:tcPr>
            <w:tcW w:w="4502" w:type="dxa"/>
            <w:tcBorders>
              <w:top w:val="nil"/>
              <w:left w:val="single" w:color="auto" w:sz="4" w:space="0"/>
              <w:bottom w:val="single" w:color="auto" w:sz="4" w:space="0"/>
              <w:right w:val="single" w:color="auto" w:sz="4" w:space="0"/>
            </w:tcBorders>
            <w:vAlign w:val="center"/>
          </w:tcPr>
          <w:p>
            <w:pPr>
              <w:widowControl/>
              <w:jc w:val="left"/>
              <w:rPr>
                <w:rFonts w:ascii="仿宋" w:hAnsi="仿宋" w:eastAsia="仿宋" w:cs="Times New Roman"/>
                <w:kern w:val="0"/>
                <w:sz w:val="22"/>
              </w:rPr>
            </w:pPr>
            <w:r>
              <w:rPr>
                <w:rFonts w:ascii="仿宋" w:hAnsi="仿宋" w:eastAsia="仿宋" w:cs="宋体"/>
                <w:kern w:val="0"/>
                <w:sz w:val="22"/>
              </w:rPr>
              <w:t>4</w:t>
            </w:r>
            <w:r>
              <w:rPr>
                <w:rFonts w:hint="eastAsia" w:ascii="仿宋" w:hAnsi="仿宋" w:eastAsia="仿宋" w:cs="宋体"/>
                <w:kern w:val="0"/>
                <w:sz w:val="22"/>
              </w:rPr>
              <w:t>、其他固定资产</w:t>
            </w:r>
          </w:p>
        </w:tc>
        <w:tc>
          <w:tcPr>
            <w:tcW w:w="930"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125</w:t>
            </w:r>
          </w:p>
        </w:tc>
        <w:tc>
          <w:tcPr>
            <w:tcW w:w="4423" w:type="dxa"/>
            <w:tcBorders>
              <w:top w:val="nil"/>
              <w:left w:val="nil"/>
              <w:bottom w:val="single" w:color="auto" w:sz="4" w:space="0"/>
              <w:right w:val="single" w:color="auto" w:sz="4" w:space="0"/>
            </w:tcBorders>
            <w:vAlign w:val="center"/>
          </w:tcPr>
          <w:p>
            <w:pPr>
              <w:widowControl/>
              <w:jc w:val="center"/>
              <w:rPr>
                <w:rFonts w:ascii="仿宋" w:hAnsi="仿宋" w:eastAsia="仿宋" w:cs="Times New Roman"/>
                <w:kern w:val="0"/>
                <w:sz w:val="22"/>
              </w:rPr>
            </w:pPr>
            <w:r>
              <w:rPr>
                <w:rFonts w:hint="eastAsia" w:ascii="仿宋" w:hAnsi="仿宋" w:eastAsia="仿宋" w:cs="Times New Roman"/>
                <w:kern w:val="0"/>
                <w:sz w:val="22"/>
              </w:rPr>
              <w:t>2776.1749</w:t>
            </w:r>
          </w:p>
        </w:tc>
      </w:tr>
    </w:tbl>
    <w:p>
      <w:pPr>
        <w:widowControl/>
        <w:spacing w:line="360" w:lineRule="auto"/>
        <w:ind w:firstLine="643" w:firstLineChars="200"/>
        <w:jc w:val="left"/>
        <w:rPr>
          <w:rFonts w:ascii="仿宋" w:hAnsi="仿宋" w:eastAsia="仿宋" w:cs="仿宋_GB2312"/>
          <w:b/>
          <w:kern w:val="0"/>
          <w:sz w:val="32"/>
          <w:szCs w:val="32"/>
        </w:rPr>
      </w:pPr>
    </w:p>
    <w:p>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_GB2312"/>
          <w:kern w:val="0"/>
          <w:sz w:val="32"/>
          <w:szCs w:val="32"/>
        </w:rPr>
        <w:t>八、</w:t>
      </w:r>
      <w:r>
        <w:rPr>
          <w:rFonts w:hint="eastAsia" w:ascii="黑体" w:hAnsi="黑体" w:eastAsia="黑体" w:cs="仿宋"/>
          <w:kern w:val="0"/>
          <w:sz w:val="32"/>
          <w:szCs w:val="32"/>
        </w:rPr>
        <w:t>名词解释</w:t>
      </w:r>
      <w:r>
        <w:rPr>
          <w:rFonts w:hint="eastAsia" w:ascii="宋体" w:hAnsi="宋体" w:eastAsia="宋体" w:cs="宋体"/>
          <w:kern w:val="0"/>
          <w:sz w:val="32"/>
          <w:szCs w:val="32"/>
        </w:rPr>
        <w:t> </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1、财政拨款收入：指</w:t>
      </w:r>
      <w:r>
        <w:rPr>
          <w:rFonts w:hint="eastAsia" w:ascii="仿宋" w:hAnsi="仿宋" w:eastAsia="仿宋" w:cs="仿宋"/>
          <w:kern w:val="0"/>
          <w:sz w:val="32"/>
          <w:szCs w:val="32"/>
        </w:rPr>
        <w:t>财政当年拨付的资金。</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 xml:space="preserve">2、“三公”经费：包括因公出国（境）费、公务接待费和公务用车购置及运行费。因公出国（境）费，指单位工作人员公务出国（境）的住宿费、差旅费、伙食补助费、杂费、培训费等支出。公务接待费，指单位按规定开支的各类公务接待（含外宾接待）支出。公务用车购置及运行费，指单位公务用车购置费及租用费、燃料费、维修费、等支出，公务用车指用于履行公务的机动车辆，包括领导干部专车、一般公务用车和执法执勤等业务用车。 </w:t>
      </w:r>
    </w:p>
    <w:p>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kern w:val="0"/>
          <w:sz w:val="32"/>
          <w:szCs w:val="32"/>
        </w:rPr>
        <w:t>3</w:t>
      </w:r>
      <w:r>
        <w:rPr>
          <w:rFonts w:hint="eastAsia" w:ascii="仿宋" w:hAnsi="仿宋" w:eastAsia="仿宋" w:cs="仿宋"/>
          <w:b/>
          <w:kern w:val="0"/>
          <w:sz w:val="32"/>
          <w:szCs w:val="32"/>
        </w:rPr>
        <w:t>、</w:t>
      </w:r>
      <w:r>
        <w:rPr>
          <w:rFonts w:hint="eastAsia" w:ascii="仿宋" w:hAnsi="仿宋" w:eastAsia="仿宋" w:cs="仿宋"/>
          <w:bCs/>
          <w:kern w:val="0"/>
          <w:sz w:val="32"/>
          <w:szCs w:val="32"/>
        </w:rPr>
        <w:t>年初结转和结余</w:t>
      </w:r>
      <w:r>
        <w:rPr>
          <w:rFonts w:hint="eastAsia" w:ascii="仿宋" w:hAnsi="仿宋" w:eastAsia="仿宋" w:cs="仿宋"/>
          <w:kern w:val="0"/>
          <w:sz w:val="32"/>
          <w:szCs w:val="32"/>
        </w:rPr>
        <w:t xml:space="preserve">：指以前年度尚未完成，结转到本年仍按照原规定用途继续使用的资金，或项目已完成等产生的结余资金。 </w:t>
      </w:r>
      <w:r>
        <w:rPr>
          <w:rFonts w:hint="eastAsia" w:ascii="宋体" w:hAnsi="宋体" w:eastAsia="宋体" w:cs="宋体"/>
          <w:b/>
          <w:kern w:val="0"/>
          <w:sz w:val="32"/>
          <w:szCs w:val="32"/>
        </w:rPr>
        <w:t> </w:t>
      </w:r>
    </w:p>
    <w:p>
      <w:pPr>
        <w:widowControl/>
        <w:spacing w:line="360" w:lineRule="auto"/>
        <w:ind w:firstLine="640" w:firstLineChars="200"/>
        <w:jc w:val="left"/>
        <w:rPr>
          <w:rFonts w:ascii="仿宋" w:hAnsi="仿宋" w:eastAsia="仿宋" w:cs="仿宋"/>
          <w:b/>
          <w:kern w:val="0"/>
          <w:sz w:val="32"/>
          <w:szCs w:val="32"/>
        </w:rPr>
      </w:pPr>
      <w:r>
        <w:rPr>
          <w:rFonts w:hint="eastAsia" w:ascii="仿宋" w:hAnsi="仿宋" w:eastAsia="仿宋" w:cs="仿宋"/>
          <w:bCs/>
          <w:kern w:val="0"/>
          <w:sz w:val="32"/>
          <w:szCs w:val="32"/>
        </w:rPr>
        <w:t>4、基本支出</w:t>
      </w:r>
      <w:r>
        <w:rPr>
          <w:rFonts w:hint="eastAsia" w:ascii="仿宋" w:hAnsi="仿宋" w:eastAsia="仿宋" w:cs="仿宋"/>
          <w:kern w:val="0"/>
          <w:sz w:val="32"/>
          <w:szCs w:val="32"/>
        </w:rPr>
        <w:t xml:space="preserve">：指单位为了保障其正常运转、完成日常工作任务而发生的人员支出和公用支出。 </w:t>
      </w:r>
      <w:r>
        <w:rPr>
          <w:rFonts w:hint="eastAsia" w:ascii="宋体" w:hAnsi="宋体" w:eastAsia="宋体" w:cs="宋体"/>
          <w:b/>
          <w:kern w:val="0"/>
          <w:sz w:val="32"/>
          <w:szCs w:val="32"/>
        </w:rPr>
        <w:t> </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bCs/>
          <w:kern w:val="0"/>
          <w:sz w:val="32"/>
          <w:szCs w:val="32"/>
        </w:rPr>
        <w:t>5、项目支出：</w:t>
      </w:r>
      <w:r>
        <w:rPr>
          <w:rFonts w:hint="eastAsia" w:ascii="仿宋" w:hAnsi="仿宋" w:eastAsia="仿宋" w:cs="仿宋"/>
          <w:kern w:val="0"/>
          <w:sz w:val="32"/>
          <w:szCs w:val="32"/>
        </w:rPr>
        <w:t>指单位为了特定的工作任务和事业发展目标，在基本支出之外所发生的支出。</w:t>
      </w:r>
    </w:p>
    <w:p>
      <w:pPr>
        <w:widowControl/>
        <w:spacing w:line="360" w:lineRule="auto"/>
        <w:ind w:firstLine="640" w:firstLineChars="200"/>
        <w:jc w:val="left"/>
        <w:rPr>
          <w:rFonts w:ascii="黑体" w:hAnsi="黑体" w:eastAsia="黑体" w:cs="仿宋"/>
          <w:kern w:val="0"/>
          <w:sz w:val="32"/>
          <w:szCs w:val="32"/>
        </w:rPr>
      </w:pPr>
      <w:r>
        <w:rPr>
          <w:rFonts w:hint="eastAsia" w:ascii="黑体" w:hAnsi="黑体" w:eastAsia="黑体" w:cs="仿宋"/>
          <w:kern w:val="0"/>
          <w:sz w:val="32"/>
          <w:szCs w:val="32"/>
        </w:rPr>
        <w:t>九、其他需要说明的事项</w:t>
      </w:r>
    </w:p>
    <w:p>
      <w:pPr>
        <w:widowControl/>
        <w:spacing w:line="360" w:lineRule="auto"/>
        <w:ind w:firstLine="640" w:firstLineChars="200"/>
        <w:jc w:val="left"/>
        <w:rPr>
          <w:rFonts w:ascii="仿宋" w:hAnsi="仿宋" w:eastAsia="仿宋" w:cs="仿宋"/>
          <w:kern w:val="0"/>
          <w:sz w:val="32"/>
          <w:szCs w:val="32"/>
        </w:rPr>
      </w:pPr>
      <w:r>
        <w:rPr>
          <w:rFonts w:hint="eastAsia" w:ascii="仿宋" w:hAnsi="仿宋" w:eastAsia="仿宋" w:cs="仿宋"/>
          <w:kern w:val="0"/>
          <w:sz w:val="32"/>
          <w:szCs w:val="32"/>
        </w:rPr>
        <w:t>无其他需要说明的事项。</w:t>
      </w:r>
    </w:p>
    <w:p>
      <w:pPr>
        <w:widowControl/>
        <w:spacing w:line="360" w:lineRule="auto"/>
        <w:ind w:firstLine="420" w:firstLineChars="200"/>
        <w:jc w:val="left"/>
      </w:pPr>
    </w:p>
    <w:sectPr>
      <w:pgSz w:w="11907" w:h="16839"/>
      <w:pgMar w:top="1020" w:right="1134" w:bottom="102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小标宋_GBK">
    <w:panose1 w:val="03000509000000000000"/>
    <w:charset w:val="86"/>
    <w:family w:val="roman"/>
    <w:pitch w:val="default"/>
    <w:sig w:usb0="00000001" w:usb1="080E0000" w:usb2="00000000" w:usb3="00000000" w:csb0="00040000" w:csb1="00000000"/>
  </w:font>
  <w:font w:name="方正书宋_GBK">
    <w:altName w:val="Arial Unicode MS"/>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512DE9"/>
    <w:multiLevelType w:val="singleLevel"/>
    <w:tmpl w:val="58512DE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810D6"/>
    <w:rsid w:val="000076B3"/>
    <w:rsid w:val="00055CD4"/>
    <w:rsid w:val="00090840"/>
    <w:rsid w:val="000B3917"/>
    <w:rsid w:val="000C6AF0"/>
    <w:rsid w:val="00111199"/>
    <w:rsid w:val="001D5975"/>
    <w:rsid w:val="0028325F"/>
    <w:rsid w:val="00283785"/>
    <w:rsid w:val="002B4091"/>
    <w:rsid w:val="002C6278"/>
    <w:rsid w:val="002C6E50"/>
    <w:rsid w:val="002E3A95"/>
    <w:rsid w:val="003D18D3"/>
    <w:rsid w:val="00400F42"/>
    <w:rsid w:val="004907E1"/>
    <w:rsid w:val="0049431A"/>
    <w:rsid w:val="004C0D3C"/>
    <w:rsid w:val="00536B19"/>
    <w:rsid w:val="00554B03"/>
    <w:rsid w:val="005845CB"/>
    <w:rsid w:val="005B683F"/>
    <w:rsid w:val="005C408E"/>
    <w:rsid w:val="005D136A"/>
    <w:rsid w:val="0062621A"/>
    <w:rsid w:val="00637988"/>
    <w:rsid w:val="00685811"/>
    <w:rsid w:val="006D1C5B"/>
    <w:rsid w:val="006E3336"/>
    <w:rsid w:val="0070541F"/>
    <w:rsid w:val="00723935"/>
    <w:rsid w:val="0074582A"/>
    <w:rsid w:val="00746013"/>
    <w:rsid w:val="007A507B"/>
    <w:rsid w:val="007D6BF0"/>
    <w:rsid w:val="007E0BB1"/>
    <w:rsid w:val="00801800"/>
    <w:rsid w:val="008058DC"/>
    <w:rsid w:val="00831A93"/>
    <w:rsid w:val="008A2C79"/>
    <w:rsid w:val="008C7744"/>
    <w:rsid w:val="008E721E"/>
    <w:rsid w:val="009A26CA"/>
    <w:rsid w:val="009D0562"/>
    <w:rsid w:val="009E26ED"/>
    <w:rsid w:val="00A04AAC"/>
    <w:rsid w:val="00A07D70"/>
    <w:rsid w:val="00A41AB1"/>
    <w:rsid w:val="00A57991"/>
    <w:rsid w:val="00AE29F7"/>
    <w:rsid w:val="00AF63DA"/>
    <w:rsid w:val="00BB3237"/>
    <w:rsid w:val="00BB4B5F"/>
    <w:rsid w:val="00BE3541"/>
    <w:rsid w:val="00C14AEC"/>
    <w:rsid w:val="00C22FD2"/>
    <w:rsid w:val="00C24696"/>
    <w:rsid w:val="00C37A66"/>
    <w:rsid w:val="00D0773C"/>
    <w:rsid w:val="00DE3DAF"/>
    <w:rsid w:val="00DE7428"/>
    <w:rsid w:val="00DF0EBA"/>
    <w:rsid w:val="00E810D6"/>
    <w:rsid w:val="00FD0552"/>
    <w:rsid w:val="013B67CD"/>
    <w:rsid w:val="01974477"/>
    <w:rsid w:val="01CA412B"/>
    <w:rsid w:val="02C1274C"/>
    <w:rsid w:val="037D399A"/>
    <w:rsid w:val="03B213E5"/>
    <w:rsid w:val="04083775"/>
    <w:rsid w:val="04EF14EF"/>
    <w:rsid w:val="06096D52"/>
    <w:rsid w:val="06550E5D"/>
    <w:rsid w:val="0726741C"/>
    <w:rsid w:val="08D34D69"/>
    <w:rsid w:val="09E50DB9"/>
    <w:rsid w:val="0B3711B1"/>
    <w:rsid w:val="0BAB5156"/>
    <w:rsid w:val="0BB759F9"/>
    <w:rsid w:val="0CB75E4B"/>
    <w:rsid w:val="0CBF7A43"/>
    <w:rsid w:val="0DD4180B"/>
    <w:rsid w:val="0F755E43"/>
    <w:rsid w:val="111207C4"/>
    <w:rsid w:val="1163562B"/>
    <w:rsid w:val="130B706D"/>
    <w:rsid w:val="132C7C63"/>
    <w:rsid w:val="135961FD"/>
    <w:rsid w:val="139106CF"/>
    <w:rsid w:val="13DE0FA8"/>
    <w:rsid w:val="163506CD"/>
    <w:rsid w:val="17252863"/>
    <w:rsid w:val="17555ACE"/>
    <w:rsid w:val="175940C0"/>
    <w:rsid w:val="17C16AC9"/>
    <w:rsid w:val="180D78B9"/>
    <w:rsid w:val="194F048F"/>
    <w:rsid w:val="1AEF7278"/>
    <w:rsid w:val="1AF5628A"/>
    <w:rsid w:val="1B2A5EA4"/>
    <w:rsid w:val="1BC95441"/>
    <w:rsid w:val="1CC97251"/>
    <w:rsid w:val="1CEB0A1C"/>
    <w:rsid w:val="1E7537D7"/>
    <w:rsid w:val="1E8167C1"/>
    <w:rsid w:val="1EAA0AE1"/>
    <w:rsid w:val="21B66276"/>
    <w:rsid w:val="228819EE"/>
    <w:rsid w:val="24F15E75"/>
    <w:rsid w:val="25C34391"/>
    <w:rsid w:val="2716314B"/>
    <w:rsid w:val="274229A0"/>
    <w:rsid w:val="288A4B30"/>
    <w:rsid w:val="28E516DB"/>
    <w:rsid w:val="299267B6"/>
    <w:rsid w:val="2AD57C75"/>
    <w:rsid w:val="2BAA47A7"/>
    <w:rsid w:val="2DCE40BA"/>
    <w:rsid w:val="2E066AE5"/>
    <w:rsid w:val="2E2777CE"/>
    <w:rsid w:val="2EE04A84"/>
    <w:rsid w:val="30167EE9"/>
    <w:rsid w:val="30F8258A"/>
    <w:rsid w:val="31D059F4"/>
    <w:rsid w:val="3231672B"/>
    <w:rsid w:val="332A0BBD"/>
    <w:rsid w:val="33635D0A"/>
    <w:rsid w:val="3387759D"/>
    <w:rsid w:val="33905777"/>
    <w:rsid w:val="34E1156F"/>
    <w:rsid w:val="351C5D1D"/>
    <w:rsid w:val="361F4B9B"/>
    <w:rsid w:val="36DF5EE5"/>
    <w:rsid w:val="37177DBF"/>
    <w:rsid w:val="37274BE4"/>
    <w:rsid w:val="38963AA1"/>
    <w:rsid w:val="39461E7C"/>
    <w:rsid w:val="395750DB"/>
    <w:rsid w:val="39A75722"/>
    <w:rsid w:val="39C51C33"/>
    <w:rsid w:val="3AEE2FED"/>
    <w:rsid w:val="3B6E7B6E"/>
    <w:rsid w:val="3C712CD5"/>
    <w:rsid w:val="3CEC5D53"/>
    <w:rsid w:val="3D5334A6"/>
    <w:rsid w:val="3D614B56"/>
    <w:rsid w:val="3FCE40C3"/>
    <w:rsid w:val="408C0C4C"/>
    <w:rsid w:val="42315F84"/>
    <w:rsid w:val="441C57E9"/>
    <w:rsid w:val="44240E6E"/>
    <w:rsid w:val="44986D47"/>
    <w:rsid w:val="456A5D0D"/>
    <w:rsid w:val="457C0C14"/>
    <w:rsid w:val="45B90BF3"/>
    <w:rsid w:val="460143F1"/>
    <w:rsid w:val="462F3025"/>
    <w:rsid w:val="46EE52F8"/>
    <w:rsid w:val="475B18CD"/>
    <w:rsid w:val="4A4F1F05"/>
    <w:rsid w:val="4AE34170"/>
    <w:rsid w:val="4B7040C7"/>
    <w:rsid w:val="4CA957E7"/>
    <w:rsid w:val="4CE85332"/>
    <w:rsid w:val="4D9730D4"/>
    <w:rsid w:val="4E4335D2"/>
    <w:rsid w:val="50031E78"/>
    <w:rsid w:val="52E33AB8"/>
    <w:rsid w:val="55AD1B82"/>
    <w:rsid w:val="58D429A2"/>
    <w:rsid w:val="59AF56D7"/>
    <w:rsid w:val="59F41866"/>
    <w:rsid w:val="5A540A0B"/>
    <w:rsid w:val="5A731DDF"/>
    <w:rsid w:val="5AD007FE"/>
    <w:rsid w:val="5B2B3FCD"/>
    <w:rsid w:val="5BAE356C"/>
    <w:rsid w:val="5CB07A05"/>
    <w:rsid w:val="5ED17601"/>
    <w:rsid w:val="612F2391"/>
    <w:rsid w:val="61897173"/>
    <w:rsid w:val="61A579E7"/>
    <w:rsid w:val="63B7461B"/>
    <w:rsid w:val="63F21B1B"/>
    <w:rsid w:val="65493192"/>
    <w:rsid w:val="65D91A11"/>
    <w:rsid w:val="661A0D62"/>
    <w:rsid w:val="666C26EF"/>
    <w:rsid w:val="68057917"/>
    <w:rsid w:val="6B511389"/>
    <w:rsid w:val="6D5763C1"/>
    <w:rsid w:val="6D81148F"/>
    <w:rsid w:val="6E65059C"/>
    <w:rsid w:val="6E8006EE"/>
    <w:rsid w:val="6ECC4D84"/>
    <w:rsid w:val="6ECD11E1"/>
    <w:rsid w:val="6FAD3ED8"/>
    <w:rsid w:val="70BA2DA1"/>
    <w:rsid w:val="70FC3ED4"/>
    <w:rsid w:val="71B87B2B"/>
    <w:rsid w:val="729B4F6A"/>
    <w:rsid w:val="733E01F4"/>
    <w:rsid w:val="7424079F"/>
    <w:rsid w:val="74D4598A"/>
    <w:rsid w:val="76FD3FC3"/>
    <w:rsid w:val="77510B21"/>
    <w:rsid w:val="792502AF"/>
    <w:rsid w:val="7A4C0972"/>
    <w:rsid w:val="7AA5545A"/>
    <w:rsid w:val="7BAA5900"/>
    <w:rsid w:val="7C5F46AF"/>
    <w:rsid w:val="7CF61BF7"/>
    <w:rsid w:val="7D214280"/>
    <w:rsid w:val="7D9A3104"/>
    <w:rsid w:val="7DB94919"/>
    <w:rsid w:val="7E0B30F3"/>
    <w:rsid w:val="F9FCFDF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unhideWhenUsed/>
    <w:qFormat/>
    <w:uiPriority w:val="39"/>
  </w:style>
  <w:style w:type="paragraph" w:styleId="5">
    <w:name w:val="toc 2"/>
    <w:basedOn w:val="1"/>
    <w:next w:val="1"/>
    <w:unhideWhenUsed/>
    <w:qFormat/>
    <w:uiPriority w:val="39"/>
    <w:pPr>
      <w:ind w:left="420" w:leftChars="200"/>
    </w:pPr>
  </w:style>
  <w:style w:type="character" w:customStyle="1" w:styleId="8">
    <w:name w:val="页眉 Char"/>
    <w:basedOn w:val="7"/>
    <w:link w:val="3"/>
    <w:semiHidden/>
    <w:qFormat/>
    <w:uiPriority w:val="99"/>
    <w:rPr>
      <w:sz w:val="18"/>
      <w:szCs w:val="18"/>
    </w:rPr>
  </w:style>
  <w:style w:type="character" w:customStyle="1" w:styleId="9">
    <w:name w:val="页脚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Pages>
  <Words>986</Words>
  <Characters>5623</Characters>
  <Lines>46</Lines>
  <Paragraphs>13</Paragraphs>
  <TotalTime>0</TotalTime>
  <ScaleCrop>false</ScaleCrop>
  <LinksUpToDate>false</LinksUpToDate>
  <CharactersWithSpaces>6596</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2016-04-01T10:15:00Z</dcterms:created>
  <dc:creator>lenovo</dc:creator>
  <cp:lastModifiedBy>lenovo</cp:lastModifiedBy>
  <cp:lastPrinted>2016-04-01T10:44:00Z</cp:lastPrinted>
  <dcterms:modified xsi:type="dcterms:W3CDTF">2025-10-30T01:32:27Z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74072EF9AEBD41DE8E8104CBD1718A2A</vt:lpwstr>
  </property>
</Properties>
</file>