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_GBK" w:eastAsia="方正小标宋_GBK"/>
          <w:sz w:val="52"/>
        </w:rPr>
      </w:pPr>
    </w:p>
    <w:p>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成安县李家疃镇人民政府</w:t>
      </w: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2019年部门预算公开情况说明</w:t>
      </w:r>
    </w:p>
    <w:p>
      <w:pPr>
        <w:jc w:val="center"/>
        <w:rPr>
          <w:rFonts w:ascii="宋体" w:hAnsi="宋体" w:eastAsia="宋体"/>
        </w:rPr>
      </w:pPr>
    </w:p>
    <w:p>
      <w:pPr>
        <w:ind w:firstLine="640"/>
        <w:rPr>
          <w:rFonts w:ascii="仿宋_GB2312" w:hAnsi="黑体" w:eastAsia="仿宋_GB2312"/>
          <w:sz w:val="30"/>
          <w:szCs w:val="30"/>
        </w:rPr>
      </w:pPr>
      <w:r>
        <w:rPr>
          <w:rFonts w:hint="eastAsia" w:ascii="仿宋_GB2312" w:hAnsi="黑体" w:eastAsia="仿宋_GB2312"/>
          <w:sz w:val="30"/>
          <w:szCs w:val="30"/>
        </w:rPr>
        <w:t>按照《</w:t>
      </w:r>
      <w:r>
        <w:rPr>
          <w:rFonts w:hint="eastAsia" w:ascii="仿宋_GB2312" w:hAnsi="黑体" w:eastAsia="仿宋_GB2312"/>
          <w:sz w:val="30"/>
          <w:szCs w:val="30"/>
          <w:lang w:eastAsia="zh-CN"/>
        </w:rPr>
        <w:t>中华人民共和国预算法</w:t>
      </w:r>
      <w:r>
        <w:rPr>
          <w:rFonts w:hint="eastAsia" w:ascii="仿宋_GB2312" w:hAnsi="黑体" w:eastAsia="仿宋_GB2312"/>
          <w:sz w:val="30"/>
          <w:szCs w:val="30"/>
        </w:rPr>
        <w:t>》、《地方预决算公开操作规程》规定，现将邯郸市成安县李家疃镇</w:t>
      </w:r>
      <w:r>
        <w:rPr>
          <w:rFonts w:hint="eastAsia" w:ascii="仿宋_GB2312" w:hAnsi="Times New Roman" w:eastAsia="仿宋_GB2312"/>
          <w:sz w:val="32"/>
          <w:szCs w:val="32"/>
        </w:rPr>
        <w:t>人民政府</w:t>
      </w:r>
      <w:r>
        <w:rPr>
          <w:rFonts w:ascii="仿宋_GB2312" w:hAnsi="Times New Roman" w:eastAsia="仿宋_GB2312"/>
          <w:sz w:val="32"/>
          <w:szCs w:val="32"/>
        </w:rPr>
        <w:t>2019</w:t>
      </w:r>
      <w:r>
        <w:rPr>
          <w:rFonts w:hint="eastAsia" w:ascii="仿宋_GB2312" w:hAnsi="Times New Roman" w:eastAsia="仿宋_GB2312"/>
          <w:sz w:val="32"/>
          <w:szCs w:val="32"/>
        </w:rPr>
        <w:t>年部门预算公开如下：</w:t>
      </w:r>
    </w:p>
    <w:p>
      <w:pPr>
        <w:widowControl/>
        <w:numPr>
          <w:ilvl w:val="0"/>
          <w:numId w:val="1"/>
        </w:numPr>
        <w:spacing w:line="360" w:lineRule="auto"/>
        <w:ind w:firstLine="640"/>
        <w:jc w:val="left"/>
        <w:rPr>
          <w:rFonts w:ascii="黑体" w:hAnsi="黑体" w:eastAsia="黑体" w:cs="黑体"/>
          <w:sz w:val="32"/>
          <w:szCs w:val="32"/>
        </w:rPr>
      </w:pPr>
      <w:r>
        <w:rPr>
          <w:rFonts w:hint="eastAsia" w:ascii="黑体" w:hAnsi="黑体" w:eastAsia="黑体" w:cs="黑体"/>
          <w:b/>
          <w:kern w:val="0"/>
          <w:sz w:val="32"/>
          <w:szCs w:val="32"/>
        </w:rPr>
        <w:t>部门职责及机构设置情况</w:t>
      </w:r>
    </w:p>
    <w:p>
      <w:pPr>
        <w:ind w:firstLine="643" w:firstLineChars="200"/>
        <w:rPr>
          <w:rFonts w:ascii="楷体_GB2312" w:hAnsi="楷体" w:eastAsia="楷体_GB2312"/>
          <w:b/>
          <w:sz w:val="32"/>
          <w:szCs w:val="32"/>
        </w:rPr>
      </w:pPr>
      <w:r>
        <w:rPr>
          <w:rFonts w:ascii="楷体_GB2312" w:hAnsi="楷体" w:eastAsia="楷体_GB2312"/>
          <w:b/>
          <w:sz w:val="32"/>
          <w:szCs w:val="32"/>
        </w:rPr>
        <w:t>1</w:t>
      </w:r>
      <w:r>
        <w:rPr>
          <w:rFonts w:hint="eastAsia" w:ascii="楷体_GB2312" w:hAnsi="楷体" w:eastAsia="楷体_GB2312"/>
          <w:b/>
          <w:sz w:val="32"/>
          <w:szCs w:val="32"/>
        </w:rPr>
        <w:t>、部门职责：</w:t>
      </w:r>
    </w:p>
    <w:p>
      <w:pPr>
        <w:ind w:firstLine="800" w:firstLineChars="250"/>
        <w:rPr>
          <w:rFonts w:ascii="仿宋" w:hAnsi="仿宋" w:eastAsia="仿宋" w:cs="仿宋"/>
          <w:sz w:val="32"/>
          <w:szCs w:val="32"/>
        </w:rPr>
      </w:pPr>
      <w:r>
        <w:rPr>
          <w:rFonts w:hint="eastAsia" w:ascii="仿宋" w:hAnsi="仿宋" w:eastAsia="仿宋" w:cs="仿宋"/>
          <w:sz w:val="32"/>
          <w:szCs w:val="32"/>
        </w:rPr>
        <w:t>（一）、宣传、贯彻党的路线、方针、政策和上级党组织的指示、决定，执行镇党员代表大会决议，讨论决定本镇的重大问题。</w:t>
      </w:r>
    </w:p>
    <w:p>
      <w:pPr>
        <w:ind w:firstLine="800" w:firstLineChars="250"/>
        <w:rPr>
          <w:rFonts w:ascii="仿宋" w:hAnsi="仿宋" w:eastAsia="仿宋" w:cs="仿宋"/>
          <w:sz w:val="32"/>
          <w:szCs w:val="32"/>
        </w:rPr>
      </w:pPr>
      <w:r>
        <w:rPr>
          <w:rFonts w:hint="eastAsia" w:ascii="仿宋" w:hAnsi="仿宋" w:eastAsia="仿宋" w:cs="仿宋"/>
          <w:sz w:val="32"/>
          <w:szCs w:val="32"/>
        </w:rPr>
        <w:t>（二）、抓好自身和所属党组织的思想、组织和作风建设。</w:t>
      </w:r>
    </w:p>
    <w:p>
      <w:pPr>
        <w:ind w:firstLine="800" w:firstLineChars="250"/>
        <w:rPr>
          <w:rFonts w:ascii="仿宋" w:hAnsi="仿宋" w:eastAsia="仿宋" w:cs="仿宋"/>
          <w:sz w:val="32"/>
          <w:szCs w:val="32"/>
        </w:rPr>
      </w:pPr>
      <w:r>
        <w:rPr>
          <w:rFonts w:hint="eastAsia" w:ascii="仿宋" w:hAnsi="仿宋" w:eastAsia="仿宋" w:cs="仿宋"/>
          <w:sz w:val="32"/>
          <w:szCs w:val="32"/>
        </w:rPr>
        <w:t>（三）、领导镇经济建设，制定本镇经济和社会发展规划并组织实施。</w:t>
      </w:r>
    </w:p>
    <w:p>
      <w:pPr>
        <w:ind w:firstLine="800" w:firstLineChars="250"/>
        <w:rPr>
          <w:rFonts w:ascii="仿宋" w:hAnsi="仿宋" w:eastAsia="仿宋" w:cs="仿宋"/>
          <w:sz w:val="32"/>
          <w:szCs w:val="32"/>
        </w:rPr>
      </w:pPr>
      <w:r>
        <w:rPr>
          <w:rFonts w:hint="eastAsia" w:ascii="仿宋" w:hAnsi="仿宋" w:eastAsia="仿宋" w:cs="仿宋"/>
          <w:sz w:val="32"/>
          <w:szCs w:val="32"/>
        </w:rPr>
        <w:t>（四）、领导镇社会主义精神文明和民主法制建设。加强农村社会治安综合治理，贯彻执行党和国家的计划生育政策。</w:t>
      </w:r>
    </w:p>
    <w:p>
      <w:pPr>
        <w:ind w:firstLine="800" w:firstLineChars="250"/>
        <w:rPr>
          <w:rFonts w:ascii="仿宋" w:hAnsi="仿宋" w:eastAsia="仿宋" w:cs="仿宋"/>
          <w:sz w:val="32"/>
          <w:szCs w:val="32"/>
        </w:rPr>
      </w:pPr>
      <w:r>
        <w:rPr>
          <w:rFonts w:hint="eastAsia" w:ascii="仿宋" w:hAnsi="仿宋" w:eastAsia="仿宋" w:cs="仿宋"/>
          <w:sz w:val="32"/>
          <w:szCs w:val="32"/>
        </w:rPr>
        <w:t>（五）、领导并支持镇政府依法行使各项行政管理职权。</w:t>
      </w:r>
    </w:p>
    <w:p>
      <w:pPr>
        <w:ind w:firstLine="800" w:firstLineChars="250"/>
        <w:rPr>
          <w:rFonts w:ascii="仿宋" w:hAnsi="仿宋" w:eastAsia="仿宋" w:cs="仿宋"/>
          <w:sz w:val="32"/>
          <w:szCs w:val="32"/>
        </w:rPr>
      </w:pPr>
      <w:r>
        <w:rPr>
          <w:rFonts w:hint="eastAsia" w:ascii="仿宋" w:hAnsi="仿宋" w:eastAsia="仿宋" w:cs="仿宋"/>
          <w:sz w:val="32"/>
          <w:szCs w:val="32"/>
        </w:rPr>
        <w:t>（六）、领导人大主席团及经济组织、人民武装和共青团、妇联等人民团体的工作。</w:t>
      </w:r>
    </w:p>
    <w:p>
      <w:pPr>
        <w:ind w:firstLine="800" w:firstLineChars="250"/>
        <w:rPr>
          <w:rFonts w:ascii="仿宋" w:hAnsi="仿宋" w:eastAsia="仿宋" w:cs="仿宋"/>
          <w:sz w:val="32"/>
          <w:szCs w:val="32"/>
        </w:rPr>
      </w:pPr>
      <w:r>
        <w:rPr>
          <w:rFonts w:hint="eastAsia" w:ascii="仿宋" w:hAnsi="仿宋" w:eastAsia="仿宋" w:cs="仿宋"/>
          <w:sz w:val="32"/>
          <w:szCs w:val="32"/>
        </w:rPr>
        <w:t>（七）、领导上级有关部门派驻镇单位的党的建设，领导、支持　协调上级有关部门派驻镇单位的工作。</w:t>
      </w:r>
    </w:p>
    <w:p>
      <w:pPr>
        <w:ind w:firstLine="800" w:firstLineChars="250"/>
        <w:rPr>
          <w:rFonts w:ascii="仿宋" w:hAnsi="仿宋" w:eastAsia="仿宋" w:cs="仿宋"/>
          <w:sz w:val="32"/>
          <w:szCs w:val="32"/>
        </w:rPr>
      </w:pPr>
      <w:r>
        <w:rPr>
          <w:rFonts w:hint="eastAsia" w:ascii="仿宋" w:hAnsi="仿宋" w:eastAsia="仿宋" w:cs="仿宋"/>
          <w:sz w:val="32"/>
          <w:szCs w:val="32"/>
        </w:rPr>
        <w:t>（八）、完成上级党组织交办的其他任务。</w:t>
      </w:r>
    </w:p>
    <w:p>
      <w:pPr>
        <w:ind w:firstLine="800" w:firstLineChars="250"/>
        <w:rPr>
          <w:rFonts w:ascii="仿宋" w:hAnsi="仿宋" w:eastAsia="仿宋" w:cs="仿宋"/>
          <w:sz w:val="32"/>
          <w:szCs w:val="32"/>
        </w:rPr>
      </w:pPr>
      <w:r>
        <w:rPr>
          <w:rFonts w:hint="eastAsia" w:ascii="仿宋" w:hAnsi="仿宋" w:eastAsia="仿宋" w:cs="仿宋"/>
          <w:sz w:val="32"/>
          <w:szCs w:val="32"/>
        </w:rPr>
        <w:t>（九）、促进经济发展，增加农民收入</w:t>
      </w:r>
    </w:p>
    <w:p>
      <w:pPr>
        <w:ind w:firstLine="800" w:firstLineChars="250"/>
        <w:rPr>
          <w:rFonts w:ascii="仿宋" w:hAnsi="仿宋" w:eastAsia="仿宋" w:cs="仿宋"/>
          <w:sz w:val="32"/>
          <w:szCs w:val="32"/>
        </w:rPr>
      </w:pPr>
      <w:r>
        <w:rPr>
          <w:rFonts w:hint="eastAsia" w:ascii="仿宋" w:hAnsi="仿宋" w:eastAsia="仿宋" w:cs="仿宋"/>
          <w:sz w:val="32"/>
          <w:szCs w:val="32"/>
        </w:rPr>
        <w:t>（十）、强化公共服务，着力改善民生。</w:t>
      </w:r>
    </w:p>
    <w:p>
      <w:pPr>
        <w:ind w:firstLine="800" w:firstLineChars="250"/>
        <w:rPr>
          <w:rFonts w:ascii="仿宋" w:hAnsi="仿宋" w:eastAsia="仿宋" w:cs="仿宋"/>
          <w:sz w:val="32"/>
          <w:szCs w:val="32"/>
        </w:rPr>
      </w:pPr>
      <w:r>
        <w:rPr>
          <w:rFonts w:hint="eastAsia" w:ascii="仿宋" w:hAnsi="仿宋" w:eastAsia="仿宋" w:cs="仿宋"/>
          <w:sz w:val="32"/>
          <w:szCs w:val="32"/>
        </w:rPr>
        <w:t>（十一）、加强社会管理，维护农村稳定。</w:t>
      </w:r>
    </w:p>
    <w:p>
      <w:pPr>
        <w:pStyle w:val="11"/>
        <w:widowControl/>
        <w:spacing w:line="360" w:lineRule="auto"/>
        <w:ind w:firstLine="640"/>
        <w:jc w:val="left"/>
        <w:rPr>
          <w:rFonts w:ascii="仿宋" w:hAnsi="仿宋" w:eastAsia="仿宋" w:cs="仿宋"/>
          <w:sz w:val="32"/>
          <w:szCs w:val="32"/>
        </w:rPr>
      </w:pPr>
      <w:r>
        <w:rPr>
          <w:rFonts w:hint="eastAsia" w:ascii="仿宋" w:hAnsi="仿宋" w:eastAsia="仿宋" w:cs="仿宋"/>
          <w:sz w:val="32"/>
          <w:szCs w:val="32"/>
        </w:rPr>
        <w:t>（十二）、推进基层民主，促进农村和谐。</w:t>
      </w:r>
    </w:p>
    <w:p>
      <w:pPr>
        <w:autoSpaceDE w:val="0"/>
        <w:autoSpaceDN w:val="0"/>
        <w:adjustRightInd w:val="0"/>
        <w:ind w:firstLine="643" w:firstLineChars="200"/>
        <w:jc w:val="left"/>
        <w:rPr>
          <w:rFonts w:ascii="楷体" w:hAnsi="楷体" w:eastAsia="楷体" w:cs="楷体"/>
          <w:b/>
          <w:bCs/>
          <w:sz w:val="32"/>
          <w:szCs w:val="32"/>
        </w:rPr>
      </w:pPr>
      <w:r>
        <w:rPr>
          <w:rFonts w:hint="eastAsia" w:ascii="楷体" w:hAnsi="楷体" w:eastAsia="楷体" w:cs="楷体"/>
          <w:b/>
          <w:bCs/>
          <w:sz w:val="32"/>
          <w:szCs w:val="32"/>
        </w:rPr>
        <w:t>2、机构设置：</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成安县李家疃镇人民政府，预算编码是803002，内设5个内部机构。</w:t>
      </w:r>
    </w:p>
    <w:p>
      <w:pPr>
        <w:widowControl/>
        <w:numPr>
          <w:ilvl w:val="0"/>
          <w:numId w:val="2"/>
        </w:numPr>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党政综合办公室</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主要负责：负责承办党委、人大、纪检、组织、宣传、统战、政法、共青团、妇联、武装、农村工作；承办党委交办的其它事项，协调各办公室的工作关系；负责农业生产的指导、管理、协调、服务及社会主义新农村的规划和建设工作；负责政府日常事务和机关后勤工作；承办党委、政府交办的其它事项。</w:t>
      </w:r>
    </w:p>
    <w:p>
      <w:pPr>
        <w:widowControl/>
        <w:tabs>
          <w:tab w:val="center" w:pos="6377"/>
        </w:tabs>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2、经济发展办公室</w:t>
      </w:r>
      <w:r>
        <w:rPr>
          <w:rFonts w:hint="eastAsia" w:ascii="仿宋" w:hAnsi="仿宋" w:eastAsia="仿宋" w:cs="仿宋"/>
          <w:bCs/>
          <w:kern w:val="0"/>
          <w:sz w:val="32"/>
          <w:szCs w:val="32"/>
        </w:rPr>
        <w:tab/>
      </w:r>
    </w:p>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　　主要负责：负责规划、指导、协调和服务乡村企业及个体企业的发展；指导和管理农业综合服务中心工作；协调与经济发展相关的工作；贯彻执行党和国家有关城镇乡村建设、规划工作的方针、政策及法规；研究制定本乡镇辖区内建设各行业的发展规划；起草乡镇建设资金使用计划安排和资金举措、管理工作，负责查处乡镇各类违法占地和违法建设行为。</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3、社会事务办公室</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主要负责：协调本辖区法庭、公安派出所等执法部门工作；负责司法调解、法律宣传教育、社会治安综合治理、民族宗教、民政、环境保护工作；负责乡村文化广播、卫生院、中小学等事业单位的协调服务工作。</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4、计划生育办公室</w:t>
      </w:r>
      <w:bookmarkStart w:id="0" w:name="_GoBack"/>
      <w:bookmarkEnd w:id="0"/>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主要负责：认真贯彻党和国家人口和计划生育方针、政策，贯彻落实《</w:t>
      </w:r>
      <w:r>
        <w:rPr>
          <w:rFonts w:hint="eastAsia" w:ascii="仿宋" w:hAnsi="仿宋" w:eastAsia="仿宋" w:cs="仿宋"/>
          <w:bCs/>
          <w:kern w:val="0"/>
          <w:sz w:val="32"/>
          <w:szCs w:val="32"/>
          <w:lang w:eastAsia="zh-CN"/>
        </w:rPr>
        <w:t>中华人民共和国人口与计划生育法</w:t>
      </w:r>
      <w:r>
        <w:rPr>
          <w:rFonts w:hint="eastAsia" w:ascii="仿宋" w:hAnsi="仿宋" w:eastAsia="仿宋" w:cs="仿宋"/>
          <w:bCs/>
          <w:kern w:val="0"/>
          <w:sz w:val="32"/>
          <w:szCs w:val="32"/>
        </w:rPr>
        <w:t>》、《河北省人口与计划生育条例》等法律法规。贯彻执行党和国家的计划生育政策，落实人口计划，制定本乡镇的计划生育工作规划。</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5、综合治理办公室</w:t>
      </w:r>
    </w:p>
    <w:p>
      <w:pPr>
        <w:widowControl/>
        <w:spacing w:line="360" w:lineRule="auto"/>
        <w:ind w:firstLine="560" w:firstLineChars="175"/>
        <w:jc w:val="left"/>
        <w:rPr>
          <w:rFonts w:ascii="仿宋" w:hAnsi="仿宋" w:eastAsia="仿宋" w:cs="仿宋"/>
          <w:bCs/>
          <w:kern w:val="0"/>
          <w:sz w:val="32"/>
          <w:szCs w:val="32"/>
        </w:rPr>
      </w:pPr>
      <w:r>
        <w:rPr>
          <w:rFonts w:hint="eastAsia" w:ascii="仿宋" w:hAnsi="仿宋" w:eastAsia="仿宋" w:cs="仿宋"/>
          <w:bCs/>
          <w:kern w:val="0"/>
          <w:sz w:val="32"/>
          <w:szCs w:val="32"/>
        </w:rPr>
        <w:t>主要负责：负责贯彻执行上级社会治安综合治理机构的工作部署，制定本辖区社会治安综合治理措施的落实，接受群众来访，解决本辖区内存在的影响社会安定的重大隐患。控制避免集体访、越级访及重大恶性案件发生，协调督促有关部门开展综合工作。及时向乡镇党委、政府和县综治办报告工作、提出工作建议、反馈有关信息和经验。</w:t>
      </w:r>
    </w:p>
    <w:p>
      <w:pPr>
        <w:widowControl/>
        <w:spacing w:line="360" w:lineRule="auto"/>
        <w:ind w:firstLine="562" w:firstLineChars="175"/>
        <w:jc w:val="left"/>
        <w:rPr>
          <w:rFonts w:ascii="楷体" w:hAnsi="楷体" w:eastAsia="楷体" w:cs="楷体"/>
          <w:b/>
          <w:kern w:val="0"/>
          <w:sz w:val="32"/>
          <w:szCs w:val="32"/>
        </w:rPr>
      </w:pPr>
      <w:r>
        <w:rPr>
          <w:rFonts w:hint="eastAsia" w:ascii="楷体" w:hAnsi="楷体" w:eastAsia="楷体" w:cs="楷体"/>
          <w:b/>
          <w:kern w:val="0"/>
          <w:sz w:val="32"/>
          <w:szCs w:val="32"/>
        </w:rPr>
        <w:t>人员编制和领导职数</w:t>
      </w:r>
    </w:p>
    <w:p>
      <w:pPr>
        <w:ind w:firstLine="560" w:firstLineChars="175"/>
        <w:rPr>
          <w:rFonts w:ascii="仿宋" w:hAnsi="仿宋" w:eastAsia="仿宋"/>
        </w:rPr>
      </w:pPr>
      <w:r>
        <w:rPr>
          <w:rFonts w:hint="eastAsia" w:ascii="仿宋" w:hAnsi="仿宋" w:eastAsia="仿宋" w:cs="仿宋_GB2312"/>
          <w:kern w:val="0"/>
          <w:sz w:val="32"/>
          <w:szCs w:val="32"/>
        </w:rPr>
        <w:t>成安县李家疃镇人民政府</w:t>
      </w:r>
      <w:r>
        <w:rPr>
          <w:rFonts w:hint="eastAsia" w:ascii="仿宋" w:hAnsi="仿宋" w:eastAsia="仿宋" w:cs="仿宋"/>
          <w:bCs/>
          <w:kern w:val="0"/>
          <w:sz w:val="32"/>
          <w:szCs w:val="32"/>
        </w:rPr>
        <w:t>，人员编制69名，其中书记1名、副书记2名（包括乡长）、纪委书记1名、乡长1名、副乡长2名、人大主席1名、人大副主席1名、武装部长1名、组织委员1名、宣传委员1名，机关工勤人员2名。</w:t>
      </w:r>
    </w:p>
    <w:p>
      <w:pPr>
        <w:ind w:firstLine="560" w:firstLineChars="175"/>
        <w:rPr>
          <w:rFonts w:ascii="仿宋" w:hAnsi="仿宋" w:eastAsia="仿宋" w:cs="仿宋"/>
          <w:sz w:val="32"/>
          <w:szCs w:val="32"/>
        </w:rPr>
      </w:pPr>
      <w:r>
        <w:rPr>
          <w:rFonts w:hint="eastAsia" w:ascii="仿宋" w:hAnsi="仿宋" w:eastAsia="仿宋" w:cs="仿宋"/>
          <w:sz w:val="32"/>
          <w:szCs w:val="32"/>
        </w:rPr>
        <w:t>镇党委、政府下设4个事业编制：</w:t>
      </w:r>
    </w:p>
    <w:p>
      <w:pPr>
        <w:ind w:firstLine="560" w:firstLineChars="175"/>
        <w:rPr>
          <w:rFonts w:ascii="仿宋" w:hAnsi="仿宋" w:eastAsia="仿宋" w:cs="仿宋"/>
          <w:sz w:val="32"/>
          <w:szCs w:val="32"/>
        </w:rPr>
      </w:pPr>
      <w:r>
        <w:rPr>
          <w:rFonts w:hint="eastAsia" w:ascii="仿宋" w:hAnsi="仿宋" w:eastAsia="仿宋" w:cs="仿宋"/>
          <w:sz w:val="32"/>
          <w:szCs w:val="32"/>
        </w:rPr>
        <w:t>1、财政所（编制4名，其中股级职数2名）</w:t>
      </w:r>
    </w:p>
    <w:p>
      <w:pPr>
        <w:ind w:firstLine="560" w:firstLineChars="175"/>
        <w:rPr>
          <w:rFonts w:ascii="仿宋" w:hAnsi="仿宋" w:eastAsia="仿宋" w:cs="仿宋"/>
          <w:sz w:val="32"/>
          <w:szCs w:val="32"/>
        </w:rPr>
      </w:pPr>
      <w:r>
        <w:rPr>
          <w:rFonts w:hint="eastAsia" w:ascii="仿宋" w:hAnsi="仿宋" w:eastAsia="仿宋" w:cs="仿宋"/>
          <w:sz w:val="32"/>
          <w:szCs w:val="32"/>
        </w:rPr>
        <w:t>主要职责：负责编制乡乡财政收支计划，统管乡村财务；负责乡村两级财政性资金使用的监督管理；契税、耕地占用税等财政收入的征收，以及各类涉农财政性补贴资金的发放和管理工作；负责乡分税制和统收统支加激励办法的实施。</w:t>
      </w:r>
    </w:p>
    <w:p>
      <w:pPr>
        <w:ind w:firstLine="560" w:firstLineChars="175"/>
        <w:rPr>
          <w:rFonts w:ascii="仿宋" w:hAnsi="仿宋" w:eastAsia="仿宋" w:cs="仿宋"/>
          <w:sz w:val="32"/>
          <w:szCs w:val="32"/>
        </w:rPr>
      </w:pPr>
      <w:r>
        <w:rPr>
          <w:rFonts w:hint="eastAsia" w:ascii="仿宋" w:hAnsi="仿宋" w:eastAsia="仿宋" w:cs="仿宋"/>
          <w:sz w:val="32"/>
          <w:szCs w:val="32"/>
        </w:rPr>
        <w:t>2、农村综合服务中心（编制18名，其中股级职3数）</w:t>
      </w:r>
    </w:p>
    <w:p>
      <w:pPr>
        <w:ind w:firstLine="560" w:firstLineChars="175"/>
        <w:rPr>
          <w:rFonts w:ascii="仿宋" w:hAnsi="仿宋" w:eastAsia="仿宋" w:cs="仿宋"/>
          <w:sz w:val="32"/>
          <w:szCs w:val="32"/>
        </w:rPr>
      </w:pPr>
      <w:r>
        <w:rPr>
          <w:rFonts w:hint="eastAsia" w:ascii="仿宋" w:hAnsi="仿宋" w:eastAsia="仿宋" w:cs="仿宋"/>
          <w:sz w:val="32"/>
          <w:szCs w:val="32"/>
        </w:rPr>
        <w:t>主要职责：负责农业技术推广及病虫害防治、畜牧业发展和防疫工作，抗旱防涝、打井配套及农田水利基本建设工作；编制、等级、填报各种统计报表，制定村集体财政管理制度，负责村集体资产的清查、登记，农村财务管理及审计，农民负担监督管理，农业承包合同的签订及农业服务工作，负责本乡劳动市场的管理，组织好劳务输出工作；开发农村社区就业岗位，组织实施农村社区就业项目；负责退休人员及农村养老保险的社会化管理和服务</w:t>
      </w:r>
    </w:p>
    <w:p>
      <w:pPr>
        <w:ind w:firstLine="560" w:firstLineChars="175"/>
        <w:rPr>
          <w:rFonts w:ascii="仿宋" w:hAnsi="仿宋" w:eastAsia="仿宋" w:cs="仿宋"/>
          <w:sz w:val="32"/>
          <w:szCs w:val="32"/>
        </w:rPr>
      </w:pPr>
      <w:r>
        <w:rPr>
          <w:rFonts w:hint="eastAsia" w:ascii="仿宋" w:hAnsi="仿宋" w:eastAsia="仿宋" w:cs="仿宋"/>
          <w:sz w:val="32"/>
          <w:szCs w:val="32"/>
        </w:rPr>
        <w:t>3、计划生育服务中心（编制16名，其中：股级职数3）</w:t>
      </w:r>
    </w:p>
    <w:p>
      <w:pPr>
        <w:ind w:firstLine="560" w:firstLineChars="175"/>
        <w:rPr>
          <w:rFonts w:ascii="仿宋" w:hAnsi="仿宋" w:eastAsia="仿宋" w:cs="仿宋"/>
          <w:sz w:val="32"/>
          <w:szCs w:val="32"/>
        </w:rPr>
      </w:pPr>
      <w:r>
        <w:rPr>
          <w:rFonts w:hint="eastAsia" w:ascii="仿宋" w:hAnsi="仿宋" w:eastAsia="仿宋" w:cs="仿宋"/>
          <w:sz w:val="32"/>
          <w:szCs w:val="32"/>
        </w:rPr>
        <w:t>主要职责：加强培训，提高乡村计生人员的政治和业务素质；负责育龄妇女的普查、妇女病防治、计生服务、四术及协会等项工作。</w:t>
      </w:r>
    </w:p>
    <w:p>
      <w:pPr>
        <w:ind w:firstLine="560" w:firstLineChars="175"/>
        <w:rPr>
          <w:rFonts w:ascii="仿宋" w:hAnsi="仿宋" w:eastAsia="仿宋" w:cs="仿宋"/>
          <w:sz w:val="32"/>
          <w:szCs w:val="32"/>
        </w:rPr>
      </w:pPr>
      <w:r>
        <w:rPr>
          <w:rFonts w:hint="eastAsia" w:ascii="仿宋" w:hAnsi="仿宋" w:eastAsia="仿宋" w:cs="仿宋"/>
          <w:sz w:val="32"/>
          <w:szCs w:val="32"/>
        </w:rPr>
        <w:t>4、文化宣传服务中心（编制3名，其中：股级职数1名)</w:t>
      </w:r>
    </w:p>
    <w:p>
      <w:pPr>
        <w:ind w:firstLine="560" w:firstLineChars="175"/>
        <w:rPr>
          <w:rFonts w:ascii="仿宋" w:hAnsi="仿宋" w:eastAsia="仿宋" w:cs="Times New Roman"/>
          <w:sz w:val="32"/>
          <w:szCs w:val="32"/>
        </w:rPr>
      </w:pPr>
      <w:r>
        <w:rPr>
          <w:rFonts w:hint="eastAsia" w:ascii="仿宋" w:hAnsi="仿宋" w:eastAsia="仿宋" w:cs="仿宋"/>
          <w:sz w:val="32"/>
          <w:szCs w:val="32"/>
        </w:rPr>
        <w:t>主要职责:贯彻执行党和国家关于文化、广播宣传等工作的方针、政策、法规；综合管理文化艺术事业，组织、协调重大文化艺术活动；负责文化市场的监督管理工作</w:t>
      </w:r>
    </w:p>
    <w:p>
      <w:pPr>
        <w:autoSpaceDE w:val="0"/>
        <w:autoSpaceDN w:val="0"/>
        <w:adjustRightInd w:val="0"/>
        <w:ind w:firstLine="562" w:firstLineChars="175"/>
        <w:jc w:val="left"/>
        <w:rPr>
          <w:rFonts w:ascii="楷体" w:hAnsi="楷体" w:eastAsia="楷体" w:cs="楷体"/>
          <w:b/>
          <w:bCs/>
          <w:sz w:val="32"/>
          <w:szCs w:val="32"/>
        </w:rPr>
      </w:pPr>
      <w:r>
        <w:rPr>
          <w:rFonts w:hint="eastAsia" w:ascii="楷体" w:hAnsi="楷体" w:eastAsia="楷体" w:cs="楷体"/>
          <w:b/>
          <w:bCs/>
          <w:sz w:val="32"/>
          <w:szCs w:val="32"/>
        </w:rPr>
        <w:t>机构设置：</w:t>
      </w:r>
    </w:p>
    <w:p>
      <w:pPr>
        <w:ind w:firstLine="560" w:firstLineChars="175"/>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7"/>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84"/>
        <w:gridCol w:w="1467"/>
        <w:gridCol w:w="1276"/>
        <w:gridCol w:w="290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00" w:hRule="atLeast"/>
          <w:tblHeader/>
          <w:jc w:val="center"/>
        </w:trPr>
        <w:tc>
          <w:tcPr>
            <w:tcW w:w="2984" w:type="dxa"/>
            <w:vMerge w:val="restart"/>
            <w:vAlign w:val="center"/>
          </w:tcPr>
          <w:p>
            <w:pPr>
              <w:spacing w:line="300" w:lineRule="exact"/>
              <w:ind w:firstLine="369" w:firstLineChars="175"/>
              <w:jc w:val="center"/>
              <w:rPr>
                <w:rFonts w:ascii="仿宋" w:hAnsi="仿宋" w:eastAsia="仿宋" w:cs="Times New Roman"/>
                <w:b/>
                <w:bCs/>
              </w:rPr>
            </w:pPr>
            <w:r>
              <w:rPr>
                <w:rFonts w:hint="eastAsia" w:ascii="仿宋" w:hAnsi="仿宋" w:eastAsia="仿宋" w:cs="方正书宋_GBK"/>
                <w:b/>
                <w:bCs/>
              </w:rPr>
              <w:t>单位名称</w:t>
            </w:r>
          </w:p>
        </w:tc>
        <w:tc>
          <w:tcPr>
            <w:tcW w:w="1467" w:type="dxa"/>
            <w:vMerge w:val="restart"/>
            <w:vAlign w:val="center"/>
          </w:tcPr>
          <w:p>
            <w:pPr>
              <w:spacing w:line="300" w:lineRule="exact"/>
              <w:ind w:firstLine="369" w:firstLineChars="175"/>
              <w:jc w:val="center"/>
              <w:rPr>
                <w:rFonts w:ascii="仿宋" w:hAnsi="仿宋" w:eastAsia="仿宋" w:cs="Times New Roman"/>
                <w:b/>
                <w:bCs/>
              </w:rPr>
            </w:pPr>
            <w:r>
              <w:rPr>
                <w:rFonts w:hint="eastAsia" w:ascii="仿宋" w:hAnsi="仿宋" w:eastAsia="仿宋" w:cs="方正书宋_GBK"/>
                <w:b/>
                <w:bCs/>
              </w:rPr>
              <w:t>单位性质</w:t>
            </w:r>
          </w:p>
        </w:tc>
        <w:tc>
          <w:tcPr>
            <w:tcW w:w="1276" w:type="dxa"/>
            <w:vMerge w:val="restart"/>
            <w:vAlign w:val="center"/>
          </w:tcPr>
          <w:p>
            <w:pPr>
              <w:spacing w:line="300" w:lineRule="exact"/>
              <w:ind w:firstLine="369" w:firstLineChars="175"/>
              <w:jc w:val="center"/>
              <w:rPr>
                <w:rFonts w:ascii="仿宋" w:hAnsi="仿宋" w:eastAsia="仿宋" w:cs="Times New Roman"/>
                <w:b/>
                <w:bCs/>
              </w:rPr>
            </w:pPr>
            <w:r>
              <w:rPr>
                <w:rFonts w:hint="eastAsia" w:ascii="仿宋" w:hAnsi="仿宋" w:eastAsia="仿宋" w:cs="方正书宋_GBK"/>
                <w:b/>
                <w:bCs/>
              </w:rPr>
              <w:t>单位规格</w:t>
            </w:r>
          </w:p>
        </w:tc>
        <w:tc>
          <w:tcPr>
            <w:tcW w:w="2902" w:type="dxa"/>
            <w:vMerge w:val="restart"/>
            <w:vAlign w:val="center"/>
          </w:tcPr>
          <w:p>
            <w:pPr>
              <w:spacing w:line="300" w:lineRule="exact"/>
              <w:ind w:firstLine="369" w:firstLineChars="175"/>
              <w:jc w:val="center"/>
              <w:rPr>
                <w:rFonts w:ascii="仿宋" w:hAnsi="仿宋" w:eastAsia="仿宋" w:cs="Times New Roman"/>
                <w:b/>
                <w:bCs/>
              </w:rPr>
            </w:pPr>
            <w:r>
              <w:rPr>
                <w:rFonts w:hint="eastAsia" w:ascii="仿宋" w:hAnsi="仿宋" w:eastAsia="仿宋" w:cs="方正书宋_GBK"/>
                <w:b/>
                <w:bCs/>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2984" w:type="dxa"/>
            <w:vMerge w:val="continue"/>
            <w:vAlign w:val="center"/>
          </w:tcPr>
          <w:p>
            <w:pPr>
              <w:spacing w:line="300" w:lineRule="exact"/>
              <w:ind w:firstLine="367" w:firstLineChars="175"/>
              <w:jc w:val="center"/>
              <w:outlineLvl w:val="0"/>
              <w:rPr>
                <w:rFonts w:ascii="仿宋" w:hAnsi="仿宋" w:eastAsia="仿宋" w:cs="Times New Roman"/>
              </w:rPr>
            </w:pPr>
          </w:p>
        </w:tc>
        <w:tc>
          <w:tcPr>
            <w:tcW w:w="1467" w:type="dxa"/>
            <w:vMerge w:val="continue"/>
            <w:vAlign w:val="center"/>
          </w:tcPr>
          <w:p>
            <w:pPr>
              <w:spacing w:line="300" w:lineRule="exact"/>
              <w:ind w:firstLine="367" w:firstLineChars="175"/>
              <w:jc w:val="center"/>
              <w:outlineLvl w:val="0"/>
              <w:rPr>
                <w:rFonts w:ascii="仿宋" w:hAnsi="仿宋" w:eastAsia="仿宋" w:cs="Times New Roman"/>
              </w:rPr>
            </w:pPr>
          </w:p>
        </w:tc>
        <w:tc>
          <w:tcPr>
            <w:tcW w:w="1276" w:type="dxa"/>
            <w:vMerge w:val="continue"/>
            <w:vAlign w:val="center"/>
          </w:tcPr>
          <w:p>
            <w:pPr>
              <w:spacing w:line="300" w:lineRule="exact"/>
              <w:ind w:firstLine="367" w:firstLineChars="175"/>
              <w:jc w:val="center"/>
              <w:outlineLvl w:val="0"/>
              <w:rPr>
                <w:rFonts w:ascii="仿宋" w:hAnsi="仿宋" w:eastAsia="仿宋" w:cs="Times New Roman"/>
              </w:rPr>
            </w:pPr>
          </w:p>
        </w:tc>
        <w:tc>
          <w:tcPr>
            <w:tcW w:w="2902" w:type="dxa"/>
            <w:vMerge w:val="continue"/>
            <w:vAlign w:val="center"/>
          </w:tcPr>
          <w:p>
            <w:pPr>
              <w:spacing w:line="300" w:lineRule="exact"/>
              <w:ind w:firstLine="367" w:firstLineChars="175"/>
              <w:jc w:val="center"/>
              <w:outlineLvl w:val="0"/>
              <w:rPr>
                <w:rFonts w:ascii="仿宋" w:hAnsi="仿宋" w:eastAsia="仿宋"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984" w:type="dxa"/>
            <w:vAlign w:val="center"/>
          </w:tcPr>
          <w:p>
            <w:pPr>
              <w:tabs>
                <w:tab w:val="center" w:pos="1550"/>
              </w:tabs>
              <w:spacing w:line="300" w:lineRule="exact"/>
              <w:ind w:firstLine="367" w:firstLineChars="175"/>
              <w:jc w:val="center"/>
              <w:rPr>
                <w:rFonts w:ascii="仿宋" w:hAnsi="仿宋" w:eastAsia="仿宋" w:cs="Times New Roman"/>
              </w:rPr>
            </w:pPr>
            <w:r>
              <w:rPr>
                <w:rFonts w:hint="eastAsia" w:ascii="仿宋" w:hAnsi="仿宋" w:eastAsia="仿宋" w:cs="Times New Roman"/>
              </w:rPr>
              <w:t>李家疃镇人民政府</w:t>
            </w:r>
          </w:p>
        </w:tc>
        <w:tc>
          <w:tcPr>
            <w:tcW w:w="1467" w:type="dxa"/>
            <w:vAlign w:val="center"/>
          </w:tcPr>
          <w:p>
            <w:pPr>
              <w:spacing w:line="300" w:lineRule="exact"/>
              <w:rPr>
                <w:rFonts w:ascii="仿宋" w:hAnsi="仿宋" w:eastAsia="仿宋" w:cs="Times New Roman"/>
              </w:rPr>
            </w:pPr>
            <w:r>
              <w:rPr>
                <w:rFonts w:hint="eastAsia" w:ascii="仿宋" w:hAnsi="仿宋" w:eastAsia="仿宋" w:cs="Times New Roman"/>
              </w:rPr>
              <w:t>行政</w:t>
            </w:r>
          </w:p>
        </w:tc>
        <w:tc>
          <w:tcPr>
            <w:tcW w:w="1276" w:type="dxa"/>
            <w:vAlign w:val="center"/>
          </w:tcPr>
          <w:p>
            <w:pPr>
              <w:spacing w:line="300" w:lineRule="exact"/>
              <w:ind w:firstLine="367" w:firstLineChars="175"/>
              <w:jc w:val="center"/>
              <w:rPr>
                <w:rFonts w:hint="eastAsia" w:ascii="仿宋" w:hAnsi="仿宋" w:eastAsia="仿宋" w:cs="Times New Roman"/>
                <w:lang w:eastAsia="zh-CN"/>
              </w:rPr>
            </w:pPr>
            <w:r>
              <w:rPr>
                <w:rFonts w:hint="eastAsia" w:ascii="仿宋" w:hAnsi="仿宋" w:eastAsia="仿宋" w:cs="Times New Roman"/>
              </w:rPr>
              <w:t>正科</w:t>
            </w:r>
            <w:r>
              <w:rPr>
                <w:rFonts w:hint="eastAsia" w:ascii="仿宋" w:hAnsi="仿宋" w:eastAsia="仿宋" w:cs="Times New Roman"/>
                <w:lang w:eastAsia="zh-CN"/>
              </w:rPr>
              <w:t>级</w:t>
            </w:r>
          </w:p>
        </w:tc>
        <w:tc>
          <w:tcPr>
            <w:tcW w:w="2902" w:type="dxa"/>
            <w:vAlign w:val="center"/>
          </w:tcPr>
          <w:p>
            <w:pPr>
              <w:spacing w:line="300" w:lineRule="exact"/>
              <w:ind w:firstLine="367" w:firstLineChars="175"/>
              <w:jc w:val="center"/>
              <w:rPr>
                <w:rFonts w:ascii="仿宋" w:hAnsi="仿宋" w:eastAsia="仿宋" w:cs="Times New Roman"/>
              </w:rPr>
            </w:pPr>
            <w:r>
              <w:rPr>
                <w:rFonts w:hint="eastAsia" w:ascii="仿宋" w:hAnsi="仿宋" w:eastAsia="仿宋" w:cs="Times New Roman"/>
              </w:rPr>
              <w:t>财政拨款</w:t>
            </w:r>
          </w:p>
        </w:tc>
      </w:tr>
    </w:tbl>
    <w:p>
      <w:pPr>
        <w:widowControl/>
        <w:numPr>
          <w:ilvl w:val="0"/>
          <w:numId w:val="1"/>
        </w:numPr>
        <w:spacing w:line="360" w:lineRule="auto"/>
        <w:ind w:firstLine="643"/>
        <w:jc w:val="left"/>
        <w:rPr>
          <w:rFonts w:ascii="黑体" w:hAnsi="黑体" w:eastAsia="黑体" w:cs="黑体"/>
          <w:sz w:val="32"/>
          <w:szCs w:val="32"/>
        </w:rPr>
      </w:pPr>
      <w:r>
        <w:rPr>
          <w:rFonts w:hint="eastAsia" w:ascii="黑体" w:hAnsi="黑体" w:eastAsia="黑体" w:cs="黑体"/>
          <w:b/>
          <w:bCs/>
          <w:kern w:val="0"/>
          <w:sz w:val="32"/>
          <w:szCs w:val="32"/>
        </w:rPr>
        <w:t>预算安排的总体情况</w:t>
      </w:r>
    </w:p>
    <w:p>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按照预算管理有关规定，目前我部门预算的编制实行综合预算制度，即全部收入和支出都反映在预算中。</w:t>
      </w:r>
    </w:p>
    <w:p>
      <w:pPr>
        <w:widowControl/>
        <w:spacing w:line="360" w:lineRule="auto"/>
        <w:jc w:val="left"/>
        <w:rPr>
          <w:rFonts w:ascii="仿宋_GB2312" w:hAnsi="Calibri" w:eastAsia="仿宋_GB2312" w:cs="仿宋_GB2312"/>
          <w:b/>
          <w:bCs/>
          <w:kern w:val="0"/>
          <w:sz w:val="32"/>
          <w:szCs w:val="32"/>
        </w:rPr>
      </w:pPr>
    </w:p>
    <w:p>
      <w:pPr>
        <w:spacing w:line="560" w:lineRule="exact"/>
        <w:ind w:firstLine="640"/>
        <w:rPr>
          <w:rFonts w:ascii="楷体_GB2312" w:hAnsi="楷体" w:eastAsia="楷体_GB2312"/>
          <w:b/>
          <w:sz w:val="32"/>
          <w:szCs w:val="32"/>
        </w:rPr>
      </w:pPr>
      <w:r>
        <w:rPr>
          <w:rFonts w:ascii="楷体_GB2312" w:hAnsi="楷体" w:eastAsia="楷体_GB2312"/>
          <w:b/>
          <w:sz w:val="32"/>
          <w:szCs w:val="32"/>
        </w:rPr>
        <w:t>1</w:t>
      </w:r>
      <w:r>
        <w:rPr>
          <w:rFonts w:hint="eastAsia" w:ascii="楷体_GB2312" w:hAnsi="楷体" w:eastAsia="楷体_GB2312"/>
          <w:b/>
          <w:sz w:val="32"/>
          <w:szCs w:val="32"/>
        </w:rPr>
        <w:t>、收入说明</w:t>
      </w:r>
    </w:p>
    <w:p>
      <w:pPr>
        <w:spacing w:line="560" w:lineRule="exact"/>
        <w:ind w:firstLine="640"/>
        <w:rPr>
          <w:rFonts w:ascii="仿宋_GB2312" w:hAnsi="Times New Roman" w:eastAsia="仿宋_GB2312"/>
          <w:sz w:val="32"/>
          <w:szCs w:val="32"/>
        </w:rPr>
      </w:pPr>
      <w:r>
        <w:rPr>
          <w:rFonts w:ascii="仿宋_GB2312" w:hAnsi="Times New Roman" w:eastAsia="仿宋_GB2312"/>
          <w:sz w:val="32"/>
          <w:szCs w:val="32"/>
        </w:rPr>
        <w:t>2019</w:t>
      </w:r>
      <w:r>
        <w:rPr>
          <w:rFonts w:hint="eastAsia" w:ascii="仿宋_GB2312" w:hAnsi="Times New Roman" w:eastAsia="仿宋_GB2312"/>
          <w:sz w:val="32"/>
          <w:szCs w:val="32"/>
        </w:rPr>
        <w:t>年预算收入265.01万元，其中：一般公共预算收入265.01万元，政府性基金收入0万元，国有资本经营收入0万元，事业收入0万元，其他收入0万元。</w:t>
      </w:r>
    </w:p>
    <w:p>
      <w:pPr>
        <w:spacing w:line="560" w:lineRule="exact"/>
        <w:ind w:firstLine="640"/>
        <w:rPr>
          <w:rFonts w:ascii="楷体_GB2312" w:hAnsi="楷体" w:eastAsia="楷体_GB2312"/>
          <w:b/>
          <w:sz w:val="32"/>
          <w:szCs w:val="32"/>
        </w:rPr>
      </w:pPr>
      <w:r>
        <w:rPr>
          <w:rFonts w:ascii="楷体_GB2312" w:hAnsi="楷体" w:eastAsia="楷体_GB2312"/>
          <w:b/>
          <w:sz w:val="32"/>
          <w:szCs w:val="32"/>
        </w:rPr>
        <w:t>2</w:t>
      </w:r>
      <w:r>
        <w:rPr>
          <w:rFonts w:hint="eastAsia" w:ascii="楷体_GB2312" w:hAnsi="楷体" w:eastAsia="楷体_GB2312"/>
          <w:b/>
          <w:sz w:val="32"/>
          <w:szCs w:val="32"/>
        </w:rPr>
        <w:t>、支出说明</w:t>
      </w:r>
    </w:p>
    <w:p>
      <w:pPr>
        <w:spacing w:line="560" w:lineRule="exact"/>
        <w:ind w:firstLine="640"/>
        <w:rPr>
          <w:rFonts w:ascii="仿宋_GB2312" w:hAnsi="Times New Roman" w:eastAsia="仿宋_GB2312"/>
          <w:sz w:val="32"/>
          <w:szCs w:val="32"/>
        </w:rPr>
      </w:pPr>
      <w:r>
        <w:rPr>
          <w:rFonts w:ascii="仿宋_GB2312" w:hAnsi="Times New Roman" w:eastAsia="仿宋_GB2312"/>
          <w:sz w:val="32"/>
          <w:szCs w:val="32"/>
        </w:rPr>
        <w:t>2019</w:t>
      </w:r>
      <w:r>
        <w:rPr>
          <w:rFonts w:hint="eastAsia" w:ascii="仿宋_GB2312" w:hAnsi="Times New Roman" w:eastAsia="仿宋_GB2312"/>
          <w:sz w:val="32"/>
          <w:szCs w:val="32"/>
        </w:rPr>
        <w:t>年支出预算265.01万元，其中基本支出265.01万元，包括人员经费和日常公用经费；项目支出0万元。</w:t>
      </w:r>
    </w:p>
    <w:p>
      <w:pPr>
        <w:spacing w:line="560" w:lineRule="exact"/>
        <w:ind w:firstLine="640"/>
        <w:rPr>
          <w:rFonts w:ascii="楷体_GB2312" w:hAnsi="楷体" w:eastAsia="楷体_GB2312"/>
          <w:b/>
          <w:sz w:val="32"/>
          <w:szCs w:val="32"/>
        </w:rPr>
      </w:pPr>
      <w:r>
        <w:rPr>
          <w:rFonts w:ascii="楷体_GB2312" w:hAnsi="楷体" w:eastAsia="楷体_GB2312"/>
          <w:b/>
          <w:sz w:val="32"/>
          <w:szCs w:val="32"/>
        </w:rPr>
        <w:t>3</w:t>
      </w:r>
      <w:r>
        <w:rPr>
          <w:rFonts w:hint="eastAsia" w:ascii="楷体_GB2312" w:hAnsi="楷体" w:eastAsia="楷体_GB2312"/>
          <w:b/>
          <w:sz w:val="32"/>
          <w:szCs w:val="32"/>
        </w:rPr>
        <w:t>、比上年增减变化情况</w:t>
      </w:r>
    </w:p>
    <w:p>
      <w:pPr>
        <w:spacing w:line="560" w:lineRule="exact"/>
        <w:ind w:firstLine="640"/>
        <w:rPr>
          <w:rFonts w:ascii="仿宋_GB2312" w:hAnsi="Times New Roman" w:eastAsia="仿宋_GB2312"/>
          <w:sz w:val="32"/>
          <w:szCs w:val="32"/>
        </w:rPr>
      </w:pPr>
      <w:r>
        <w:rPr>
          <w:rFonts w:ascii="仿宋_GB2312" w:hAnsi="Times New Roman" w:eastAsia="仿宋_GB2312"/>
          <w:sz w:val="32"/>
          <w:szCs w:val="32"/>
        </w:rPr>
        <w:t>2019</w:t>
      </w:r>
      <w:r>
        <w:rPr>
          <w:rFonts w:hint="eastAsia" w:ascii="仿宋_GB2312" w:hAnsi="Times New Roman" w:eastAsia="仿宋_GB2312"/>
          <w:sz w:val="32"/>
          <w:szCs w:val="32"/>
        </w:rPr>
        <w:t>年预算收支安排265.01万元，较</w:t>
      </w:r>
      <w:r>
        <w:rPr>
          <w:rFonts w:ascii="仿宋_GB2312" w:hAnsi="Times New Roman" w:eastAsia="仿宋_GB2312"/>
          <w:sz w:val="32"/>
          <w:szCs w:val="32"/>
        </w:rPr>
        <w:t>2018</w:t>
      </w:r>
      <w:r>
        <w:rPr>
          <w:rFonts w:hint="eastAsia" w:ascii="仿宋_GB2312" w:hAnsi="Times New Roman" w:eastAsia="仿宋_GB2312"/>
          <w:sz w:val="32"/>
          <w:szCs w:val="32"/>
        </w:rPr>
        <w:t>年预算增加33.56万元，其中：基本支出增加33.56万元，</w:t>
      </w:r>
    </w:p>
    <w:p>
      <w:pPr>
        <w:spacing w:line="560" w:lineRule="exact"/>
        <w:rPr>
          <w:rFonts w:ascii="仿宋_GB2312" w:hAnsi="Times New Roman" w:eastAsia="仿宋_GB2312"/>
          <w:sz w:val="32"/>
          <w:szCs w:val="32"/>
        </w:rPr>
      </w:pPr>
      <w:r>
        <w:rPr>
          <w:rFonts w:hint="eastAsia" w:ascii="仿宋_GB2312" w:hAnsi="Times New Roman" w:eastAsia="仿宋_GB2312"/>
          <w:sz w:val="32"/>
          <w:szCs w:val="32"/>
        </w:rPr>
        <w:t>主要是按规定调整工资标准，并对</w:t>
      </w:r>
      <w:r>
        <w:rPr>
          <w:rFonts w:hint="eastAsia" w:ascii="仿宋" w:hAnsi="仿宋" w:eastAsia="仿宋" w:cs="仿宋_GB2312"/>
          <w:kern w:val="0"/>
          <w:sz w:val="32"/>
          <w:szCs w:val="32"/>
        </w:rPr>
        <w:t>2019年对机关事业单位养老保险自2014年10月起进行清算，增加部分为单位20%部分养老保险清算资金</w:t>
      </w:r>
      <w:r>
        <w:rPr>
          <w:rFonts w:hint="eastAsia" w:ascii="仿宋" w:hAnsi="仿宋" w:eastAsia="仿宋" w:cs="仿宋"/>
          <w:sz w:val="32"/>
          <w:szCs w:val="32"/>
        </w:rPr>
        <w:t>。</w:t>
      </w:r>
    </w:p>
    <w:p>
      <w:pPr>
        <w:widowControl/>
        <w:spacing w:line="360" w:lineRule="auto"/>
        <w:ind w:firstLine="640" w:firstLineChars="200"/>
        <w:jc w:val="left"/>
        <w:rPr>
          <w:rFonts w:ascii="黑体" w:hAnsi="黑体" w:eastAsia="黑体" w:cs="黑体"/>
          <w:kern w:val="0"/>
          <w:sz w:val="32"/>
          <w:szCs w:val="32"/>
        </w:rPr>
      </w:pPr>
      <w:r>
        <w:rPr>
          <w:rFonts w:hint="eastAsia" w:ascii="黑体" w:hAnsi="黑体" w:eastAsia="黑体" w:cs="黑体"/>
          <w:kern w:val="0"/>
          <w:sz w:val="32"/>
          <w:szCs w:val="32"/>
        </w:rPr>
        <w:t>三、机关运行经费安排情况</w:t>
      </w:r>
    </w:p>
    <w:p>
      <w:pPr>
        <w:widowControl/>
        <w:spacing w:line="360" w:lineRule="auto"/>
        <w:ind w:firstLine="640" w:firstLineChars="200"/>
        <w:jc w:val="left"/>
        <w:rPr>
          <w:rFonts w:ascii="Calibri" w:hAnsi="Calibri" w:eastAsia="仿宋_GB2312" w:cs="Calibri"/>
          <w:color w:val="FF0000"/>
          <w:kern w:val="0"/>
          <w:sz w:val="32"/>
          <w:szCs w:val="32"/>
        </w:rPr>
      </w:pPr>
      <w:r>
        <w:rPr>
          <w:rFonts w:hint="eastAsia" w:ascii="仿宋" w:hAnsi="仿宋" w:eastAsia="仿宋" w:cs="仿宋"/>
          <w:sz w:val="32"/>
          <w:szCs w:val="32"/>
        </w:rPr>
        <w:t>机关运行经费共计安排28.39万元，主要用于办公区的日常维修、办公用房水电费、邮电费、办公用房取暖费、办公用房物业管理费等日常运行支出。</w:t>
      </w:r>
    </w:p>
    <w:p>
      <w:pPr>
        <w:autoSpaceDE w:val="0"/>
        <w:autoSpaceDN w:val="0"/>
        <w:adjustRightInd w:val="0"/>
        <w:spacing w:line="560" w:lineRule="exact"/>
        <w:ind w:firstLine="640" w:firstLineChars="200"/>
        <w:jc w:val="left"/>
        <w:rPr>
          <w:rFonts w:ascii="黑体" w:hAnsi="黑体" w:eastAsia="黑体" w:cs="黑体"/>
          <w:bCs/>
          <w:sz w:val="32"/>
          <w:szCs w:val="32"/>
        </w:rPr>
      </w:pPr>
      <w:r>
        <w:rPr>
          <w:rFonts w:hint="eastAsia" w:ascii="黑体" w:hAnsi="黑体" w:eastAsia="黑体" w:cs="黑体"/>
          <w:bCs/>
          <w:kern w:val="0"/>
          <w:sz w:val="32"/>
          <w:szCs w:val="32"/>
        </w:rPr>
        <w:t>四、</w:t>
      </w:r>
      <w:r>
        <w:rPr>
          <w:rFonts w:hint="eastAsia" w:ascii="黑体" w:hAnsi="黑体" w:eastAsia="黑体" w:cs="黑体"/>
          <w:bCs/>
          <w:sz w:val="32"/>
          <w:szCs w:val="32"/>
        </w:rPr>
        <w:t>财政拨款“三公”经费预算情况及增减变化原因</w:t>
      </w:r>
    </w:p>
    <w:p>
      <w:pPr>
        <w:autoSpaceDE w:val="0"/>
        <w:autoSpaceDN w:val="0"/>
        <w:adjustRightInd w:val="0"/>
        <w:spacing w:line="560" w:lineRule="exact"/>
        <w:ind w:left="198" w:firstLine="640" w:firstLineChars="200"/>
        <w:rPr>
          <w:rFonts w:ascii="仿宋" w:hAnsi="仿宋" w:eastAsia="仿宋" w:cs="仿宋"/>
          <w:sz w:val="32"/>
          <w:szCs w:val="32"/>
        </w:rPr>
      </w:pPr>
      <w:r>
        <w:rPr>
          <w:rFonts w:hint="eastAsia" w:ascii="仿宋" w:hAnsi="仿宋" w:eastAsia="仿宋" w:cs="仿宋"/>
          <w:sz w:val="32"/>
          <w:szCs w:val="32"/>
        </w:rPr>
        <w:t>2019年，我单位“三公”经费预算安排1.8万元，其中因公出国（境）费0万元；公务用车购置及运维费1.8万元（其中：公务用车购置费为0万元，公务用车运行费1.8万元)；公务接待费0万元。因公出国（境）费</w:t>
      </w:r>
      <w:r>
        <w:rPr>
          <w:rFonts w:hint="eastAsia" w:ascii="仿宋" w:hAnsi="仿宋" w:eastAsia="仿宋" w:cs="仿宋"/>
          <w:sz w:val="32"/>
          <w:szCs w:val="32"/>
          <w:lang w:eastAsia="zh-CN"/>
        </w:rPr>
        <w:t>用</w:t>
      </w:r>
      <w:r>
        <w:rPr>
          <w:rFonts w:hint="eastAsia" w:ascii="仿宋" w:hAnsi="仿宋" w:eastAsia="仿宋" w:cs="仿宋"/>
          <w:sz w:val="32"/>
          <w:szCs w:val="32"/>
        </w:rPr>
        <w:t>与2018年</w:t>
      </w:r>
      <w:r>
        <w:rPr>
          <w:rFonts w:hint="eastAsia" w:ascii="仿宋" w:hAnsi="仿宋" w:eastAsia="仿宋" w:cs="仿宋"/>
          <w:sz w:val="32"/>
          <w:szCs w:val="32"/>
          <w:lang w:eastAsia="zh-CN"/>
        </w:rPr>
        <w:t>持平</w:t>
      </w:r>
      <w:r>
        <w:rPr>
          <w:rFonts w:hint="eastAsia" w:ascii="仿宋" w:hAnsi="仿宋" w:eastAsia="仿宋" w:cs="仿宋"/>
          <w:sz w:val="32"/>
          <w:szCs w:val="32"/>
        </w:rPr>
        <w:t>；公务用车购置及运维费1.8万元（其中：公务用车购置费为0万元，公务用车运行费1.8万元)与2018年</w:t>
      </w:r>
      <w:r>
        <w:rPr>
          <w:rFonts w:hint="eastAsia" w:ascii="仿宋" w:hAnsi="仿宋" w:eastAsia="仿宋" w:cs="仿宋"/>
          <w:sz w:val="32"/>
          <w:szCs w:val="32"/>
          <w:lang w:eastAsia="zh-CN"/>
        </w:rPr>
        <w:t>持平</w:t>
      </w:r>
      <w:r>
        <w:rPr>
          <w:rFonts w:hint="eastAsia" w:ascii="仿宋" w:hAnsi="仿宋" w:eastAsia="仿宋" w:cs="仿宋"/>
          <w:sz w:val="32"/>
          <w:szCs w:val="32"/>
        </w:rPr>
        <w:t>；公务接待费0万元与2018年</w:t>
      </w:r>
      <w:r>
        <w:rPr>
          <w:rFonts w:hint="eastAsia" w:ascii="仿宋" w:hAnsi="仿宋" w:eastAsia="仿宋" w:cs="仿宋"/>
          <w:sz w:val="32"/>
          <w:szCs w:val="32"/>
          <w:lang w:eastAsia="zh-CN"/>
        </w:rPr>
        <w:t>持平</w:t>
      </w:r>
      <w:r>
        <w:rPr>
          <w:rFonts w:hint="eastAsia" w:ascii="仿宋" w:hAnsi="仿宋" w:eastAsia="仿宋" w:cs="仿宋"/>
          <w:sz w:val="32"/>
          <w:szCs w:val="32"/>
        </w:rPr>
        <w:t>。</w:t>
      </w:r>
    </w:p>
    <w:p>
      <w:pPr>
        <w:spacing w:line="560" w:lineRule="exact"/>
        <w:ind w:firstLine="640"/>
        <w:rPr>
          <w:rFonts w:ascii="黑体" w:hAnsi="黑体" w:eastAsia="黑体" w:cs="Times New Roman"/>
          <w:sz w:val="32"/>
          <w:szCs w:val="32"/>
        </w:rPr>
      </w:pPr>
      <w:r>
        <w:rPr>
          <w:rFonts w:hint="eastAsia" w:ascii="黑体" w:hAnsi="黑体" w:eastAsia="黑体" w:cs="黑体"/>
          <w:sz w:val="32"/>
          <w:szCs w:val="32"/>
        </w:rPr>
        <w:t>五、绩效预算信息</w:t>
      </w:r>
    </w:p>
    <w:p>
      <w:pPr>
        <w:spacing w:line="560" w:lineRule="exact"/>
        <w:ind w:firstLine="643" w:firstLineChars="200"/>
        <w:jc w:val="left"/>
        <w:rPr>
          <w:rFonts w:ascii="楷体" w:hAnsi="楷体" w:eastAsia="楷体" w:cs="楷体"/>
          <w:b/>
          <w:bCs/>
          <w:sz w:val="32"/>
          <w:szCs w:val="32"/>
        </w:rPr>
      </w:pPr>
      <w:r>
        <w:rPr>
          <w:rFonts w:hint="eastAsia" w:ascii="楷体" w:hAnsi="楷体" w:eastAsia="楷体" w:cs="楷体"/>
          <w:b/>
          <w:bCs/>
          <w:sz w:val="32"/>
          <w:szCs w:val="32"/>
          <w:lang w:eastAsia="zh-CN"/>
        </w:rPr>
        <w:t>（一）</w:t>
      </w:r>
      <w:r>
        <w:rPr>
          <w:rFonts w:hint="eastAsia" w:ascii="楷体" w:hAnsi="楷体" w:eastAsia="楷体" w:cs="楷体"/>
          <w:b/>
          <w:bCs/>
          <w:sz w:val="32"/>
          <w:szCs w:val="32"/>
        </w:rPr>
        <w:t>总体绩效目标：</w:t>
      </w:r>
    </w:p>
    <w:p>
      <w:pPr>
        <w:ind w:firstLine="560"/>
        <w:rPr>
          <w:rFonts w:ascii="仿宋" w:hAnsi="仿宋" w:eastAsia="仿宋" w:cs="仿宋"/>
          <w:sz w:val="32"/>
          <w:szCs w:val="32"/>
        </w:rPr>
      </w:pPr>
      <w:r>
        <w:rPr>
          <w:rFonts w:hint="eastAsia" w:ascii="仿宋" w:hAnsi="仿宋" w:eastAsia="仿宋" w:cs="仿宋"/>
          <w:sz w:val="32"/>
          <w:szCs w:val="32"/>
        </w:rPr>
        <w:t>1、做好地方性法规的立、改、废工作，完善经济社会发展的法制保障。完善立法工作机制和立法程序，坚持从实际出发、统筹兼顾的原则，加强稳增长、调结构、惠民生、优环境、权力制约监督、创新社会管理等领域的法制建设。</w:t>
      </w:r>
    </w:p>
    <w:p>
      <w:pPr>
        <w:ind w:firstLine="560"/>
        <w:rPr>
          <w:rFonts w:ascii="仿宋" w:hAnsi="仿宋" w:eastAsia="仿宋" w:cs="仿宋"/>
          <w:sz w:val="32"/>
          <w:szCs w:val="32"/>
        </w:rPr>
      </w:pPr>
      <w:r>
        <w:rPr>
          <w:rFonts w:hint="eastAsia" w:ascii="仿宋" w:hAnsi="仿宋" w:eastAsia="仿宋" w:cs="仿宋"/>
          <w:sz w:val="32"/>
          <w:szCs w:val="32"/>
        </w:rPr>
        <w:t>2、加强对权力运行的制约监督，推动成安县重大决策部署的贯彻落实。围绕经济强省、和谐河北、法治河北中的重大问题和人民群众关注的热点难点问题，听取审议专项工作报告，开展执法检查、视察调研。</w:t>
      </w:r>
    </w:p>
    <w:p>
      <w:pPr>
        <w:ind w:firstLine="560"/>
        <w:rPr>
          <w:rFonts w:ascii="仿宋" w:hAnsi="仿宋" w:eastAsia="仿宋" w:cs="仿宋"/>
          <w:sz w:val="32"/>
          <w:szCs w:val="32"/>
        </w:rPr>
      </w:pPr>
      <w:r>
        <w:rPr>
          <w:rFonts w:hint="eastAsia" w:ascii="仿宋" w:hAnsi="仿宋" w:eastAsia="仿宋" w:cs="仿宋"/>
          <w:sz w:val="32"/>
          <w:szCs w:val="32"/>
        </w:rPr>
        <w:t>3、做好会议的服务保障工作，确保会议顺利进行，达到预期目标。</w:t>
      </w:r>
    </w:p>
    <w:p>
      <w:pPr>
        <w:ind w:firstLine="560"/>
        <w:rPr>
          <w:rFonts w:ascii="仿宋" w:hAnsi="仿宋" w:eastAsia="仿宋" w:cs="仿宋"/>
          <w:sz w:val="32"/>
          <w:szCs w:val="32"/>
        </w:rPr>
      </w:pPr>
      <w:r>
        <w:rPr>
          <w:rFonts w:hint="eastAsia" w:ascii="仿宋" w:hAnsi="仿宋" w:eastAsia="仿宋" w:cs="仿宋"/>
          <w:sz w:val="32"/>
          <w:szCs w:val="32"/>
        </w:rPr>
        <w:t>4、发挥好常委会组成人员、专门委员会委员和代表的履职积极性。密切对代表的联系，组织专门委员会成员、代表列席常委会会议，坚持向代表通报常委会会议情况。</w:t>
      </w:r>
    </w:p>
    <w:p>
      <w:pPr>
        <w:ind w:firstLine="560"/>
        <w:rPr>
          <w:rFonts w:ascii="仿宋" w:hAnsi="仿宋" w:eastAsia="仿宋" w:cs="仿宋"/>
          <w:sz w:val="32"/>
          <w:szCs w:val="32"/>
        </w:rPr>
      </w:pPr>
      <w:r>
        <w:rPr>
          <w:rFonts w:hint="eastAsia" w:ascii="仿宋" w:hAnsi="仿宋" w:eastAsia="仿宋" w:cs="仿宋"/>
          <w:sz w:val="32"/>
          <w:szCs w:val="32"/>
        </w:rPr>
        <w:t>5、改进文风会风，提高常委会议事质量。常委会会议议题要在听取群众意见的基础上依法确定，加强会前的视察调研，严格落实议事规则，完善审议程序，切实提出有针对性的意见建议。</w:t>
      </w:r>
    </w:p>
    <w:p>
      <w:pPr>
        <w:ind w:firstLine="560"/>
        <w:rPr>
          <w:rFonts w:hint="eastAsia" w:ascii="仿宋" w:hAnsi="仿宋" w:eastAsia="仿宋" w:cs="仿宋"/>
          <w:sz w:val="32"/>
          <w:szCs w:val="32"/>
        </w:rPr>
      </w:pPr>
      <w:r>
        <w:rPr>
          <w:rFonts w:hint="eastAsia" w:ascii="仿宋" w:hAnsi="仿宋" w:eastAsia="仿宋" w:cs="仿宋"/>
          <w:sz w:val="32"/>
          <w:szCs w:val="32"/>
        </w:rPr>
        <w:t>6、全面推进机关思想建设、组织建设、作风建设、制度建设和廉政建设，提高机关管理的科学化水平。</w:t>
      </w:r>
    </w:p>
    <w:p>
      <w:pPr>
        <w:spacing w:line="560" w:lineRule="exact"/>
        <w:ind w:firstLine="643" w:firstLineChars="200"/>
        <w:jc w:val="left"/>
        <w:rPr>
          <w:rFonts w:hint="eastAsia" w:ascii="楷体" w:hAnsi="楷体" w:eastAsia="楷体" w:cs="楷体"/>
          <w:b/>
          <w:bCs/>
          <w:sz w:val="32"/>
          <w:szCs w:val="32"/>
        </w:rPr>
      </w:pPr>
      <w:r>
        <w:rPr>
          <w:rFonts w:hint="eastAsia" w:ascii="楷体" w:hAnsi="楷体" w:eastAsia="楷体" w:cs="楷体"/>
          <w:b/>
          <w:bCs/>
          <w:sz w:val="32"/>
          <w:szCs w:val="32"/>
          <w:lang w:val="en-US" w:eastAsia="zh-CN"/>
        </w:rPr>
        <w:t>(</w:t>
      </w:r>
      <w:r>
        <w:rPr>
          <w:rFonts w:hint="eastAsia" w:ascii="楷体" w:hAnsi="楷体" w:eastAsia="楷体" w:cs="楷体"/>
          <w:b/>
          <w:bCs/>
          <w:sz w:val="32"/>
          <w:szCs w:val="32"/>
          <w:lang w:eastAsia="zh-CN"/>
        </w:rPr>
        <w:t>二</w:t>
      </w:r>
      <w:r>
        <w:rPr>
          <w:rFonts w:hint="eastAsia" w:ascii="楷体" w:hAnsi="楷体" w:eastAsia="楷体" w:cs="楷体"/>
          <w:b/>
          <w:bCs/>
          <w:sz w:val="32"/>
          <w:szCs w:val="32"/>
          <w:lang w:val="en-US" w:eastAsia="zh-CN"/>
        </w:rPr>
        <w:t>)</w:t>
      </w:r>
      <w:r>
        <w:rPr>
          <w:rFonts w:hint="eastAsia" w:ascii="楷体" w:hAnsi="楷体" w:eastAsia="楷体" w:cs="楷体"/>
          <w:b/>
          <w:bCs/>
          <w:sz w:val="32"/>
          <w:szCs w:val="32"/>
        </w:rPr>
        <w:t>分项绩效目标</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pP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全面推进农村的基层政权建设</w:t>
      </w:r>
      <w:r>
        <w:rPr>
          <w:rFonts w:hint="eastAsia" w:ascii="仿宋" w:hAnsi="仿宋" w:eastAsia="仿宋" w:cs="仿宋"/>
          <w:sz w:val="32"/>
          <w:szCs w:val="32"/>
          <w:lang w:eastAsia="zh-CN"/>
        </w:rPr>
        <w:t>，</w:t>
      </w:r>
      <w:r>
        <w:rPr>
          <w:rFonts w:hint="eastAsia" w:ascii="仿宋" w:hAnsi="仿宋" w:eastAsia="仿宋" w:cs="仿宋"/>
          <w:sz w:val="32"/>
          <w:szCs w:val="32"/>
        </w:rPr>
        <w:t>强化基层政理,提供公共服务,大力加强基层政权建设稳定。逐步由管理型向服务</w:t>
      </w:r>
      <w:r>
        <w:rPr>
          <w:rFonts w:hint="eastAsia" w:ascii="仿宋" w:hAnsi="仿宋" w:eastAsia="仿宋" w:cs="仿宋"/>
          <w:sz w:val="32"/>
          <w:szCs w:val="32"/>
          <w:lang w:eastAsia="zh-CN"/>
        </w:rPr>
        <w:t>转变。</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rPr>
        <w:t>2、加强对农村劳动力的职业培就业及劳动技能培训,扩大农村富余劳动力就业。</w:t>
      </w:r>
      <w:r>
        <w:rPr>
          <w:rFonts w:hint="eastAsia" w:ascii="仿宋" w:hAnsi="仿宋" w:eastAsia="仿宋" w:cs="仿宋"/>
          <w:sz w:val="32"/>
          <w:szCs w:val="32"/>
          <w:lang w:val="en-US" w:eastAsia="zh-CN"/>
        </w:rPr>
        <w:t>2019年计划解决剩余劳动力130人，提高就业率5%。</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rPr>
      </w:pPr>
      <w:r>
        <w:rPr>
          <w:rFonts w:hint="eastAsia" w:ascii="仿宋" w:hAnsi="仿宋" w:eastAsia="仿宋" w:cs="仿宋"/>
          <w:sz w:val="32"/>
          <w:szCs w:val="32"/>
        </w:rPr>
        <w:t>3、民生事务管理工作</w:t>
      </w:r>
      <w:r>
        <w:rPr>
          <w:rFonts w:hint="eastAsia" w:ascii="仿宋" w:hAnsi="仿宋" w:eastAsia="仿宋" w:cs="仿宋"/>
          <w:sz w:val="32"/>
          <w:szCs w:val="32"/>
          <w:lang w:eastAsia="zh-CN"/>
        </w:rPr>
        <w:t>，加大</w:t>
      </w:r>
      <w:r>
        <w:rPr>
          <w:rFonts w:hint="eastAsia" w:ascii="仿宋" w:hAnsi="仿宋" w:eastAsia="仿宋" w:cs="仿宋"/>
          <w:sz w:val="32"/>
          <w:szCs w:val="32"/>
        </w:rPr>
        <w:t>拥军</w:t>
      </w:r>
      <w:r>
        <w:rPr>
          <w:rFonts w:hint="eastAsia" w:ascii="仿宋" w:hAnsi="仿宋" w:eastAsia="仿宋" w:cs="仿宋"/>
          <w:sz w:val="32"/>
          <w:szCs w:val="32"/>
          <w:lang w:eastAsia="zh-CN"/>
        </w:rPr>
        <w:t>优</w:t>
      </w:r>
      <w:r>
        <w:rPr>
          <w:rFonts w:hint="eastAsia" w:ascii="仿宋" w:hAnsi="仿宋" w:eastAsia="仿宋" w:cs="仿宋"/>
          <w:sz w:val="32"/>
          <w:szCs w:val="32"/>
        </w:rPr>
        <w:t>属、救灾扶贫,妥善安置残疾人就业,多安置贫困人</w:t>
      </w:r>
      <w:r>
        <w:rPr>
          <w:rFonts w:hint="eastAsia" w:ascii="仿宋" w:hAnsi="仿宋" w:eastAsia="仿宋" w:cs="仿宋"/>
          <w:sz w:val="32"/>
          <w:szCs w:val="32"/>
          <w:lang w:val="en-US" w:eastAsia="zh-CN"/>
        </w:rPr>
        <w:t>口到公益性岗位就业。</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4、积极宣传国家的方针政策</w:t>
      </w:r>
      <w:r>
        <w:rPr>
          <w:rFonts w:hint="eastAsia" w:ascii="仿宋" w:hAnsi="仿宋" w:eastAsia="仿宋" w:cs="仿宋"/>
          <w:sz w:val="32"/>
          <w:szCs w:val="32"/>
          <w:lang w:eastAsia="zh-CN"/>
        </w:rPr>
        <w:t>，</w:t>
      </w:r>
      <w:r>
        <w:rPr>
          <w:rFonts w:hint="eastAsia" w:ascii="仿宋" w:hAnsi="仿宋" w:eastAsia="仿宋" w:cs="仿宋"/>
          <w:sz w:val="32"/>
          <w:szCs w:val="32"/>
        </w:rPr>
        <w:t>不断改进文化广播各项业务工作</w:t>
      </w:r>
      <w:r>
        <w:rPr>
          <w:rFonts w:hint="eastAsia" w:ascii="仿宋" w:hAnsi="仿宋" w:eastAsia="仿宋" w:cs="仿宋"/>
          <w:sz w:val="32"/>
          <w:szCs w:val="32"/>
          <w:lang w:eastAsia="zh-CN"/>
        </w:rPr>
        <w:t>。</w:t>
      </w:r>
      <w:r>
        <w:rPr>
          <w:rFonts w:hint="eastAsia" w:ascii="仿宋" w:hAnsi="仿宋" w:eastAsia="仿宋" w:cs="仿宋"/>
          <w:sz w:val="32"/>
          <w:szCs w:val="32"/>
        </w:rPr>
        <w:t>活跃党委、政府及上级有关部门交</w:t>
      </w:r>
      <w:r>
        <w:rPr>
          <w:rFonts w:hint="eastAsia" w:ascii="仿宋" w:hAnsi="仿宋" w:eastAsia="仿宋" w:cs="仿宋"/>
          <w:sz w:val="32"/>
          <w:szCs w:val="32"/>
          <w:lang w:eastAsia="zh-CN"/>
        </w:rPr>
        <w:t>办的</w:t>
      </w:r>
      <w:r>
        <w:rPr>
          <w:rFonts w:hint="eastAsia" w:ascii="仿宋" w:hAnsi="仿宋" w:eastAsia="仿宋" w:cs="仿宋"/>
          <w:sz w:val="32"/>
          <w:szCs w:val="32"/>
        </w:rPr>
        <w:t>宣传国家的方针政农民文化生办的其他工作。活跃农村文化农村文化活</w:t>
      </w:r>
      <w:r>
        <w:rPr>
          <w:rFonts w:hint="eastAsia" w:ascii="仿宋" w:hAnsi="仿宋" w:eastAsia="仿宋" w:cs="仿宋"/>
          <w:sz w:val="32"/>
          <w:szCs w:val="32"/>
          <w:lang w:eastAsia="zh-CN"/>
        </w:rPr>
        <w:t>，</w:t>
      </w:r>
      <w:r>
        <w:rPr>
          <w:rFonts w:hint="eastAsia" w:ascii="仿宋" w:hAnsi="仿宋" w:eastAsia="仿宋" w:cs="仿宋"/>
          <w:sz w:val="32"/>
          <w:szCs w:val="32"/>
        </w:rPr>
        <w:t>加强社会主义精神文明</w:t>
      </w:r>
      <w:r>
        <w:rPr>
          <w:rFonts w:hint="eastAsia" w:ascii="仿宋" w:hAnsi="仿宋" w:eastAsia="仿宋" w:cs="仿宋"/>
          <w:sz w:val="32"/>
          <w:szCs w:val="32"/>
          <w:lang w:eastAsia="zh-CN"/>
        </w:rPr>
        <w:t>建设</w:t>
      </w:r>
      <w:r>
        <w:rPr>
          <w:rFonts w:hint="eastAsia" w:ascii="仿宋" w:hAnsi="仿宋" w:eastAsia="仿宋" w:cs="仿宋"/>
          <w:sz w:val="32"/>
          <w:szCs w:val="32"/>
        </w:rPr>
        <w:t>，多举办文化宣传活动</w:t>
      </w:r>
      <w:r>
        <w:rPr>
          <w:rFonts w:hint="eastAsia" w:ascii="仿宋" w:hAnsi="仿宋" w:eastAsia="仿宋" w:cs="仿宋"/>
          <w:sz w:val="32"/>
          <w:szCs w:val="32"/>
          <w:lang w:eastAsia="zh-CN"/>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5、农村环境综合治理</w:t>
      </w:r>
      <w:r>
        <w:rPr>
          <w:rFonts w:hint="eastAsia" w:ascii="仿宋" w:hAnsi="仿宋" w:eastAsia="仿宋" w:cs="仿宋"/>
          <w:sz w:val="32"/>
          <w:szCs w:val="32"/>
          <w:lang w:eastAsia="zh-CN"/>
        </w:rPr>
        <w:t>，</w:t>
      </w:r>
      <w:r>
        <w:rPr>
          <w:rFonts w:hint="eastAsia" w:ascii="仿宋" w:hAnsi="仿宋" w:eastAsia="仿宋" w:cs="仿宋"/>
          <w:sz w:val="32"/>
          <w:szCs w:val="32"/>
        </w:rPr>
        <w:t>加强农村环境综合治理工作,建设美好生活家园。通过修路</w:t>
      </w:r>
      <w:r>
        <w:rPr>
          <w:rFonts w:hint="eastAsia" w:ascii="仿宋" w:hAnsi="仿宋" w:eastAsia="仿宋" w:cs="仿宋"/>
          <w:sz w:val="32"/>
          <w:szCs w:val="32"/>
          <w:lang w:eastAsia="zh-CN"/>
        </w:rPr>
        <w:t>、</w:t>
      </w:r>
      <w:r>
        <w:rPr>
          <w:rFonts w:hint="eastAsia" w:ascii="仿宋" w:hAnsi="仿宋" w:eastAsia="仿宋" w:cs="仿宋"/>
          <w:sz w:val="32"/>
          <w:szCs w:val="32"/>
        </w:rPr>
        <w:t>改厕所</w:t>
      </w:r>
      <w:r>
        <w:rPr>
          <w:rFonts w:hint="eastAsia" w:ascii="仿宋" w:hAnsi="仿宋" w:eastAsia="仿宋" w:cs="仿宋"/>
          <w:sz w:val="32"/>
          <w:szCs w:val="32"/>
          <w:lang w:eastAsia="zh-CN"/>
        </w:rPr>
        <w:t>、</w:t>
      </w:r>
      <w:r>
        <w:rPr>
          <w:rFonts w:hint="eastAsia" w:ascii="仿宋" w:hAnsi="仿宋" w:eastAsia="仿宋" w:cs="仿宋"/>
          <w:sz w:val="32"/>
          <w:szCs w:val="32"/>
        </w:rPr>
        <w:t>治理坑塘等提高</w:t>
      </w:r>
      <w:r>
        <w:rPr>
          <w:rFonts w:hint="eastAsia" w:ascii="仿宋" w:hAnsi="仿宋" w:eastAsia="仿宋" w:cs="仿宋"/>
          <w:sz w:val="32"/>
          <w:szCs w:val="32"/>
          <w:lang w:eastAsia="zh-CN"/>
        </w:rPr>
        <w:t>环境卫生，提高</w:t>
      </w:r>
      <w:r>
        <w:rPr>
          <w:rFonts w:hint="eastAsia" w:ascii="仿宋" w:hAnsi="仿宋" w:eastAsia="仿宋" w:cs="仿宋"/>
          <w:sz w:val="32"/>
          <w:szCs w:val="32"/>
        </w:rPr>
        <w:t>群众生活素质</w:t>
      </w:r>
      <w:r>
        <w:rPr>
          <w:rFonts w:hint="eastAsia" w:ascii="仿宋" w:hAnsi="仿宋" w:eastAsia="仿宋" w:cs="仿宋"/>
          <w:sz w:val="32"/>
          <w:szCs w:val="32"/>
          <w:lang w:eastAsia="zh-CN"/>
        </w:rPr>
        <w:t>，达到群众满意。</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6、成立防火防汛应急组织,储备确保群众防火、防汛等突发应急物资,保障人民群众财产确保群众生命、财产安全,避免发生险情发生险情</w:t>
      </w:r>
      <w:r>
        <w:rPr>
          <w:rFonts w:hint="eastAsia" w:ascii="仿宋" w:hAnsi="仿宋" w:eastAsia="仿宋" w:cs="仿宋"/>
          <w:sz w:val="32"/>
          <w:szCs w:val="32"/>
          <w:lang w:eastAsia="zh-CN"/>
        </w:rPr>
        <w:t>。</w:t>
      </w:r>
    </w:p>
    <w:p>
      <w:pPr>
        <w:spacing w:line="560" w:lineRule="exact"/>
        <w:ind w:firstLine="643" w:firstLineChars="200"/>
        <w:jc w:val="left"/>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（三）工作保障措施</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1、强产业推进结构调整</w:t>
      </w:r>
      <w:r>
        <w:rPr>
          <w:rFonts w:hint="eastAsia" w:ascii="仿宋" w:hAnsi="仿宋" w:eastAsia="仿宋" w:cs="仿宋"/>
          <w:sz w:val="32"/>
          <w:szCs w:val="32"/>
          <w:lang w:eastAsia="zh-CN"/>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仿宋" w:hAnsi="仿宋" w:eastAsia="仿宋" w:cs="仿宋"/>
          <w:sz w:val="32"/>
          <w:szCs w:val="32"/>
        </w:rPr>
      </w:pPr>
      <w:r>
        <w:rPr>
          <w:rFonts w:hint="eastAsia" w:ascii="仿宋" w:hAnsi="仿宋" w:eastAsia="仿宋" w:cs="仿宋"/>
          <w:sz w:val="32"/>
          <w:szCs w:val="32"/>
        </w:rPr>
        <w:t>发扬"优势区位、整村推进、连片发展"的工作思路抢抓机遇进行精准扶贫指导</w:t>
      </w:r>
      <w:r>
        <w:rPr>
          <w:rFonts w:hint="eastAsia" w:ascii="仿宋" w:hAnsi="仿宋" w:eastAsia="仿宋" w:cs="仿宋"/>
          <w:sz w:val="32"/>
          <w:szCs w:val="32"/>
          <w:lang w:val="en-US" w:eastAsia="zh-CN"/>
        </w:rPr>
        <w:t>24</w:t>
      </w:r>
      <w:r>
        <w:rPr>
          <w:rFonts w:hint="eastAsia" w:ascii="仿宋" w:hAnsi="仿宋" w:eastAsia="仿宋" w:cs="仿宋"/>
          <w:sz w:val="32"/>
          <w:szCs w:val="32"/>
        </w:rPr>
        <w:t>个扶贫村结合一事一议、以工代赈、基层组织建设年等帮扶政策进行科学规划,推进重点村的扶贫项目落地实施对所申报项目严格论证，大力发展建成特色产业带。</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2、抓民生促和谐,共享发展成果</w:t>
      </w:r>
      <w:r>
        <w:rPr>
          <w:rFonts w:hint="eastAsia" w:ascii="仿宋" w:hAnsi="仿宋" w:eastAsia="仿宋" w:cs="仿宋"/>
          <w:sz w:val="32"/>
          <w:szCs w:val="32"/>
          <w:lang w:eastAsia="zh-CN"/>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仿宋" w:hAnsi="仿宋" w:eastAsia="仿宋" w:cs="仿宋"/>
          <w:sz w:val="32"/>
          <w:szCs w:val="32"/>
        </w:rPr>
      </w:pPr>
      <w:r>
        <w:rPr>
          <w:rFonts w:hint="eastAsia" w:ascii="仿宋" w:hAnsi="仿宋" w:eastAsia="仿宋" w:cs="仿宋"/>
          <w:sz w:val="32"/>
          <w:szCs w:val="32"/>
        </w:rPr>
        <w:t>以抓民生为重点，加大工作力度,与扶贫措施落实相结合,落实各项惠民政策,从解决人民群众最关心、最现实的重点难点实事做起,完善基础设施、健全保障机制、提升服务水平,实现发展成果人人共享打造和谐乡镇。</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3、加强环境治理和生态环境保护工作</w:t>
      </w:r>
      <w:r>
        <w:rPr>
          <w:rFonts w:hint="eastAsia" w:ascii="仿宋" w:hAnsi="仿宋" w:eastAsia="仿宋" w:cs="仿宋"/>
          <w:sz w:val="32"/>
          <w:szCs w:val="32"/>
          <w:lang w:eastAsia="zh-CN"/>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仿宋" w:hAnsi="仿宋" w:eastAsia="仿宋" w:cs="仿宋"/>
          <w:sz w:val="32"/>
          <w:szCs w:val="32"/>
        </w:rPr>
      </w:pPr>
      <w:r>
        <w:rPr>
          <w:rFonts w:hint="eastAsia" w:ascii="仿宋" w:hAnsi="仿宋" w:eastAsia="仿宋" w:cs="仿宋"/>
          <w:sz w:val="32"/>
          <w:szCs w:val="32"/>
        </w:rPr>
        <w:t>树立“大综治”格局理念将社会综合治理工作作为各项工作重中之重落实责任、健全制度、强化措施以建设“和谐环保乡镇”为目标,调整产业结构，发展绿化产业，减少污染，进一步清理小散乱污企业。加大禁烧力度，对农村各种陋俗进行疏导，移风易俗。开展保护蓝天行动。对加强创新社会管理,营造安全稳定和谐的绿色生产生态环境。</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rPr>
      </w:pPr>
      <w:r>
        <w:rPr>
          <w:rFonts w:hint="eastAsia" w:ascii="仿宋" w:hAnsi="仿宋" w:eastAsia="仿宋" w:cs="仿宋"/>
          <w:sz w:val="32"/>
          <w:szCs w:val="32"/>
        </w:rPr>
        <w:t>4、促进农村经济发展，壮大村集体经济。</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仿宋" w:hAnsi="仿宋" w:eastAsia="仿宋" w:cs="仿宋"/>
          <w:sz w:val="32"/>
          <w:szCs w:val="32"/>
        </w:rPr>
      </w:pPr>
      <w:r>
        <w:rPr>
          <w:rFonts w:hint="eastAsia" w:ascii="仿宋" w:hAnsi="仿宋" w:eastAsia="仿宋" w:cs="仿宋"/>
          <w:sz w:val="32"/>
          <w:szCs w:val="32"/>
        </w:rPr>
        <w:t>为更好为“三农”服务将工作放在促进经济发展、加强社会管理、提供公共服务和维护农村稳定四项职能上来,具体保障措施如下:促进经济发展。主要包括:(1)科学制定本地产业发展规划谋划适应乡镇实际的经济发展模式;(2)推进农业结构调整</w:t>
      </w:r>
      <w:r>
        <w:rPr>
          <w:rFonts w:hint="eastAsia" w:ascii="仿宋" w:hAnsi="仿宋" w:eastAsia="仿宋" w:cs="仿宋"/>
          <w:sz w:val="32"/>
          <w:szCs w:val="32"/>
          <w:lang w:eastAsia="zh-CN"/>
        </w:rPr>
        <w:t>动</w:t>
      </w:r>
      <w:r>
        <w:rPr>
          <w:rFonts w:hint="eastAsia" w:ascii="仿宋" w:hAnsi="仿宋" w:eastAsia="仿宋" w:cs="仿宋"/>
          <w:sz w:val="32"/>
          <w:szCs w:val="32"/>
        </w:rPr>
        <w:t>力提高农业产业化和农民进入市场的组织化水平促进粮食生产稳定发展农民持续增收;(3)营造良好的发展环境促进招商引资和项目建设;(4)增强农村集体组织经济实力大力发展民营经济促进中小企业相对集中,培育和发展农民与业合作组织和中介组织壮大第二、第三产业加快城镇化进程</w:t>
      </w:r>
      <w:r>
        <w:rPr>
          <w:rFonts w:hint="eastAsia" w:ascii="仿宋" w:hAnsi="仿宋" w:eastAsia="仿宋" w:cs="仿宋"/>
          <w:sz w:val="32"/>
          <w:szCs w:val="32"/>
          <w:lang w:eastAsia="zh-CN"/>
        </w:rPr>
        <w:t>，</w:t>
      </w:r>
      <w:r>
        <w:rPr>
          <w:rFonts w:hint="eastAsia" w:ascii="仿宋" w:hAnsi="仿宋" w:eastAsia="仿宋" w:cs="仿宋"/>
          <w:sz w:val="32"/>
          <w:szCs w:val="32"/>
        </w:rPr>
        <w:t>抓好组织实施。</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5、提供公共服务</w:t>
      </w:r>
      <w:r>
        <w:rPr>
          <w:rFonts w:hint="eastAsia" w:ascii="仿宋" w:hAnsi="仿宋" w:eastAsia="仿宋" w:cs="仿宋"/>
          <w:sz w:val="32"/>
          <w:szCs w:val="32"/>
          <w:lang w:eastAsia="zh-CN"/>
        </w:rPr>
        <w:t>，</w:t>
      </w:r>
      <w:r>
        <w:rPr>
          <w:rFonts w:hint="eastAsia" w:ascii="仿宋" w:hAnsi="仿宋" w:eastAsia="仿宋" w:cs="仿宋"/>
          <w:sz w:val="32"/>
          <w:szCs w:val="32"/>
        </w:rPr>
        <w:t>维护农村稳定</w:t>
      </w:r>
      <w:r>
        <w:rPr>
          <w:rFonts w:hint="eastAsia" w:ascii="仿宋" w:hAnsi="仿宋" w:eastAsia="仿宋" w:cs="仿宋"/>
          <w:sz w:val="32"/>
          <w:szCs w:val="32"/>
          <w:lang w:eastAsia="zh-CN"/>
        </w:rPr>
        <w:t>。</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仿宋" w:hAnsi="仿宋" w:eastAsia="仿宋" w:cs="仿宋"/>
          <w:sz w:val="32"/>
          <w:szCs w:val="32"/>
        </w:rPr>
      </w:pPr>
      <w:r>
        <w:rPr>
          <w:rFonts w:hint="eastAsia" w:ascii="仿宋" w:hAnsi="仿宋" w:eastAsia="仿宋" w:cs="仿宋"/>
          <w:sz w:val="32"/>
          <w:szCs w:val="32"/>
        </w:rPr>
        <w:t>主要包括:(1)加强农村市场体系建设增强市场服务能力;(2)加强农田水利基本建设增强农业抗御自然灾害的能力;(3)加强基础设施建设改善农民生产生活环境;(4)搞好科技、信息服务,提高农民现代信息技术水平;(5)加强对农村劳</w:t>
      </w:r>
      <w:r>
        <w:rPr>
          <w:rFonts w:hint="eastAsia" w:ascii="仿宋" w:hAnsi="仿宋" w:eastAsia="仿宋" w:cs="仿宋"/>
          <w:sz w:val="32"/>
          <w:szCs w:val="32"/>
          <w:lang w:eastAsia="zh-CN"/>
        </w:rPr>
        <w:t>动</w:t>
      </w:r>
      <w:r>
        <w:rPr>
          <w:rFonts w:hint="eastAsia" w:ascii="仿宋" w:hAnsi="仿宋" w:eastAsia="仿宋" w:cs="仿宋"/>
          <w:sz w:val="32"/>
          <w:szCs w:val="32"/>
        </w:rPr>
        <w:t>力的职业培训扩大农村富余劳</w:t>
      </w:r>
      <w:r>
        <w:rPr>
          <w:rFonts w:hint="eastAsia" w:ascii="仿宋" w:hAnsi="仿宋" w:eastAsia="仿宋" w:cs="仿宋"/>
          <w:sz w:val="32"/>
          <w:szCs w:val="32"/>
          <w:lang w:eastAsia="zh-CN"/>
        </w:rPr>
        <w:t>动</w:t>
      </w:r>
      <w:r>
        <w:rPr>
          <w:rFonts w:hint="eastAsia" w:ascii="仿宋" w:hAnsi="仿宋" w:eastAsia="仿宋" w:cs="仿宋"/>
          <w:sz w:val="32"/>
          <w:szCs w:val="32"/>
        </w:rPr>
        <w:t>力就业(6)协</w:t>
      </w:r>
      <w:r>
        <w:rPr>
          <w:rFonts w:hint="eastAsia" w:ascii="仿宋" w:hAnsi="仿宋" w:eastAsia="仿宋" w:cs="仿宋"/>
          <w:sz w:val="32"/>
          <w:szCs w:val="32"/>
          <w:lang w:eastAsia="zh-CN"/>
        </w:rPr>
        <w:t>调</w:t>
      </w:r>
      <w:r>
        <w:rPr>
          <w:rFonts w:hint="eastAsia" w:ascii="仿宋" w:hAnsi="仿宋" w:eastAsia="仿宋" w:cs="仿宋"/>
          <w:sz w:val="32"/>
          <w:szCs w:val="32"/>
        </w:rPr>
        <w:t>县直有关部门做好农村社会保障工作建立健全农村合作医疗、低保、救济等制度,解除农民后顾之忧</w:t>
      </w:r>
      <w:r>
        <w:rPr>
          <w:rFonts w:hint="eastAsia" w:ascii="仿宋" w:hAnsi="仿宋" w:eastAsia="仿宋" w:cs="仿宋"/>
          <w:sz w:val="32"/>
          <w:szCs w:val="32"/>
          <w:lang w:eastAsia="zh-CN"/>
        </w:rPr>
        <w:t>，</w:t>
      </w:r>
      <w:r>
        <w:rPr>
          <w:rFonts w:hint="eastAsia" w:ascii="仿宋" w:hAnsi="仿宋" w:eastAsia="仿宋" w:cs="仿宋"/>
          <w:sz w:val="32"/>
          <w:szCs w:val="32"/>
        </w:rPr>
        <w:t>贯彻执行国家法律法规和政策,增强农民法律意识教育农民知法、懂法、守法;(</w:t>
      </w:r>
      <w:r>
        <w:rPr>
          <w:rFonts w:hint="eastAsia" w:ascii="仿宋" w:hAnsi="仿宋" w:eastAsia="仿宋" w:cs="仿宋"/>
          <w:sz w:val="32"/>
          <w:szCs w:val="32"/>
          <w:lang w:eastAsia="zh-CN"/>
        </w:rPr>
        <w:t>7</w:t>
      </w:r>
      <w:r>
        <w:rPr>
          <w:rFonts w:hint="eastAsia" w:ascii="仿宋" w:hAnsi="仿宋" w:eastAsia="仿宋" w:cs="仿宋"/>
          <w:sz w:val="32"/>
          <w:szCs w:val="32"/>
        </w:rPr>
        <w:t>)建立完善协调联</w:t>
      </w:r>
      <w:r>
        <w:rPr>
          <w:rFonts w:hint="eastAsia" w:ascii="仿宋" w:hAnsi="仿宋" w:eastAsia="仿宋" w:cs="仿宋"/>
          <w:sz w:val="32"/>
          <w:szCs w:val="32"/>
          <w:lang w:eastAsia="zh-CN"/>
        </w:rPr>
        <w:t>动</w:t>
      </w:r>
      <w:r>
        <w:rPr>
          <w:rFonts w:hint="eastAsia" w:ascii="仿宋" w:hAnsi="仿宋" w:eastAsia="仿宋" w:cs="仿宋"/>
          <w:sz w:val="32"/>
          <w:szCs w:val="32"/>
        </w:rPr>
        <w:t>机制搞好农村矛盾的纠纷排查调处,加强社会治安综合</w:t>
      </w:r>
      <w:r>
        <w:rPr>
          <w:rFonts w:hint="eastAsia" w:ascii="仿宋" w:hAnsi="仿宋" w:eastAsia="仿宋" w:cs="仿宋"/>
          <w:sz w:val="32"/>
          <w:szCs w:val="32"/>
          <w:lang w:eastAsia="zh-CN"/>
        </w:rPr>
        <w:t>治</w:t>
      </w:r>
      <w:r>
        <w:rPr>
          <w:rFonts w:hint="eastAsia" w:ascii="仿宋" w:hAnsi="仿宋" w:eastAsia="仿宋" w:cs="仿宋"/>
          <w:sz w:val="32"/>
          <w:szCs w:val="32"/>
        </w:rPr>
        <w:t>理维护社会安全秩序;(</w:t>
      </w:r>
      <w:r>
        <w:rPr>
          <w:rFonts w:hint="eastAsia" w:ascii="仿宋" w:hAnsi="仿宋" w:eastAsia="仿宋" w:cs="仿宋"/>
          <w:sz w:val="32"/>
          <w:szCs w:val="32"/>
          <w:lang w:eastAsia="zh-CN"/>
        </w:rPr>
        <w:t>8</w:t>
      </w:r>
      <w:r>
        <w:rPr>
          <w:rFonts w:hint="eastAsia" w:ascii="仿宋" w:hAnsi="仿宋" w:eastAsia="仿宋" w:cs="仿宋"/>
          <w:sz w:val="32"/>
          <w:szCs w:val="32"/>
        </w:rPr>
        <w:t>)妥善处理突发性、集体性事件协</w:t>
      </w:r>
      <w:r>
        <w:rPr>
          <w:rFonts w:hint="eastAsia" w:ascii="仿宋" w:hAnsi="仿宋" w:eastAsia="仿宋" w:cs="仿宋"/>
          <w:sz w:val="32"/>
          <w:szCs w:val="32"/>
          <w:lang w:eastAsia="zh-CN"/>
        </w:rPr>
        <w:t>同</w:t>
      </w:r>
      <w:r>
        <w:rPr>
          <w:rFonts w:hint="eastAsia" w:ascii="仿宋" w:hAnsi="仿宋" w:eastAsia="仿宋" w:cs="仿宋"/>
          <w:sz w:val="32"/>
          <w:szCs w:val="32"/>
        </w:rPr>
        <w:t>司法机关打各类刑事犯罪活</w:t>
      </w:r>
      <w:r>
        <w:rPr>
          <w:rFonts w:hint="eastAsia" w:ascii="仿宋" w:hAnsi="仿宋" w:eastAsia="仿宋" w:cs="仿宋"/>
          <w:sz w:val="32"/>
          <w:szCs w:val="32"/>
          <w:lang w:eastAsia="zh-CN"/>
        </w:rPr>
        <w:t>动</w:t>
      </w:r>
      <w:r>
        <w:rPr>
          <w:rFonts w:hint="eastAsia" w:ascii="仿宋" w:hAnsi="仿宋" w:eastAsia="仿宋" w:cs="仿宋"/>
          <w:sz w:val="32"/>
          <w:szCs w:val="32"/>
        </w:rPr>
        <w:t>(</w:t>
      </w:r>
      <w:r>
        <w:rPr>
          <w:rFonts w:hint="eastAsia" w:ascii="仿宋" w:hAnsi="仿宋" w:eastAsia="仿宋" w:cs="仿宋"/>
          <w:sz w:val="32"/>
          <w:szCs w:val="32"/>
          <w:lang w:eastAsia="zh-CN"/>
        </w:rPr>
        <w:t>9)</w:t>
      </w:r>
      <w:r>
        <w:rPr>
          <w:rFonts w:hint="eastAsia" w:ascii="仿宋" w:hAnsi="仿宋" w:eastAsia="仿宋" w:cs="仿宋"/>
          <w:sz w:val="32"/>
          <w:szCs w:val="32"/>
        </w:rPr>
        <w:t>抓好农村安全生产监督。</w:t>
      </w:r>
    </w:p>
    <w:p>
      <w:pPr>
        <w:ind w:firstLine="560"/>
        <w:rPr>
          <w:rFonts w:hint="eastAsia" w:ascii="仿宋" w:hAnsi="仿宋" w:eastAsia="仿宋" w:cs="仿宋"/>
          <w:sz w:val="32"/>
          <w:szCs w:val="32"/>
        </w:rPr>
      </w:pPr>
    </w:p>
    <w:p>
      <w:pPr>
        <w:spacing w:line="560" w:lineRule="exact"/>
        <w:jc w:val="center"/>
        <w:outlineLvl w:val="0"/>
        <w:rPr>
          <w:rFonts w:ascii="仿宋" w:hAnsi="仿宋" w:eastAsia="仿宋" w:cs="仿宋"/>
          <w:sz w:val="32"/>
          <w:szCs w:val="32"/>
        </w:rPr>
      </w:pPr>
      <w:r>
        <w:rPr>
          <w:rFonts w:hint="eastAsia" w:ascii="仿宋" w:hAnsi="仿宋" w:eastAsia="仿宋" w:cs="仿宋"/>
          <w:sz w:val="32"/>
          <w:szCs w:val="32"/>
        </w:rPr>
        <w:t>部门职责-工作活动绩效目标</w:t>
      </w:r>
    </w:p>
    <w:p>
      <w:pPr>
        <w:widowControl/>
        <w:spacing w:line="360" w:lineRule="auto"/>
        <w:jc w:val="left"/>
        <w:rPr>
          <w:rFonts w:ascii="仿宋" w:hAnsi="仿宋" w:eastAsia="仿宋" w:cs="仿宋"/>
          <w:b/>
          <w:kern w:val="0"/>
          <w:sz w:val="32"/>
          <w:szCs w:val="32"/>
        </w:rPr>
      </w:pPr>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pPr>
              <w:spacing w:line="300" w:lineRule="exact"/>
              <w:jc w:val="left"/>
              <w:rPr>
                <w:rFonts w:ascii="仿宋" w:hAnsi="仿宋" w:eastAsia="仿宋" w:cs="仿宋"/>
                <w:sz w:val="32"/>
                <w:szCs w:val="32"/>
              </w:rPr>
            </w:pPr>
            <w:r>
              <w:rPr>
                <w:rFonts w:hint="eastAsia" w:ascii="仿宋" w:hAnsi="仿宋" w:eastAsia="仿宋" w:cs="仿宋"/>
                <w:sz w:val="32"/>
                <w:szCs w:val="32"/>
              </w:rPr>
              <w:t>部门（单位）名称803成安县李家町镇政府</w:t>
            </w:r>
          </w:p>
        </w:tc>
        <w:tc>
          <w:tcPr>
            <w:tcW w:w="2948" w:type="dxa"/>
            <w:gridSpan w:val="4"/>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cs="仿宋"/>
                <w:sz w:val="32"/>
                <w:szCs w:val="32"/>
              </w:rPr>
            </w:pPr>
            <w:r>
              <w:rPr>
                <w:rFonts w:hint="eastAsia" w:ascii="仿宋" w:hAnsi="仿宋" w:eastAsia="仿宋" w:cs="仿宋"/>
                <w:sz w:val="32"/>
                <w:szCs w:val="32"/>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vAlign w:val="center"/>
          </w:tcPr>
          <w:p>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vAlign w:val="center"/>
          </w:tcPr>
          <w:p>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vAlign w:val="center"/>
          </w:tcPr>
          <w:p>
            <w:pPr>
              <w:spacing w:line="300" w:lineRule="exact"/>
              <w:jc w:val="center"/>
              <w:rPr>
                <w:rFonts w:ascii="方正书宋_GBK" w:eastAsia="方正书宋_GBK"/>
                <w:b/>
              </w:rPr>
            </w:pPr>
            <w:r>
              <w:rPr>
                <w:rFonts w:hint="eastAsia" w:ascii="方正书宋_GBK" w:eastAsia="方正书宋_GBK"/>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pPr>
              <w:spacing w:line="300" w:lineRule="exact"/>
              <w:jc w:val="left"/>
              <w:outlineLvl w:val="0"/>
            </w:pPr>
          </w:p>
        </w:tc>
        <w:tc>
          <w:tcPr>
            <w:tcW w:w="12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2976" w:type="dxa"/>
            <w:vMerge w:val="continue"/>
            <w:vAlign w:val="center"/>
          </w:tcPr>
          <w:p>
            <w:pPr>
              <w:spacing w:line="300" w:lineRule="exact"/>
              <w:jc w:val="left"/>
              <w:outlineLvl w:val="0"/>
            </w:pPr>
          </w:p>
        </w:tc>
        <w:tc>
          <w:tcPr>
            <w:tcW w:w="1417" w:type="dxa"/>
            <w:vMerge w:val="continue"/>
            <w:vAlign w:val="center"/>
          </w:tcPr>
          <w:p>
            <w:pPr>
              <w:spacing w:line="300" w:lineRule="exact"/>
              <w:jc w:val="left"/>
              <w:outlineLvl w:val="0"/>
            </w:pP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优</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良</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中</w:t>
            </w:r>
          </w:p>
        </w:tc>
        <w:tc>
          <w:tcPr>
            <w:tcW w:w="737" w:type="dxa"/>
            <w:vAlign w:val="center"/>
          </w:tcPr>
          <w:p>
            <w:pPr>
              <w:spacing w:line="300" w:lineRule="exact"/>
              <w:jc w:val="center"/>
              <w:rPr>
                <w:rFonts w:ascii="方正书宋_GBK" w:eastAsia="方正书宋_GBK"/>
                <w:b/>
              </w:rPr>
            </w:pPr>
            <w:r>
              <w:rPr>
                <w:rFonts w:hint="eastAsia" w:ascii="方正书宋_GBK" w:eastAsia="方正书宋_GBK"/>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环境卫生治理及公共建设管理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50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维护农村环境卫生，管理农村公共设施</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全满提升农村环境卫生，维护农村公共设施健全。</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农村面貌改造提升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按照统筹城乡发展要求，实施农村面貌改造提升行动。</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突出重点，因地制宜，开展农村面貌改造提升</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改造提升完成率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村级财务管理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30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加强财务管理</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确保财务工作正常运行。</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村财乡管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乡镇管理村级财务账务。</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村级财务规范化管理</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村财乡管</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党员和党组织建设</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加强党的整体建设，壮大党员队伍，农村党组织建设及党员发展。</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发展、壮大党员队伍，农村党组织建设工作。</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党组织建设及党员教育管理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20</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负责党组织建设；负责基层组织</w:t>
            </w:r>
            <w:r>
              <w:rPr>
                <w:rFonts w:hint="eastAsia" w:ascii="方正书宋_GBK" w:eastAsia="方正书宋_GBK"/>
                <w:lang w:eastAsia="zh-CN"/>
              </w:rPr>
              <w:t>党建工作联席会议</w:t>
            </w:r>
            <w:r>
              <w:rPr>
                <w:rFonts w:hint="eastAsia" w:ascii="方正书宋_GBK" w:eastAsia="方正书宋_GBK"/>
              </w:rPr>
              <w:t>；指导党员教育工作。</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加强党组织建设和党员管理</w:t>
            </w:r>
            <w:r>
              <w:rPr>
                <w:rFonts w:ascii="方正书宋_GBK" w:eastAsia="方正书宋_GBK"/>
              </w:rPr>
              <w:t>,</w:t>
            </w:r>
            <w:r>
              <w:rPr>
                <w:rFonts w:hint="eastAsia" w:ascii="方正书宋_GBK" w:eastAsia="方正书宋_GBK"/>
              </w:rPr>
              <w:t>不断提高执政能力和领导水平</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农村、社区党组织换届率</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pPr>
              <w:spacing w:line="300" w:lineRule="exact"/>
              <w:jc w:val="left"/>
              <w:rPr>
                <w:rFonts w:ascii="方正书宋_GBK" w:eastAsia="方正书宋_GBK"/>
                <w:b/>
              </w:rPr>
            </w:pPr>
            <w:r>
              <w:rPr>
                <w:rFonts w:hint="eastAsia" w:ascii="方正书宋_GBK" w:eastAsia="方正书宋_GBK"/>
                <w:b/>
              </w:rPr>
              <w:t>　　加强重大危险源安全管理</w:t>
            </w:r>
          </w:p>
        </w:tc>
        <w:tc>
          <w:tcPr>
            <w:tcW w:w="1276" w:type="dxa"/>
            <w:vMerge w:val="restart"/>
            <w:vAlign w:val="center"/>
          </w:tcPr>
          <w:p>
            <w:pPr>
              <w:spacing w:line="300" w:lineRule="exact"/>
              <w:jc w:val="left"/>
              <w:rPr>
                <w:rFonts w:ascii="方正书宋_GBK" w:eastAsia="方正书宋_GBK"/>
              </w:rPr>
            </w:pPr>
            <w:r>
              <w:rPr>
                <w:rFonts w:hint="eastAsia" w:ascii="方正书宋_GBK" w:eastAsia="方正书宋_GBK"/>
              </w:rPr>
              <w:t>14.45</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加强重大危险源的监测、监控、辨识与评估及登记建档、备案与核销等安全管理；开展重大危险源执法检查工作。</w:t>
            </w:r>
          </w:p>
        </w:tc>
        <w:tc>
          <w:tcPr>
            <w:tcW w:w="2976" w:type="dxa"/>
            <w:vMerge w:val="restart"/>
            <w:vAlign w:val="center"/>
          </w:tcPr>
          <w:p>
            <w:pPr>
              <w:spacing w:line="300" w:lineRule="exact"/>
              <w:jc w:val="left"/>
              <w:rPr>
                <w:rFonts w:ascii="方正书宋_GBK" w:eastAsia="方正书宋_GBK"/>
              </w:rPr>
            </w:pPr>
            <w:r>
              <w:rPr>
                <w:rFonts w:hint="eastAsia" w:ascii="方正书宋_GBK" w:eastAsia="方正书宋_GBK"/>
              </w:rPr>
              <w:t>科学准确进行重大危险源等级界定；有效开展监测数据的综合分析、数据发布工作；督促企业切实加强危险源监控，有效治理隐患，落实监管责任</w:t>
            </w:r>
          </w:p>
        </w:tc>
        <w:tc>
          <w:tcPr>
            <w:tcW w:w="1417" w:type="dxa"/>
            <w:vAlign w:val="center"/>
          </w:tcPr>
          <w:p>
            <w:pPr>
              <w:spacing w:line="300" w:lineRule="exact"/>
              <w:jc w:val="left"/>
              <w:rPr>
                <w:rFonts w:ascii="方正书宋_GBK" w:eastAsia="方正书宋_GBK"/>
              </w:rPr>
            </w:pPr>
            <w:r>
              <w:rPr>
                <w:rFonts w:hint="eastAsia" w:ascii="方正书宋_GBK" w:eastAsia="方正书宋_GBK"/>
              </w:rPr>
              <w:t>专项检查次数</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12</w:t>
            </w:r>
          </w:p>
        </w:tc>
        <w:tc>
          <w:tcPr>
            <w:tcW w:w="737" w:type="dxa"/>
            <w:vAlign w:val="center"/>
          </w:tcPr>
          <w:p>
            <w:pPr>
              <w:spacing w:line="300" w:lineRule="exact"/>
              <w:jc w:val="center"/>
              <w:rPr>
                <w:rFonts w:ascii="方正书宋_GBK" w:eastAsia="方正书宋_GBK"/>
              </w:rPr>
            </w:pPr>
            <w:r>
              <w:rPr>
                <w:rFonts w:hint="eastAsia" w:ascii="仿宋" w:hAnsi="仿宋" w:eastAsia="仿宋"/>
              </w:rPr>
              <w:t>≥8</w:t>
            </w:r>
          </w:p>
        </w:tc>
        <w:tc>
          <w:tcPr>
            <w:tcW w:w="737" w:type="dxa"/>
            <w:vAlign w:val="center"/>
          </w:tcPr>
          <w:p>
            <w:pPr>
              <w:spacing w:line="300" w:lineRule="exact"/>
              <w:jc w:val="center"/>
              <w:rPr>
                <w:rFonts w:ascii="方正书宋_GBK" w:eastAsia="方正书宋_GBK"/>
              </w:rPr>
            </w:pPr>
            <w:r>
              <w:rPr>
                <w:rFonts w:hint="eastAsia" w:ascii="仿宋" w:hAnsi="仿宋" w:eastAsia="仿宋"/>
              </w:rPr>
              <w:t>≥7</w:t>
            </w:r>
          </w:p>
        </w:tc>
        <w:tc>
          <w:tcPr>
            <w:tcW w:w="737" w:type="dxa"/>
            <w:vAlign w:val="center"/>
          </w:tcPr>
          <w:p>
            <w:pPr>
              <w:spacing w:line="300" w:lineRule="exact"/>
              <w:jc w:val="center"/>
              <w:rPr>
                <w:rFonts w:ascii="方正书宋_GBK" w:eastAsia="方正书宋_GBK"/>
              </w:rPr>
            </w:pPr>
            <w:r>
              <w:rPr>
                <w:rFonts w:hint="eastAsia" w:ascii="仿宋" w:hAnsi="仿宋" w:eastAsia="仿宋"/>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pPr>
              <w:spacing w:line="300" w:lineRule="exact"/>
              <w:jc w:val="left"/>
              <w:rPr>
                <w:rFonts w:ascii="方正书宋_GBK" w:eastAsia="方正书宋_GBK"/>
                <w:b/>
              </w:rPr>
            </w:pPr>
          </w:p>
        </w:tc>
        <w:tc>
          <w:tcPr>
            <w:tcW w:w="12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2976" w:type="dxa"/>
            <w:vMerge w:val="continue"/>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r>
              <w:rPr>
                <w:rFonts w:hint="eastAsia" w:ascii="方正书宋_GBK" w:eastAsia="方正书宋_GBK"/>
              </w:rPr>
              <w:t>监管企业数量</w:t>
            </w: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政务管理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25.56</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承担系统综合业务管理和部门综合事务管理。</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促进机关事务管理工作科学发展。</w:t>
            </w: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pPr>
              <w:spacing w:line="300" w:lineRule="exact"/>
              <w:jc w:val="left"/>
              <w:rPr>
                <w:rFonts w:ascii="方正书宋_GBK" w:eastAsia="方正书宋_GBK"/>
                <w:b/>
              </w:rPr>
            </w:pPr>
            <w:r>
              <w:rPr>
                <w:rFonts w:hint="eastAsia" w:ascii="方正书宋_GBK" w:eastAsia="方正书宋_GBK"/>
                <w:b/>
              </w:rPr>
              <w:t>　　综合事务管理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5</w:t>
            </w:r>
          </w:p>
        </w:tc>
        <w:tc>
          <w:tcPr>
            <w:tcW w:w="2976" w:type="dxa"/>
            <w:vAlign w:val="center"/>
          </w:tcPr>
          <w:p>
            <w:pPr>
              <w:spacing w:line="300" w:lineRule="exact"/>
              <w:jc w:val="left"/>
              <w:rPr>
                <w:rFonts w:ascii="方正书宋_GBK" w:eastAsia="方正书宋_GBK"/>
              </w:rPr>
            </w:pPr>
            <w:r>
              <w:rPr>
                <w:rFonts w:hint="eastAsia" w:ascii="方正书宋_GBK" w:eastAsia="方正书宋_GBK"/>
              </w:rPr>
              <w:t>管理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vAlign w:val="center"/>
          </w:tcPr>
          <w:p>
            <w:pPr>
              <w:spacing w:line="300" w:lineRule="exact"/>
              <w:jc w:val="left"/>
              <w:rPr>
                <w:rFonts w:ascii="方正书宋_GBK" w:eastAsia="方正书宋_GBK"/>
              </w:rPr>
            </w:pPr>
          </w:p>
        </w:tc>
        <w:tc>
          <w:tcPr>
            <w:tcW w:w="1417" w:type="dxa"/>
            <w:vAlign w:val="center"/>
          </w:tcPr>
          <w:p>
            <w:pPr>
              <w:spacing w:line="300" w:lineRule="exact"/>
              <w:jc w:val="left"/>
              <w:rPr>
                <w:rFonts w:ascii="方正书宋_GBK" w:eastAsia="方正书宋_GBK"/>
              </w:rPr>
            </w:pPr>
          </w:p>
        </w:tc>
        <w:tc>
          <w:tcPr>
            <w:tcW w:w="737" w:type="dxa"/>
            <w:vAlign w:val="center"/>
          </w:tcPr>
          <w:p>
            <w:pPr>
              <w:spacing w:line="300" w:lineRule="exact"/>
              <w:jc w:val="center"/>
              <w:rPr>
                <w:rFonts w:ascii="方正书宋_GBK" w:eastAsia="方正书宋_GBK"/>
              </w:rPr>
            </w:pPr>
            <w:r>
              <w:rPr>
                <w:rFonts w:hint="eastAsia" w:ascii="方正书宋_GBK" w:eastAsia="方正书宋_GBK"/>
              </w:rPr>
              <w:t>100%</w:t>
            </w:r>
          </w:p>
        </w:tc>
        <w:tc>
          <w:tcPr>
            <w:tcW w:w="737" w:type="dxa"/>
            <w:vAlign w:val="center"/>
          </w:tcPr>
          <w:p>
            <w:pPr>
              <w:spacing w:line="300" w:lineRule="exact"/>
              <w:jc w:val="center"/>
              <w:rPr>
                <w:rFonts w:ascii="方正书宋_GBK" w:eastAsia="方正书宋_GBK"/>
              </w:rPr>
            </w:pPr>
            <w:r>
              <w:rPr>
                <w:rFonts w:hint="eastAsia" w:ascii="仿宋" w:hAnsi="仿宋" w:eastAsia="仿宋"/>
              </w:rPr>
              <w:t>≥80%</w:t>
            </w:r>
          </w:p>
        </w:tc>
        <w:tc>
          <w:tcPr>
            <w:tcW w:w="737" w:type="dxa"/>
            <w:vAlign w:val="center"/>
          </w:tcPr>
          <w:p>
            <w:pPr>
              <w:spacing w:line="300" w:lineRule="exact"/>
              <w:jc w:val="center"/>
              <w:rPr>
                <w:rFonts w:ascii="方正书宋_GBK" w:eastAsia="方正书宋_GBK"/>
              </w:rPr>
            </w:pPr>
            <w:r>
              <w:rPr>
                <w:rFonts w:hint="eastAsia" w:ascii="仿宋" w:hAnsi="仿宋" w:eastAsia="仿宋"/>
              </w:rPr>
              <w:t>≥70%</w:t>
            </w:r>
          </w:p>
        </w:tc>
        <w:tc>
          <w:tcPr>
            <w:tcW w:w="737" w:type="dxa"/>
            <w:vAlign w:val="center"/>
          </w:tcPr>
          <w:p>
            <w:pPr>
              <w:spacing w:line="300" w:lineRule="exact"/>
              <w:jc w:val="center"/>
              <w:rPr>
                <w:rFonts w:ascii="方正书宋_GBK" w:eastAsia="方正书宋_GBK"/>
              </w:rPr>
            </w:pPr>
            <w:r>
              <w:rPr>
                <w:rFonts w:hint="eastAsia" w:ascii="仿宋" w:hAnsi="仿宋" w:eastAsia="仿宋"/>
              </w:rPr>
              <w:t>＜60%</w:t>
            </w:r>
          </w:p>
        </w:tc>
      </w:tr>
    </w:tbl>
    <w:p>
      <w:pPr>
        <w:widowControl/>
        <w:numPr>
          <w:ilvl w:val="0"/>
          <w:numId w:val="3"/>
        </w:numPr>
        <w:spacing w:line="360" w:lineRule="auto"/>
        <w:ind w:firstLine="640"/>
        <w:jc w:val="left"/>
        <w:rPr>
          <w:rFonts w:ascii="Calibri" w:hAnsi="Calibri" w:eastAsia="仿宋_GB2312" w:cs="Calibri"/>
          <w:b/>
          <w:kern w:val="0"/>
          <w:sz w:val="32"/>
          <w:szCs w:val="32"/>
        </w:rPr>
        <w:sectPr>
          <w:pgSz w:w="16839" w:h="11907" w:orient="landscape"/>
          <w:pgMar w:top="1134" w:right="1020" w:bottom="1134" w:left="1020" w:header="851" w:footer="992" w:gutter="0"/>
          <w:cols w:space="0" w:num="1"/>
          <w:docGrid w:type="lines" w:linePitch="321" w:charSpace="0"/>
        </w:sectPr>
      </w:pPr>
    </w:p>
    <w:p>
      <w:pPr>
        <w:autoSpaceDE w:val="0"/>
        <w:autoSpaceDN w:val="0"/>
        <w:adjustRightInd w:val="0"/>
        <w:spacing w:line="560" w:lineRule="exact"/>
        <w:ind w:firstLine="640" w:firstLineChars="200"/>
        <w:jc w:val="left"/>
        <w:rPr>
          <w:rFonts w:ascii="黑体" w:hAnsi="黑体" w:eastAsia="黑体" w:cs="Times New Roman"/>
          <w:sz w:val="32"/>
          <w:szCs w:val="32"/>
        </w:rPr>
      </w:pPr>
      <w:r>
        <w:rPr>
          <w:rFonts w:hint="eastAsia" w:ascii="黑体" w:hAnsi="黑体" w:eastAsia="黑体" w:cs="黑体"/>
          <w:sz w:val="32"/>
          <w:szCs w:val="32"/>
        </w:rPr>
        <w:t>六、政府采购预算情况</w:t>
      </w:r>
    </w:p>
    <w:p>
      <w:pPr>
        <w:widowControl/>
        <w:spacing w:line="360" w:lineRule="auto"/>
        <w:ind w:firstLine="640"/>
        <w:jc w:val="left"/>
        <w:rPr>
          <w:rFonts w:ascii="仿宋" w:hAnsi="仿宋" w:eastAsia="仿宋" w:cs="仿宋"/>
          <w:sz w:val="32"/>
          <w:szCs w:val="32"/>
        </w:rPr>
      </w:pPr>
      <w:r>
        <w:rPr>
          <w:rFonts w:hint="eastAsia" w:ascii="仿宋" w:hAnsi="仿宋" w:eastAsia="仿宋" w:cs="仿宋"/>
          <w:sz w:val="32"/>
          <w:szCs w:val="32"/>
        </w:rPr>
        <w:t>2019年，我单位安排政府采购预算1.08万元。具体内容见下表。</w:t>
      </w:r>
    </w:p>
    <w:p>
      <w:pPr>
        <w:spacing w:line="560" w:lineRule="exact"/>
        <w:ind w:firstLine="640" w:firstLineChars="200"/>
        <w:outlineLvl w:val="0"/>
        <w:rPr>
          <w:rFonts w:ascii="仿宋" w:hAnsi="仿宋" w:eastAsia="仿宋" w:cs="仿宋"/>
          <w:sz w:val="32"/>
          <w:szCs w:val="32"/>
        </w:rPr>
      </w:pPr>
      <w:r>
        <w:rPr>
          <w:rFonts w:hint="eastAsia" w:ascii="仿宋" w:hAnsi="仿宋" w:eastAsia="仿宋" w:cs="仿宋"/>
          <w:sz w:val="32"/>
          <w:szCs w:val="32"/>
        </w:rPr>
        <w:t>部门政府采购预算</w:t>
      </w:r>
    </w:p>
    <w:tbl>
      <w:tblPr>
        <w:tblStyle w:val="7"/>
        <w:tblW w:w="92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23"/>
        <w:gridCol w:w="680"/>
        <w:gridCol w:w="1014"/>
        <w:gridCol w:w="691"/>
        <w:gridCol w:w="489"/>
        <w:gridCol w:w="374"/>
        <w:gridCol w:w="691"/>
        <w:gridCol w:w="673"/>
        <w:gridCol w:w="734"/>
        <w:gridCol w:w="673"/>
        <w:gridCol w:w="397"/>
        <w:gridCol w:w="418"/>
        <w:gridCol w:w="444"/>
        <w:gridCol w:w="43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tblHeader/>
          <w:jc w:val="center"/>
        </w:trPr>
        <w:tc>
          <w:tcPr>
            <w:tcW w:w="5462" w:type="dxa"/>
            <w:gridSpan w:val="7"/>
            <w:tcBorders>
              <w:top w:val="single" w:color="FFFFFF" w:sz="6" w:space="0"/>
              <w:left w:val="single" w:color="FFFFFF" w:sz="6" w:space="0"/>
              <w:right w:val="single" w:color="FFFFFF" w:sz="6" w:space="0"/>
            </w:tcBorders>
            <w:vAlign w:val="center"/>
          </w:tcPr>
          <w:p>
            <w:pPr>
              <w:spacing w:line="560" w:lineRule="exact"/>
              <w:jc w:val="left"/>
              <w:rPr>
                <w:rFonts w:ascii="宋体" w:hAnsi="宋体" w:eastAsia="宋体" w:cs="Times New Roman"/>
                <w:sz w:val="24"/>
                <w:szCs w:val="24"/>
              </w:rPr>
            </w:pPr>
            <w:r>
              <w:rPr>
                <w:rFonts w:hint="eastAsia" w:ascii="宋体" w:hAnsi="宋体" w:eastAsia="宋体" w:cs="方正小标宋_GBK"/>
                <w:sz w:val="24"/>
                <w:szCs w:val="24"/>
              </w:rPr>
              <w:t>部门（单位）名称：</w:t>
            </w:r>
            <w:r>
              <w:rPr>
                <w:rFonts w:hint="eastAsia" w:ascii="仿宋" w:hAnsi="仿宋" w:eastAsia="仿宋" w:cs="仿宋"/>
                <w:sz w:val="32"/>
                <w:szCs w:val="32"/>
              </w:rPr>
              <w:t>成安县李家町镇政府</w:t>
            </w:r>
          </w:p>
        </w:tc>
        <w:tc>
          <w:tcPr>
            <w:tcW w:w="3777" w:type="dxa"/>
            <w:gridSpan w:val="7"/>
            <w:tcBorders>
              <w:top w:val="single" w:color="FFFFFF" w:sz="6" w:space="0"/>
              <w:left w:val="single" w:color="FFFFFF" w:sz="6" w:space="0"/>
              <w:right w:val="single" w:color="FFFFFF" w:sz="6" w:space="0"/>
            </w:tcBorders>
            <w:vAlign w:val="center"/>
          </w:tcPr>
          <w:p>
            <w:pPr>
              <w:spacing w:line="560" w:lineRule="exact"/>
              <w:jc w:val="right"/>
              <w:rPr>
                <w:rFonts w:ascii="宋体" w:hAnsi="宋体" w:eastAsia="宋体" w:cs="Times New Roman"/>
                <w:sz w:val="24"/>
                <w:szCs w:val="24"/>
              </w:rPr>
            </w:pPr>
            <w:r>
              <w:rPr>
                <w:rFonts w:hint="eastAsia" w:ascii="宋体" w:hAnsi="宋体" w:eastAsia="宋体"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tblHeader/>
          <w:jc w:val="center"/>
        </w:trPr>
        <w:tc>
          <w:tcPr>
            <w:tcW w:w="2203" w:type="dxa"/>
            <w:gridSpan w:val="2"/>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政府采购项目来源</w:t>
            </w:r>
          </w:p>
        </w:tc>
        <w:tc>
          <w:tcPr>
            <w:tcW w:w="1014"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采购物品名称</w:t>
            </w:r>
          </w:p>
        </w:tc>
        <w:tc>
          <w:tcPr>
            <w:tcW w:w="691" w:type="dxa"/>
            <w:vMerge w:val="restart"/>
            <w:vAlign w:val="center"/>
          </w:tcPr>
          <w:p>
            <w:pPr>
              <w:spacing w:line="240" w:lineRule="exact"/>
              <w:jc w:val="center"/>
              <w:rPr>
                <w:rFonts w:ascii="宋体" w:hAnsi="宋体" w:eastAsia="宋体" w:cs="Times New Roman"/>
                <w:b/>
                <w:bCs/>
              </w:rPr>
            </w:pPr>
            <w:r>
              <w:rPr>
                <w:rFonts w:hint="eastAsia" w:ascii="宋体" w:hAnsi="宋体" w:eastAsia="宋体" w:cs="方正书宋_GBK"/>
                <w:b/>
                <w:bCs/>
              </w:rPr>
              <w:t>政府采购目录序号</w:t>
            </w:r>
          </w:p>
        </w:tc>
        <w:tc>
          <w:tcPr>
            <w:tcW w:w="489"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数量单位</w:t>
            </w:r>
          </w:p>
        </w:tc>
        <w:tc>
          <w:tcPr>
            <w:tcW w:w="374"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数量</w:t>
            </w:r>
          </w:p>
        </w:tc>
        <w:tc>
          <w:tcPr>
            <w:tcW w:w="691"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单价</w:t>
            </w:r>
          </w:p>
        </w:tc>
        <w:tc>
          <w:tcPr>
            <w:tcW w:w="3777" w:type="dxa"/>
            <w:gridSpan w:val="7"/>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tblHeader/>
          <w:jc w:val="center"/>
        </w:trPr>
        <w:tc>
          <w:tcPr>
            <w:tcW w:w="1523"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项目名称</w:t>
            </w:r>
          </w:p>
        </w:tc>
        <w:tc>
          <w:tcPr>
            <w:tcW w:w="680"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预算资金</w:t>
            </w:r>
          </w:p>
        </w:tc>
        <w:tc>
          <w:tcPr>
            <w:tcW w:w="1014" w:type="dxa"/>
            <w:vMerge w:val="continue"/>
            <w:vAlign w:val="center"/>
          </w:tcPr>
          <w:p>
            <w:pPr>
              <w:spacing w:line="560" w:lineRule="exact"/>
              <w:jc w:val="left"/>
              <w:outlineLvl w:val="0"/>
              <w:rPr>
                <w:rFonts w:ascii="宋体" w:hAnsi="宋体" w:eastAsia="宋体" w:cs="Times New Roman"/>
              </w:rPr>
            </w:pPr>
          </w:p>
        </w:tc>
        <w:tc>
          <w:tcPr>
            <w:tcW w:w="691" w:type="dxa"/>
            <w:vMerge w:val="continue"/>
            <w:vAlign w:val="center"/>
          </w:tcPr>
          <w:p>
            <w:pPr>
              <w:spacing w:line="560" w:lineRule="exact"/>
              <w:jc w:val="left"/>
              <w:outlineLvl w:val="0"/>
              <w:rPr>
                <w:rFonts w:ascii="宋体" w:hAnsi="宋体" w:eastAsia="宋体" w:cs="Times New Roman"/>
              </w:rPr>
            </w:pPr>
          </w:p>
        </w:tc>
        <w:tc>
          <w:tcPr>
            <w:tcW w:w="489" w:type="dxa"/>
            <w:vMerge w:val="continue"/>
            <w:vAlign w:val="center"/>
          </w:tcPr>
          <w:p>
            <w:pPr>
              <w:spacing w:line="560" w:lineRule="exact"/>
              <w:jc w:val="left"/>
              <w:outlineLvl w:val="0"/>
              <w:rPr>
                <w:rFonts w:ascii="宋体" w:hAnsi="宋体" w:eastAsia="宋体" w:cs="Times New Roman"/>
              </w:rPr>
            </w:pPr>
          </w:p>
        </w:tc>
        <w:tc>
          <w:tcPr>
            <w:tcW w:w="374" w:type="dxa"/>
            <w:vMerge w:val="continue"/>
            <w:vAlign w:val="center"/>
          </w:tcPr>
          <w:p>
            <w:pPr>
              <w:spacing w:line="560" w:lineRule="exact"/>
              <w:jc w:val="left"/>
              <w:outlineLvl w:val="0"/>
              <w:rPr>
                <w:rFonts w:ascii="宋体" w:hAnsi="宋体" w:eastAsia="宋体" w:cs="Times New Roman"/>
              </w:rPr>
            </w:pPr>
          </w:p>
        </w:tc>
        <w:tc>
          <w:tcPr>
            <w:tcW w:w="691" w:type="dxa"/>
            <w:vMerge w:val="continue"/>
            <w:vAlign w:val="center"/>
          </w:tcPr>
          <w:p>
            <w:pPr>
              <w:spacing w:line="560" w:lineRule="exact"/>
              <w:jc w:val="left"/>
              <w:outlineLvl w:val="0"/>
              <w:rPr>
                <w:rFonts w:ascii="宋体" w:hAnsi="宋体" w:eastAsia="宋体" w:cs="Times New Roman"/>
              </w:rPr>
            </w:pPr>
          </w:p>
        </w:tc>
        <w:tc>
          <w:tcPr>
            <w:tcW w:w="673" w:type="dxa"/>
            <w:vMerge w:val="restart"/>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总计</w:t>
            </w:r>
          </w:p>
        </w:tc>
        <w:tc>
          <w:tcPr>
            <w:tcW w:w="2666" w:type="dxa"/>
            <w:gridSpan w:val="5"/>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当年部门预算安排资金</w:t>
            </w:r>
          </w:p>
        </w:tc>
        <w:tc>
          <w:tcPr>
            <w:tcW w:w="438" w:type="dxa"/>
            <w:vMerge w:val="restart"/>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0" w:hRule="atLeast"/>
          <w:tblHeader/>
          <w:jc w:val="center"/>
        </w:trPr>
        <w:tc>
          <w:tcPr>
            <w:tcW w:w="1523" w:type="dxa"/>
            <w:vMerge w:val="continue"/>
            <w:vAlign w:val="center"/>
          </w:tcPr>
          <w:p>
            <w:pPr>
              <w:spacing w:line="560" w:lineRule="exact"/>
              <w:jc w:val="left"/>
              <w:outlineLvl w:val="0"/>
              <w:rPr>
                <w:rFonts w:ascii="宋体" w:hAnsi="宋体" w:eastAsia="宋体" w:cs="Times New Roman"/>
              </w:rPr>
            </w:pPr>
          </w:p>
        </w:tc>
        <w:tc>
          <w:tcPr>
            <w:tcW w:w="680" w:type="dxa"/>
            <w:vMerge w:val="continue"/>
            <w:vAlign w:val="center"/>
          </w:tcPr>
          <w:p>
            <w:pPr>
              <w:spacing w:line="560" w:lineRule="exact"/>
              <w:jc w:val="left"/>
              <w:outlineLvl w:val="0"/>
              <w:rPr>
                <w:rFonts w:ascii="宋体" w:hAnsi="宋体" w:eastAsia="宋体" w:cs="Times New Roman"/>
              </w:rPr>
            </w:pPr>
          </w:p>
        </w:tc>
        <w:tc>
          <w:tcPr>
            <w:tcW w:w="1014" w:type="dxa"/>
            <w:vMerge w:val="continue"/>
            <w:vAlign w:val="center"/>
          </w:tcPr>
          <w:p>
            <w:pPr>
              <w:spacing w:line="560" w:lineRule="exact"/>
              <w:jc w:val="left"/>
              <w:outlineLvl w:val="0"/>
              <w:rPr>
                <w:rFonts w:ascii="宋体" w:hAnsi="宋体" w:eastAsia="宋体" w:cs="Times New Roman"/>
              </w:rPr>
            </w:pPr>
          </w:p>
        </w:tc>
        <w:tc>
          <w:tcPr>
            <w:tcW w:w="691" w:type="dxa"/>
            <w:vMerge w:val="continue"/>
            <w:vAlign w:val="center"/>
          </w:tcPr>
          <w:p>
            <w:pPr>
              <w:spacing w:line="560" w:lineRule="exact"/>
              <w:jc w:val="left"/>
              <w:outlineLvl w:val="0"/>
              <w:rPr>
                <w:rFonts w:ascii="宋体" w:hAnsi="宋体" w:eastAsia="宋体" w:cs="Times New Roman"/>
              </w:rPr>
            </w:pPr>
          </w:p>
        </w:tc>
        <w:tc>
          <w:tcPr>
            <w:tcW w:w="489" w:type="dxa"/>
            <w:vMerge w:val="continue"/>
            <w:vAlign w:val="center"/>
          </w:tcPr>
          <w:p>
            <w:pPr>
              <w:spacing w:line="560" w:lineRule="exact"/>
              <w:jc w:val="left"/>
              <w:outlineLvl w:val="0"/>
              <w:rPr>
                <w:rFonts w:ascii="宋体" w:hAnsi="宋体" w:eastAsia="宋体" w:cs="Times New Roman"/>
              </w:rPr>
            </w:pPr>
          </w:p>
        </w:tc>
        <w:tc>
          <w:tcPr>
            <w:tcW w:w="374" w:type="dxa"/>
            <w:vMerge w:val="continue"/>
            <w:vAlign w:val="center"/>
          </w:tcPr>
          <w:p>
            <w:pPr>
              <w:spacing w:line="560" w:lineRule="exact"/>
              <w:jc w:val="left"/>
              <w:outlineLvl w:val="0"/>
              <w:rPr>
                <w:rFonts w:ascii="宋体" w:hAnsi="宋体" w:eastAsia="宋体" w:cs="Times New Roman"/>
              </w:rPr>
            </w:pPr>
          </w:p>
        </w:tc>
        <w:tc>
          <w:tcPr>
            <w:tcW w:w="691" w:type="dxa"/>
            <w:vMerge w:val="continue"/>
            <w:vAlign w:val="center"/>
          </w:tcPr>
          <w:p>
            <w:pPr>
              <w:spacing w:line="560" w:lineRule="exact"/>
              <w:jc w:val="left"/>
              <w:outlineLvl w:val="0"/>
              <w:rPr>
                <w:rFonts w:ascii="宋体" w:hAnsi="宋体" w:eastAsia="宋体" w:cs="Times New Roman"/>
              </w:rPr>
            </w:pPr>
          </w:p>
        </w:tc>
        <w:tc>
          <w:tcPr>
            <w:tcW w:w="673" w:type="dxa"/>
            <w:vMerge w:val="continue"/>
            <w:vAlign w:val="center"/>
          </w:tcPr>
          <w:p>
            <w:pPr>
              <w:spacing w:line="560" w:lineRule="exact"/>
              <w:jc w:val="left"/>
              <w:outlineLvl w:val="0"/>
              <w:rPr>
                <w:rFonts w:ascii="宋体" w:hAnsi="宋体" w:eastAsia="宋体" w:cs="Times New Roman"/>
              </w:rPr>
            </w:pPr>
          </w:p>
        </w:tc>
        <w:tc>
          <w:tcPr>
            <w:tcW w:w="734"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合计</w:t>
            </w:r>
          </w:p>
        </w:tc>
        <w:tc>
          <w:tcPr>
            <w:tcW w:w="673"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一般公共预算拨款</w:t>
            </w:r>
          </w:p>
        </w:tc>
        <w:tc>
          <w:tcPr>
            <w:tcW w:w="397"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基金预算拨款</w:t>
            </w:r>
          </w:p>
        </w:tc>
        <w:tc>
          <w:tcPr>
            <w:tcW w:w="418"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财政专户核拨</w:t>
            </w:r>
          </w:p>
        </w:tc>
        <w:tc>
          <w:tcPr>
            <w:tcW w:w="444" w:type="dxa"/>
            <w:vAlign w:val="center"/>
          </w:tcPr>
          <w:p>
            <w:pPr>
              <w:spacing w:line="280" w:lineRule="exact"/>
              <w:jc w:val="center"/>
              <w:rPr>
                <w:rFonts w:ascii="宋体" w:hAnsi="宋体" w:eastAsia="宋体" w:cs="Times New Roman"/>
                <w:b/>
                <w:bCs/>
              </w:rPr>
            </w:pPr>
            <w:r>
              <w:rPr>
                <w:rFonts w:hint="eastAsia" w:ascii="宋体" w:hAnsi="宋体" w:eastAsia="宋体" w:cs="方正书宋_GBK"/>
                <w:b/>
                <w:bCs/>
              </w:rPr>
              <w:t>其他来源收入</w:t>
            </w:r>
          </w:p>
        </w:tc>
        <w:tc>
          <w:tcPr>
            <w:tcW w:w="438" w:type="dxa"/>
            <w:vMerge w:val="continue"/>
            <w:vAlign w:val="center"/>
          </w:tcPr>
          <w:p>
            <w:pPr>
              <w:spacing w:line="280" w:lineRule="exact"/>
              <w:jc w:val="left"/>
              <w:outlineLvl w:val="0"/>
              <w:rPr>
                <w:rFonts w:ascii="宋体" w:hAnsi="宋体"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7" w:hRule="atLeast"/>
          <w:jc w:val="center"/>
        </w:trPr>
        <w:tc>
          <w:tcPr>
            <w:tcW w:w="1523" w:type="dxa"/>
            <w:vAlign w:val="center"/>
          </w:tcPr>
          <w:p>
            <w:pPr>
              <w:spacing w:line="560" w:lineRule="exact"/>
              <w:jc w:val="center"/>
              <w:rPr>
                <w:rFonts w:ascii="宋体" w:hAnsi="宋体" w:eastAsia="宋体" w:cs="Times New Roman"/>
                <w:b/>
                <w:bCs/>
              </w:rPr>
            </w:pPr>
            <w:r>
              <w:rPr>
                <w:rFonts w:hint="eastAsia" w:ascii="宋体" w:hAnsi="宋体" w:eastAsia="宋体" w:cs="方正书宋_GBK"/>
                <w:b/>
                <w:bCs/>
              </w:rPr>
              <w:t>合　计</w:t>
            </w:r>
          </w:p>
        </w:tc>
        <w:tc>
          <w:tcPr>
            <w:tcW w:w="680" w:type="dxa"/>
            <w:vAlign w:val="center"/>
          </w:tcPr>
          <w:p>
            <w:pPr>
              <w:spacing w:line="560" w:lineRule="exact"/>
              <w:jc w:val="right"/>
              <w:rPr>
                <w:rFonts w:ascii="宋体" w:hAnsi="宋体" w:eastAsia="宋体" w:cs="Times New Roman"/>
                <w:b/>
                <w:bCs/>
              </w:rPr>
            </w:pPr>
          </w:p>
        </w:tc>
        <w:tc>
          <w:tcPr>
            <w:tcW w:w="1014" w:type="dxa"/>
            <w:vAlign w:val="center"/>
          </w:tcPr>
          <w:p>
            <w:pPr>
              <w:spacing w:line="560" w:lineRule="exact"/>
              <w:jc w:val="left"/>
              <w:rPr>
                <w:rFonts w:ascii="宋体" w:hAnsi="宋体" w:eastAsia="宋体" w:cs="Times New Roman"/>
                <w:b/>
                <w:bCs/>
              </w:rPr>
            </w:pPr>
          </w:p>
        </w:tc>
        <w:tc>
          <w:tcPr>
            <w:tcW w:w="691" w:type="dxa"/>
            <w:vAlign w:val="center"/>
          </w:tcPr>
          <w:p>
            <w:pPr>
              <w:spacing w:line="560" w:lineRule="exact"/>
              <w:jc w:val="left"/>
              <w:rPr>
                <w:rFonts w:ascii="宋体" w:hAnsi="宋体" w:eastAsia="宋体" w:cs="Times New Roman"/>
                <w:b/>
                <w:bCs/>
              </w:rPr>
            </w:pPr>
          </w:p>
        </w:tc>
        <w:tc>
          <w:tcPr>
            <w:tcW w:w="489" w:type="dxa"/>
            <w:vAlign w:val="center"/>
          </w:tcPr>
          <w:p>
            <w:pPr>
              <w:spacing w:line="560" w:lineRule="exact"/>
              <w:jc w:val="left"/>
              <w:rPr>
                <w:rFonts w:ascii="宋体" w:hAnsi="宋体" w:eastAsia="宋体" w:cs="Times New Roman"/>
                <w:b/>
                <w:bCs/>
              </w:rPr>
            </w:pPr>
          </w:p>
        </w:tc>
        <w:tc>
          <w:tcPr>
            <w:tcW w:w="374" w:type="dxa"/>
            <w:vAlign w:val="center"/>
          </w:tcPr>
          <w:p>
            <w:pPr>
              <w:spacing w:line="560" w:lineRule="exact"/>
              <w:jc w:val="right"/>
              <w:rPr>
                <w:rFonts w:ascii="宋体" w:hAnsi="宋体" w:eastAsia="宋体" w:cs="Times New Roman"/>
                <w:b/>
                <w:bCs/>
              </w:rPr>
            </w:pPr>
          </w:p>
        </w:tc>
        <w:tc>
          <w:tcPr>
            <w:tcW w:w="691" w:type="dxa"/>
            <w:vAlign w:val="center"/>
          </w:tcPr>
          <w:p>
            <w:pPr>
              <w:spacing w:line="560" w:lineRule="exact"/>
              <w:jc w:val="right"/>
              <w:rPr>
                <w:rFonts w:ascii="宋体" w:hAnsi="宋体" w:eastAsia="宋体" w:cs="Times New Roman"/>
                <w:b/>
                <w:bCs/>
              </w:rPr>
            </w:pPr>
          </w:p>
        </w:tc>
        <w:tc>
          <w:tcPr>
            <w:tcW w:w="673" w:type="dxa"/>
            <w:vAlign w:val="center"/>
          </w:tcPr>
          <w:p>
            <w:pPr>
              <w:spacing w:line="560" w:lineRule="exact"/>
              <w:jc w:val="right"/>
              <w:rPr>
                <w:rFonts w:ascii="宋体" w:hAnsi="宋体" w:eastAsia="宋体" w:cs="Times New Roman"/>
                <w:b/>
                <w:bCs/>
              </w:rPr>
            </w:pPr>
          </w:p>
        </w:tc>
        <w:tc>
          <w:tcPr>
            <w:tcW w:w="734" w:type="dxa"/>
            <w:vAlign w:val="center"/>
          </w:tcPr>
          <w:p>
            <w:pPr>
              <w:spacing w:line="560" w:lineRule="exact"/>
              <w:jc w:val="right"/>
              <w:rPr>
                <w:rFonts w:ascii="宋体" w:hAnsi="宋体" w:eastAsia="宋体" w:cs="Times New Roman"/>
                <w:b/>
                <w:bCs/>
              </w:rPr>
            </w:pPr>
          </w:p>
        </w:tc>
        <w:tc>
          <w:tcPr>
            <w:tcW w:w="673" w:type="dxa"/>
            <w:vAlign w:val="center"/>
          </w:tcPr>
          <w:p>
            <w:pPr>
              <w:spacing w:line="560" w:lineRule="exact"/>
              <w:jc w:val="right"/>
              <w:rPr>
                <w:rFonts w:ascii="宋体" w:hAnsi="宋体" w:eastAsia="宋体" w:cs="Times New Roman"/>
                <w:b/>
                <w:bCs/>
              </w:rPr>
            </w:pPr>
          </w:p>
        </w:tc>
        <w:tc>
          <w:tcPr>
            <w:tcW w:w="397" w:type="dxa"/>
            <w:vAlign w:val="center"/>
          </w:tcPr>
          <w:p>
            <w:pPr>
              <w:spacing w:line="560" w:lineRule="exact"/>
              <w:jc w:val="right"/>
              <w:rPr>
                <w:rFonts w:ascii="宋体" w:hAnsi="宋体" w:eastAsia="宋体" w:cs="Times New Roman"/>
                <w:b/>
                <w:bCs/>
              </w:rPr>
            </w:pPr>
          </w:p>
        </w:tc>
        <w:tc>
          <w:tcPr>
            <w:tcW w:w="418" w:type="dxa"/>
            <w:vAlign w:val="center"/>
          </w:tcPr>
          <w:p>
            <w:pPr>
              <w:spacing w:line="560" w:lineRule="exact"/>
              <w:jc w:val="right"/>
              <w:rPr>
                <w:rFonts w:ascii="宋体" w:hAnsi="宋体" w:eastAsia="宋体" w:cs="Times New Roman"/>
                <w:b/>
                <w:bCs/>
              </w:rPr>
            </w:pPr>
          </w:p>
        </w:tc>
        <w:tc>
          <w:tcPr>
            <w:tcW w:w="444" w:type="dxa"/>
            <w:vAlign w:val="center"/>
          </w:tcPr>
          <w:p>
            <w:pPr>
              <w:spacing w:line="560" w:lineRule="exact"/>
              <w:jc w:val="right"/>
              <w:rPr>
                <w:rFonts w:ascii="宋体" w:hAnsi="宋体" w:eastAsia="宋体" w:cs="Times New Roman"/>
                <w:b/>
                <w:bCs/>
              </w:rPr>
            </w:pPr>
          </w:p>
        </w:tc>
        <w:tc>
          <w:tcPr>
            <w:tcW w:w="438" w:type="dxa"/>
            <w:vAlign w:val="center"/>
          </w:tcPr>
          <w:p>
            <w:pPr>
              <w:spacing w:line="560" w:lineRule="exact"/>
              <w:jc w:val="right"/>
              <w:rPr>
                <w:rFonts w:ascii="宋体" w:hAnsi="宋体" w:eastAsia="宋体" w:cs="Times New Roman"/>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01" w:hRule="atLeast"/>
          <w:jc w:val="center"/>
        </w:trPr>
        <w:tc>
          <w:tcPr>
            <w:tcW w:w="1523" w:type="dxa"/>
            <w:vAlign w:val="center"/>
          </w:tcPr>
          <w:p>
            <w:pPr>
              <w:spacing w:line="560" w:lineRule="exact"/>
              <w:jc w:val="center"/>
              <w:rPr>
                <w:rFonts w:hint="eastAsia" w:ascii="仿宋" w:hAnsi="仿宋" w:eastAsia="仿宋" w:cs="Times New Roman"/>
                <w:bCs/>
                <w:lang w:eastAsia="zh-CN"/>
              </w:rPr>
            </w:pPr>
            <w:r>
              <w:rPr>
                <w:rFonts w:hint="eastAsia" w:ascii="仿宋" w:hAnsi="仿宋" w:eastAsia="仿宋" w:cs="Times New Roman"/>
                <w:bCs/>
                <w:lang w:eastAsia="zh-CN"/>
              </w:rPr>
              <w:t>日常公用经费</w:t>
            </w:r>
          </w:p>
        </w:tc>
        <w:tc>
          <w:tcPr>
            <w:tcW w:w="680" w:type="dxa"/>
            <w:vAlign w:val="center"/>
          </w:tcPr>
          <w:p>
            <w:pPr>
              <w:spacing w:line="560" w:lineRule="exact"/>
              <w:jc w:val="right"/>
              <w:rPr>
                <w:rFonts w:ascii="仿宋" w:hAnsi="仿宋" w:eastAsia="仿宋" w:cs="Times New Roman"/>
                <w:bCs/>
              </w:rPr>
            </w:pPr>
            <w:r>
              <w:rPr>
                <w:rFonts w:hint="eastAsia" w:ascii="仿宋" w:hAnsi="仿宋" w:eastAsia="仿宋" w:cs="Times New Roman"/>
                <w:bCs/>
              </w:rPr>
              <w:t>0.4</w:t>
            </w:r>
          </w:p>
        </w:tc>
        <w:tc>
          <w:tcPr>
            <w:tcW w:w="1014" w:type="dxa"/>
            <w:vAlign w:val="center"/>
          </w:tcPr>
          <w:p>
            <w:pPr>
              <w:spacing w:line="560" w:lineRule="exact"/>
              <w:jc w:val="left"/>
              <w:rPr>
                <w:rFonts w:ascii="仿宋" w:hAnsi="仿宋" w:eastAsia="仿宋" w:cs="Times New Roman"/>
                <w:bCs/>
              </w:rPr>
            </w:pPr>
            <w:r>
              <w:rPr>
                <w:rFonts w:hint="eastAsia" w:ascii="仿宋" w:hAnsi="仿宋" w:eastAsia="仿宋" w:cs="Times New Roman"/>
                <w:bCs/>
              </w:rPr>
              <w:t>计算机</w:t>
            </w:r>
          </w:p>
        </w:tc>
        <w:tc>
          <w:tcPr>
            <w:tcW w:w="691" w:type="dxa"/>
            <w:vAlign w:val="center"/>
          </w:tcPr>
          <w:p>
            <w:pPr>
              <w:spacing w:line="560" w:lineRule="exact"/>
              <w:jc w:val="left"/>
              <w:rPr>
                <w:rFonts w:hint="default" w:ascii="仿宋" w:hAnsi="仿宋" w:eastAsia="仿宋" w:cs="Times New Roman"/>
                <w:bCs/>
                <w:lang w:val="en-US" w:eastAsia="zh-CN"/>
              </w:rPr>
            </w:pPr>
            <w:r>
              <w:rPr>
                <w:rFonts w:hint="eastAsia" w:ascii="仿宋" w:hAnsi="仿宋" w:eastAsia="仿宋" w:cs="Times New Roman"/>
                <w:bCs/>
                <w:lang w:val="en-US" w:eastAsia="zh-CN"/>
              </w:rPr>
              <w:t>A02010199</w:t>
            </w:r>
          </w:p>
        </w:tc>
        <w:tc>
          <w:tcPr>
            <w:tcW w:w="489" w:type="dxa"/>
            <w:vAlign w:val="center"/>
          </w:tcPr>
          <w:p>
            <w:pPr>
              <w:spacing w:line="560" w:lineRule="exact"/>
              <w:jc w:val="left"/>
              <w:rPr>
                <w:rFonts w:ascii="仿宋" w:hAnsi="仿宋" w:eastAsia="仿宋" w:cs="Times New Roman"/>
                <w:bCs/>
              </w:rPr>
            </w:pPr>
            <w:r>
              <w:rPr>
                <w:rFonts w:hint="eastAsia" w:ascii="仿宋" w:hAnsi="仿宋" w:eastAsia="仿宋" w:cs="Times New Roman"/>
                <w:bCs/>
              </w:rPr>
              <w:t>台</w:t>
            </w:r>
          </w:p>
        </w:tc>
        <w:tc>
          <w:tcPr>
            <w:tcW w:w="374" w:type="dxa"/>
            <w:vAlign w:val="center"/>
          </w:tcPr>
          <w:p>
            <w:pPr>
              <w:spacing w:line="560" w:lineRule="exact"/>
              <w:jc w:val="right"/>
              <w:rPr>
                <w:rFonts w:ascii="仿宋" w:hAnsi="仿宋" w:eastAsia="仿宋" w:cs="Times New Roman"/>
                <w:bCs/>
              </w:rPr>
            </w:pPr>
            <w:r>
              <w:rPr>
                <w:rFonts w:hint="eastAsia" w:ascii="仿宋" w:hAnsi="仿宋" w:eastAsia="仿宋" w:cs="Times New Roman"/>
                <w:bCs/>
              </w:rPr>
              <w:t>2</w:t>
            </w:r>
          </w:p>
        </w:tc>
        <w:tc>
          <w:tcPr>
            <w:tcW w:w="691" w:type="dxa"/>
            <w:vAlign w:val="center"/>
          </w:tcPr>
          <w:p>
            <w:pPr>
              <w:spacing w:line="560" w:lineRule="exact"/>
              <w:rPr>
                <w:rFonts w:ascii="仿宋" w:hAnsi="仿宋" w:eastAsia="仿宋" w:cs="Times New Roman"/>
                <w:bCs/>
              </w:rPr>
            </w:pPr>
            <w:r>
              <w:rPr>
                <w:rFonts w:hint="eastAsia" w:ascii="仿宋" w:hAnsi="仿宋" w:eastAsia="仿宋" w:cs="Times New Roman"/>
                <w:bCs/>
              </w:rPr>
              <w:t>0.38</w:t>
            </w:r>
          </w:p>
        </w:tc>
        <w:tc>
          <w:tcPr>
            <w:tcW w:w="673" w:type="dxa"/>
            <w:vAlign w:val="center"/>
          </w:tcPr>
          <w:p>
            <w:pPr>
              <w:spacing w:line="560" w:lineRule="exact"/>
              <w:jc w:val="right"/>
              <w:rPr>
                <w:rFonts w:ascii="仿宋" w:hAnsi="仿宋" w:eastAsia="仿宋" w:cs="Times New Roman"/>
                <w:bCs/>
              </w:rPr>
            </w:pPr>
            <w:r>
              <w:rPr>
                <w:rFonts w:hint="eastAsia" w:ascii="仿宋" w:hAnsi="仿宋" w:eastAsia="仿宋" w:cs="Times New Roman"/>
                <w:bCs/>
              </w:rPr>
              <w:t>0.76</w:t>
            </w:r>
          </w:p>
        </w:tc>
        <w:tc>
          <w:tcPr>
            <w:tcW w:w="734" w:type="dxa"/>
            <w:vAlign w:val="center"/>
          </w:tcPr>
          <w:p>
            <w:pPr>
              <w:spacing w:line="560" w:lineRule="exact"/>
              <w:jc w:val="right"/>
              <w:rPr>
                <w:rFonts w:ascii="仿宋" w:hAnsi="仿宋" w:eastAsia="仿宋" w:cs="Times New Roman"/>
                <w:bCs/>
              </w:rPr>
            </w:pPr>
            <w:r>
              <w:rPr>
                <w:rFonts w:hint="eastAsia" w:ascii="仿宋" w:hAnsi="仿宋" w:eastAsia="仿宋" w:cs="Times New Roman"/>
                <w:bCs/>
              </w:rPr>
              <w:t>0.76</w:t>
            </w:r>
          </w:p>
        </w:tc>
        <w:tc>
          <w:tcPr>
            <w:tcW w:w="673" w:type="dxa"/>
            <w:vAlign w:val="center"/>
          </w:tcPr>
          <w:p>
            <w:pPr>
              <w:spacing w:line="560" w:lineRule="exact"/>
              <w:jc w:val="right"/>
              <w:rPr>
                <w:rFonts w:ascii="仿宋" w:hAnsi="仿宋" w:eastAsia="仿宋" w:cs="Times New Roman"/>
                <w:bCs/>
              </w:rPr>
            </w:pPr>
            <w:r>
              <w:rPr>
                <w:rFonts w:hint="eastAsia" w:ascii="仿宋" w:hAnsi="仿宋" w:eastAsia="仿宋" w:cs="Times New Roman"/>
                <w:bCs/>
              </w:rPr>
              <w:t>0.76</w:t>
            </w:r>
          </w:p>
        </w:tc>
        <w:tc>
          <w:tcPr>
            <w:tcW w:w="397" w:type="dxa"/>
            <w:vAlign w:val="center"/>
          </w:tcPr>
          <w:p>
            <w:pPr>
              <w:spacing w:line="560" w:lineRule="exact"/>
              <w:jc w:val="right"/>
              <w:rPr>
                <w:rFonts w:ascii="仿宋" w:hAnsi="仿宋" w:eastAsia="仿宋" w:cs="Times New Roman"/>
                <w:bCs/>
              </w:rPr>
            </w:pPr>
          </w:p>
        </w:tc>
        <w:tc>
          <w:tcPr>
            <w:tcW w:w="418" w:type="dxa"/>
            <w:vAlign w:val="center"/>
          </w:tcPr>
          <w:p>
            <w:pPr>
              <w:spacing w:line="560" w:lineRule="exact"/>
              <w:jc w:val="right"/>
              <w:rPr>
                <w:rFonts w:ascii="宋体" w:hAnsi="宋体" w:eastAsia="宋体" w:cs="Times New Roman"/>
                <w:b/>
                <w:bCs/>
              </w:rPr>
            </w:pPr>
          </w:p>
        </w:tc>
        <w:tc>
          <w:tcPr>
            <w:tcW w:w="444" w:type="dxa"/>
            <w:vAlign w:val="center"/>
          </w:tcPr>
          <w:p>
            <w:pPr>
              <w:spacing w:line="560" w:lineRule="exact"/>
              <w:jc w:val="right"/>
              <w:rPr>
                <w:rFonts w:ascii="宋体" w:hAnsi="宋体" w:eastAsia="宋体" w:cs="Times New Roman"/>
                <w:b/>
                <w:bCs/>
              </w:rPr>
            </w:pPr>
          </w:p>
        </w:tc>
        <w:tc>
          <w:tcPr>
            <w:tcW w:w="438" w:type="dxa"/>
            <w:vAlign w:val="center"/>
          </w:tcPr>
          <w:p>
            <w:pPr>
              <w:spacing w:line="560" w:lineRule="exact"/>
              <w:jc w:val="right"/>
              <w:rPr>
                <w:rFonts w:ascii="宋体" w:hAnsi="宋体" w:eastAsia="宋体" w:cs="Times New Roman"/>
                <w:b/>
                <w:bC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701" w:hRule="atLeast"/>
          <w:jc w:val="center"/>
        </w:trPr>
        <w:tc>
          <w:tcPr>
            <w:tcW w:w="1523" w:type="dxa"/>
            <w:vAlign w:val="center"/>
          </w:tcPr>
          <w:p>
            <w:pPr>
              <w:spacing w:line="560" w:lineRule="exact"/>
              <w:jc w:val="left"/>
              <w:rPr>
                <w:rFonts w:ascii="仿宋" w:hAnsi="仿宋" w:eastAsia="仿宋" w:cs="Times New Roman"/>
              </w:rPr>
            </w:pPr>
            <w:r>
              <w:rPr>
                <w:rFonts w:hint="eastAsia" w:ascii="仿宋" w:hAnsi="仿宋" w:eastAsia="仿宋" w:cs="Times New Roman"/>
                <w:bCs/>
                <w:lang w:eastAsia="zh-CN"/>
              </w:rPr>
              <w:t>日常公用经费</w:t>
            </w:r>
          </w:p>
        </w:tc>
        <w:tc>
          <w:tcPr>
            <w:tcW w:w="680" w:type="dxa"/>
            <w:vAlign w:val="center"/>
          </w:tcPr>
          <w:p>
            <w:pPr>
              <w:spacing w:line="560" w:lineRule="exact"/>
              <w:jc w:val="right"/>
              <w:rPr>
                <w:rFonts w:ascii="仿宋" w:hAnsi="仿宋" w:eastAsia="仿宋" w:cs="Times New Roman"/>
              </w:rPr>
            </w:pPr>
            <w:r>
              <w:rPr>
                <w:rFonts w:hint="eastAsia" w:ascii="仿宋" w:hAnsi="仿宋" w:eastAsia="仿宋" w:cs="Times New Roman"/>
              </w:rPr>
              <w:t>0.18</w:t>
            </w:r>
          </w:p>
        </w:tc>
        <w:tc>
          <w:tcPr>
            <w:tcW w:w="1014" w:type="dxa"/>
            <w:vAlign w:val="center"/>
          </w:tcPr>
          <w:p>
            <w:pPr>
              <w:spacing w:line="560" w:lineRule="exact"/>
              <w:jc w:val="left"/>
              <w:rPr>
                <w:rFonts w:ascii="仿宋" w:hAnsi="仿宋" w:eastAsia="仿宋" w:cs="Times New Roman"/>
              </w:rPr>
            </w:pPr>
            <w:r>
              <w:rPr>
                <w:rFonts w:hint="eastAsia" w:ascii="仿宋" w:hAnsi="仿宋" w:eastAsia="仿宋" w:cs="Times New Roman"/>
              </w:rPr>
              <w:t>打印机</w:t>
            </w:r>
          </w:p>
        </w:tc>
        <w:tc>
          <w:tcPr>
            <w:tcW w:w="691" w:type="dxa"/>
            <w:vAlign w:val="center"/>
          </w:tcPr>
          <w:p>
            <w:pPr>
              <w:spacing w:line="560" w:lineRule="exact"/>
              <w:jc w:val="left"/>
              <w:rPr>
                <w:rFonts w:hint="default" w:ascii="仿宋" w:hAnsi="仿宋" w:eastAsia="仿宋" w:cs="Times New Roman"/>
                <w:lang w:val="en-US" w:eastAsia="zh-CN"/>
              </w:rPr>
            </w:pPr>
            <w:r>
              <w:rPr>
                <w:rFonts w:hint="eastAsia" w:ascii="仿宋" w:hAnsi="仿宋" w:eastAsia="仿宋" w:cs="Times New Roman"/>
                <w:lang w:val="en-US" w:eastAsia="zh-CN"/>
              </w:rPr>
              <w:t>A0201060199</w:t>
            </w:r>
          </w:p>
        </w:tc>
        <w:tc>
          <w:tcPr>
            <w:tcW w:w="489" w:type="dxa"/>
            <w:vAlign w:val="center"/>
          </w:tcPr>
          <w:p>
            <w:pPr>
              <w:spacing w:line="560" w:lineRule="exact"/>
              <w:jc w:val="left"/>
              <w:rPr>
                <w:rFonts w:ascii="仿宋" w:hAnsi="仿宋" w:eastAsia="仿宋" w:cs="Times New Roman"/>
              </w:rPr>
            </w:pPr>
            <w:r>
              <w:rPr>
                <w:rFonts w:hint="eastAsia" w:ascii="仿宋" w:hAnsi="仿宋" w:eastAsia="仿宋" w:cs="Times New Roman"/>
              </w:rPr>
              <w:t>台</w:t>
            </w:r>
          </w:p>
        </w:tc>
        <w:tc>
          <w:tcPr>
            <w:tcW w:w="374" w:type="dxa"/>
            <w:vAlign w:val="center"/>
          </w:tcPr>
          <w:p>
            <w:pPr>
              <w:spacing w:line="560" w:lineRule="exact"/>
              <w:jc w:val="right"/>
              <w:rPr>
                <w:rFonts w:ascii="仿宋" w:hAnsi="仿宋" w:eastAsia="仿宋" w:cs="Times New Roman"/>
              </w:rPr>
            </w:pPr>
            <w:r>
              <w:rPr>
                <w:rFonts w:hint="eastAsia" w:ascii="仿宋" w:hAnsi="仿宋" w:eastAsia="仿宋" w:cs="Times New Roman"/>
              </w:rPr>
              <w:t>1</w:t>
            </w:r>
          </w:p>
        </w:tc>
        <w:tc>
          <w:tcPr>
            <w:tcW w:w="691" w:type="dxa"/>
            <w:vAlign w:val="center"/>
          </w:tcPr>
          <w:p>
            <w:pPr>
              <w:spacing w:line="560" w:lineRule="exact"/>
              <w:jc w:val="right"/>
              <w:rPr>
                <w:rFonts w:ascii="仿宋" w:hAnsi="仿宋" w:eastAsia="仿宋" w:cs="Times New Roman"/>
              </w:rPr>
            </w:pPr>
            <w:r>
              <w:rPr>
                <w:rFonts w:hint="eastAsia" w:ascii="仿宋" w:hAnsi="仿宋" w:eastAsia="仿宋" w:cs="Times New Roman"/>
              </w:rPr>
              <w:t>0.16</w:t>
            </w:r>
          </w:p>
        </w:tc>
        <w:tc>
          <w:tcPr>
            <w:tcW w:w="673" w:type="dxa"/>
            <w:vAlign w:val="center"/>
          </w:tcPr>
          <w:p>
            <w:pPr>
              <w:spacing w:line="560" w:lineRule="exact"/>
              <w:rPr>
                <w:rFonts w:ascii="仿宋" w:hAnsi="仿宋" w:eastAsia="仿宋" w:cs="Times New Roman"/>
              </w:rPr>
            </w:pPr>
            <w:r>
              <w:rPr>
                <w:rFonts w:hint="eastAsia" w:ascii="仿宋" w:hAnsi="仿宋" w:eastAsia="仿宋" w:cs="Times New Roman"/>
              </w:rPr>
              <w:t>0.16</w:t>
            </w:r>
          </w:p>
        </w:tc>
        <w:tc>
          <w:tcPr>
            <w:tcW w:w="734" w:type="dxa"/>
            <w:vAlign w:val="center"/>
          </w:tcPr>
          <w:p>
            <w:pPr>
              <w:spacing w:line="560" w:lineRule="exact"/>
              <w:jc w:val="right"/>
              <w:rPr>
                <w:rFonts w:ascii="仿宋" w:hAnsi="仿宋" w:eastAsia="仿宋" w:cs="Times New Roman"/>
              </w:rPr>
            </w:pPr>
            <w:r>
              <w:rPr>
                <w:rFonts w:hint="eastAsia" w:ascii="仿宋" w:hAnsi="仿宋" w:eastAsia="仿宋" w:cs="Times New Roman"/>
              </w:rPr>
              <w:t>0.16</w:t>
            </w:r>
          </w:p>
        </w:tc>
        <w:tc>
          <w:tcPr>
            <w:tcW w:w="673" w:type="dxa"/>
            <w:vAlign w:val="center"/>
          </w:tcPr>
          <w:p>
            <w:pPr>
              <w:spacing w:line="560" w:lineRule="exact"/>
              <w:jc w:val="right"/>
              <w:rPr>
                <w:rFonts w:ascii="仿宋" w:hAnsi="仿宋" w:eastAsia="仿宋" w:cs="Times New Roman"/>
              </w:rPr>
            </w:pPr>
            <w:r>
              <w:rPr>
                <w:rFonts w:hint="eastAsia" w:ascii="仿宋" w:hAnsi="仿宋" w:eastAsia="仿宋" w:cs="Times New Roman"/>
              </w:rPr>
              <w:t>0.16</w:t>
            </w:r>
          </w:p>
        </w:tc>
        <w:tc>
          <w:tcPr>
            <w:tcW w:w="397" w:type="dxa"/>
            <w:vAlign w:val="center"/>
          </w:tcPr>
          <w:p>
            <w:pPr>
              <w:spacing w:line="560" w:lineRule="exact"/>
              <w:jc w:val="right"/>
              <w:rPr>
                <w:rFonts w:ascii="仿宋" w:hAnsi="仿宋" w:eastAsia="仿宋" w:cs="Times New Roman"/>
              </w:rPr>
            </w:pPr>
          </w:p>
        </w:tc>
        <w:tc>
          <w:tcPr>
            <w:tcW w:w="418" w:type="dxa"/>
            <w:vAlign w:val="center"/>
          </w:tcPr>
          <w:p>
            <w:pPr>
              <w:spacing w:line="560" w:lineRule="exact"/>
              <w:jc w:val="right"/>
              <w:rPr>
                <w:rFonts w:ascii="宋体" w:hAnsi="宋体" w:eastAsia="宋体" w:cs="Times New Roman"/>
              </w:rPr>
            </w:pPr>
          </w:p>
        </w:tc>
        <w:tc>
          <w:tcPr>
            <w:tcW w:w="444" w:type="dxa"/>
            <w:vAlign w:val="center"/>
          </w:tcPr>
          <w:p>
            <w:pPr>
              <w:spacing w:line="560" w:lineRule="exact"/>
              <w:jc w:val="right"/>
              <w:rPr>
                <w:rFonts w:ascii="宋体" w:hAnsi="宋体" w:eastAsia="宋体" w:cs="Times New Roman"/>
              </w:rPr>
            </w:pPr>
          </w:p>
        </w:tc>
        <w:tc>
          <w:tcPr>
            <w:tcW w:w="438" w:type="dxa"/>
            <w:vAlign w:val="center"/>
          </w:tcPr>
          <w:p>
            <w:pPr>
              <w:spacing w:line="560" w:lineRule="exact"/>
              <w:jc w:val="right"/>
              <w:rPr>
                <w:rFonts w:ascii="宋体" w:hAnsi="宋体" w:eastAsia="宋体"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2" w:hRule="atLeast"/>
          <w:jc w:val="center"/>
        </w:trPr>
        <w:tc>
          <w:tcPr>
            <w:tcW w:w="1523" w:type="dxa"/>
            <w:vAlign w:val="center"/>
          </w:tcPr>
          <w:p>
            <w:pPr>
              <w:spacing w:line="560" w:lineRule="exact"/>
              <w:jc w:val="left"/>
              <w:rPr>
                <w:rFonts w:ascii="仿宋" w:hAnsi="仿宋" w:eastAsia="仿宋" w:cs="Times New Roman"/>
              </w:rPr>
            </w:pPr>
            <w:r>
              <w:rPr>
                <w:rFonts w:hint="eastAsia" w:ascii="仿宋" w:hAnsi="仿宋" w:eastAsia="仿宋" w:cs="Times New Roman"/>
                <w:bCs/>
                <w:lang w:eastAsia="zh-CN"/>
              </w:rPr>
              <w:t>日常公用经费</w:t>
            </w:r>
          </w:p>
        </w:tc>
        <w:tc>
          <w:tcPr>
            <w:tcW w:w="680" w:type="dxa"/>
            <w:vAlign w:val="center"/>
          </w:tcPr>
          <w:p>
            <w:pPr>
              <w:spacing w:line="560" w:lineRule="exact"/>
              <w:jc w:val="right"/>
              <w:rPr>
                <w:rFonts w:ascii="仿宋" w:hAnsi="仿宋" w:eastAsia="仿宋" w:cs="Times New Roman"/>
              </w:rPr>
            </w:pPr>
            <w:r>
              <w:rPr>
                <w:rFonts w:hint="eastAsia" w:ascii="仿宋" w:hAnsi="仿宋" w:eastAsia="仿宋" w:cs="Times New Roman"/>
              </w:rPr>
              <w:t>0.5</w:t>
            </w:r>
          </w:p>
        </w:tc>
        <w:tc>
          <w:tcPr>
            <w:tcW w:w="1014" w:type="dxa"/>
            <w:vAlign w:val="center"/>
          </w:tcPr>
          <w:p>
            <w:pPr>
              <w:spacing w:line="280" w:lineRule="exact"/>
              <w:jc w:val="left"/>
              <w:rPr>
                <w:rFonts w:ascii="仿宋" w:hAnsi="仿宋" w:eastAsia="仿宋" w:cs="Times New Roman"/>
              </w:rPr>
            </w:pPr>
            <w:r>
              <w:rPr>
                <w:rFonts w:hint="eastAsia" w:ascii="仿宋" w:hAnsi="仿宋" w:eastAsia="仿宋" w:cs="Times New Roman"/>
              </w:rPr>
              <w:t>修车服务</w:t>
            </w:r>
          </w:p>
        </w:tc>
        <w:tc>
          <w:tcPr>
            <w:tcW w:w="691" w:type="dxa"/>
            <w:vAlign w:val="center"/>
          </w:tcPr>
          <w:p>
            <w:pPr>
              <w:spacing w:line="560" w:lineRule="exact"/>
              <w:jc w:val="left"/>
              <w:rPr>
                <w:rFonts w:hint="default" w:ascii="仿宋" w:hAnsi="仿宋" w:eastAsia="仿宋" w:cs="Times New Roman"/>
                <w:lang w:val="en-US" w:eastAsia="zh-CN"/>
              </w:rPr>
            </w:pPr>
            <w:r>
              <w:rPr>
                <w:rFonts w:hint="eastAsia" w:ascii="仿宋" w:hAnsi="仿宋" w:eastAsia="仿宋" w:cs="Times New Roman"/>
                <w:lang w:val="en-US" w:eastAsia="zh-CN"/>
              </w:rPr>
              <w:t>C050301</w:t>
            </w:r>
          </w:p>
        </w:tc>
        <w:tc>
          <w:tcPr>
            <w:tcW w:w="489" w:type="dxa"/>
            <w:vAlign w:val="center"/>
          </w:tcPr>
          <w:p>
            <w:pPr>
              <w:spacing w:line="560" w:lineRule="exact"/>
              <w:jc w:val="left"/>
              <w:rPr>
                <w:rFonts w:ascii="仿宋" w:hAnsi="仿宋" w:eastAsia="仿宋" w:cs="Times New Roman"/>
              </w:rPr>
            </w:pPr>
          </w:p>
        </w:tc>
        <w:tc>
          <w:tcPr>
            <w:tcW w:w="374" w:type="dxa"/>
            <w:vAlign w:val="center"/>
          </w:tcPr>
          <w:p>
            <w:pPr>
              <w:spacing w:line="560" w:lineRule="exact"/>
              <w:jc w:val="right"/>
              <w:rPr>
                <w:rFonts w:ascii="仿宋" w:hAnsi="仿宋" w:eastAsia="仿宋" w:cs="Times New Roman"/>
              </w:rPr>
            </w:pPr>
            <w:r>
              <w:rPr>
                <w:rFonts w:hint="eastAsia" w:ascii="仿宋" w:hAnsi="仿宋" w:eastAsia="仿宋" w:cs="Times New Roman"/>
              </w:rPr>
              <w:t>1</w:t>
            </w:r>
          </w:p>
        </w:tc>
        <w:tc>
          <w:tcPr>
            <w:tcW w:w="691" w:type="dxa"/>
            <w:vAlign w:val="center"/>
          </w:tcPr>
          <w:p>
            <w:pPr>
              <w:spacing w:line="560" w:lineRule="exact"/>
              <w:jc w:val="right"/>
              <w:rPr>
                <w:rFonts w:ascii="仿宋" w:hAnsi="仿宋" w:eastAsia="仿宋" w:cs="Times New Roman"/>
              </w:rPr>
            </w:pPr>
            <w:r>
              <w:rPr>
                <w:rFonts w:hint="eastAsia" w:ascii="仿宋" w:hAnsi="仿宋" w:eastAsia="仿宋" w:cs="Times New Roman"/>
              </w:rPr>
              <w:t>0.48</w:t>
            </w:r>
          </w:p>
        </w:tc>
        <w:tc>
          <w:tcPr>
            <w:tcW w:w="673" w:type="dxa"/>
            <w:vAlign w:val="center"/>
          </w:tcPr>
          <w:p>
            <w:pPr>
              <w:spacing w:line="560" w:lineRule="exact"/>
              <w:jc w:val="right"/>
              <w:rPr>
                <w:rFonts w:ascii="仿宋" w:hAnsi="仿宋" w:eastAsia="仿宋" w:cs="Times New Roman"/>
              </w:rPr>
            </w:pPr>
            <w:r>
              <w:rPr>
                <w:rFonts w:hint="eastAsia" w:ascii="仿宋" w:hAnsi="仿宋" w:eastAsia="仿宋" w:cs="Times New Roman"/>
              </w:rPr>
              <w:t>0.48</w:t>
            </w:r>
          </w:p>
        </w:tc>
        <w:tc>
          <w:tcPr>
            <w:tcW w:w="734" w:type="dxa"/>
            <w:vAlign w:val="center"/>
          </w:tcPr>
          <w:p>
            <w:pPr>
              <w:spacing w:line="560" w:lineRule="exact"/>
              <w:jc w:val="right"/>
              <w:rPr>
                <w:rFonts w:ascii="仿宋" w:hAnsi="仿宋" w:eastAsia="仿宋" w:cs="Times New Roman"/>
              </w:rPr>
            </w:pPr>
            <w:r>
              <w:rPr>
                <w:rFonts w:hint="eastAsia" w:ascii="仿宋" w:hAnsi="仿宋" w:eastAsia="仿宋" w:cs="Times New Roman"/>
              </w:rPr>
              <w:t>0.48</w:t>
            </w:r>
          </w:p>
        </w:tc>
        <w:tc>
          <w:tcPr>
            <w:tcW w:w="673" w:type="dxa"/>
            <w:vAlign w:val="center"/>
          </w:tcPr>
          <w:p>
            <w:pPr>
              <w:spacing w:line="560" w:lineRule="exact"/>
              <w:jc w:val="right"/>
              <w:rPr>
                <w:rFonts w:ascii="仿宋" w:hAnsi="仿宋" w:eastAsia="仿宋" w:cs="Times New Roman"/>
              </w:rPr>
            </w:pPr>
            <w:r>
              <w:rPr>
                <w:rFonts w:hint="eastAsia" w:ascii="仿宋" w:hAnsi="仿宋" w:eastAsia="仿宋" w:cs="Times New Roman"/>
              </w:rPr>
              <w:t>0.48</w:t>
            </w:r>
          </w:p>
        </w:tc>
        <w:tc>
          <w:tcPr>
            <w:tcW w:w="397" w:type="dxa"/>
            <w:vAlign w:val="center"/>
          </w:tcPr>
          <w:p>
            <w:pPr>
              <w:spacing w:line="560" w:lineRule="exact"/>
              <w:jc w:val="right"/>
              <w:rPr>
                <w:rFonts w:ascii="仿宋" w:hAnsi="仿宋" w:eastAsia="仿宋" w:cs="Times New Roman"/>
              </w:rPr>
            </w:pPr>
          </w:p>
        </w:tc>
        <w:tc>
          <w:tcPr>
            <w:tcW w:w="418" w:type="dxa"/>
            <w:vAlign w:val="center"/>
          </w:tcPr>
          <w:p>
            <w:pPr>
              <w:spacing w:line="560" w:lineRule="exact"/>
              <w:jc w:val="right"/>
              <w:rPr>
                <w:rFonts w:ascii="宋体" w:hAnsi="宋体" w:eastAsia="宋体" w:cs="Times New Roman"/>
              </w:rPr>
            </w:pPr>
          </w:p>
        </w:tc>
        <w:tc>
          <w:tcPr>
            <w:tcW w:w="444" w:type="dxa"/>
            <w:vAlign w:val="center"/>
          </w:tcPr>
          <w:p>
            <w:pPr>
              <w:spacing w:line="560" w:lineRule="exact"/>
              <w:jc w:val="right"/>
              <w:rPr>
                <w:rFonts w:ascii="宋体" w:hAnsi="宋体" w:eastAsia="宋体" w:cs="Times New Roman"/>
              </w:rPr>
            </w:pPr>
          </w:p>
        </w:tc>
        <w:tc>
          <w:tcPr>
            <w:tcW w:w="438" w:type="dxa"/>
            <w:vAlign w:val="center"/>
          </w:tcPr>
          <w:p>
            <w:pPr>
              <w:spacing w:line="560" w:lineRule="exact"/>
              <w:jc w:val="right"/>
              <w:rPr>
                <w:rFonts w:ascii="宋体" w:hAnsi="宋体" w:eastAsia="宋体" w:cs="Times New Roman"/>
              </w:rPr>
            </w:pPr>
          </w:p>
        </w:tc>
      </w:tr>
    </w:tbl>
    <w:p>
      <w:pPr>
        <w:pStyle w:val="11"/>
        <w:widowControl/>
        <w:spacing w:line="360" w:lineRule="auto"/>
        <w:ind w:left="643" w:firstLine="0" w:firstLineChars="0"/>
        <w:jc w:val="left"/>
        <w:rPr>
          <w:rFonts w:ascii="Calibri" w:hAnsi="Calibri" w:eastAsia="仿宋_GB2312" w:cs="Calibri"/>
          <w:b/>
          <w:kern w:val="0"/>
          <w:sz w:val="32"/>
          <w:szCs w:val="32"/>
        </w:rPr>
      </w:pPr>
      <w:r>
        <w:rPr>
          <w:rFonts w:hint="eastAsia" w:ascii="黑体" w:hAnsi="黑体" w:eastAsia="黑体" w:cs="黑体"/>
          <w:sz w:val="32"/>
          <w:szCs w:val="32"/>
        </w:rPr>
        <w:t>七、国有资产信息</w:t>
      </w:r>
    </w:p>
    <w:p>
      <w:pPr>
        <w:spacing w:line="560" w:lineRule="exact"/>
        <w:ind w:firstLine="640"/>
        <w:rPr>
          <w:rFonts w:ascii="仿宋_GB2312" w:hAnsi="黑体" w:eastAsia="仿宋_GB2312" w:cs="Times New Roman"/>
          <w:sz w:val="32"/>
          <w:szCs w:val="32"/>
        </w:rPr>
      </w:pPr>
      <w:r>
        <w:rPr>
          <w:rFonts w:hint="eastAsia" w:ascii="仿宋_GB2312" w:hAnsi="黑体" w:eastAsia="仿宋_GB2312" w:cs="仿宋_GB2312"/>
          <w:sz w:val="32"/>
          <w:szCs w:val="32"/>
        </w:rPr>
        <w:t>李家疃镇人民政府（含所属单位）上年末固定资产金额为89.37万元，本年度拟购置固定资产主要为计算机设备、打印机等，已列入政府采购预算。2019年我单位拟购置固定资产1.08万元。详见下表。</w:t>
      </w:r>
    </w:p>
    <w:tbl>
      <w:tblPr>
        <w:tblStyle w:val="7"/>
        <w:tblW w:w="9060" w:type="dxa"/>
        <w:tblInd w:w="-106" w:type="dxa"/>
        <w:tblLayout w:type="fixed"/>
        <w:tblCellMar>
          <w:top w:w="0" w:type="dxa"/>
          <w:left w:w="108" w:type="dxa"/>
          <w:bottom w:w="0" w:type="dxa"/>
          <w:right w:w="108" w:type="dxa"/>
        </w:tblCellMar>
      </w:tblPr>
      <w:tblGrid>
        <w:gridCol w:w="4139"/>
        <w:gridCol w:w="855"/>
        <w:gridCol w:w="4066"/>
      </w:tblGrid>
      <w:tr>
        <w:tblPrEx>
          <w:tblCellMar>
            <w:top w:w="0" w:type="dxa"/>
            <w:left w:w="108" w:type="dxa"/>
            <w:bottom w:w="0" w:type="dxa"/>
            <w:right w:w="108" w:type="dxa"/>
          </w:tblCellMar>
        </w:tblPrEx>
        <w:trPr>
          <w:trHeight w:val="705" w:hRule="atLeast"/>
        </w:trPr>
        <w:tc>
          <w:tcPr>
            <w:tcW w:w="9060" w:type="dxa"/>
            <w:gridSpan w:val="3"/>
            <w:tcBorders>
              <w:top w:val="nil"/>
              <w:left w:val="nil"/>
              <w:bottom w:val="nil"/>
              <w:right w:val="nil"/>
            </w:tcBorders>
            <w:vAlign w:val="center"/>
          </w:tcPr>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hint="eastAsia" w:ascii="宋体" w:hAnsi="宋体" w:eastAsia="宋体" w:cs="宋体"/>
                <w:b/>
                <w:bCs/>
                <w:kern w:val="0"/>
                <w:sz w:val="32"/>
                <w:szCs w:val="32"/>
              </w:rPr>
            </w:pPr>
          </w:p>
          <w:p>
            <w:pPr>
              <w:widowControl/>
              <w:jc w:val="center"/>
              <w:rPr>
                <w:rFonts w:ascii="宋体" w:hAnsi="宋体" w:eastAsia="宋体" w:cs="Times New Roman"/>
                <w:b/>
                <w:bCs/>
                <w:kern w:val="0"/>
                <w:sz w:val="32"/>
                <w:szCs w:val="32"/>
              </w:rPr>
            </w:pPr>
            <w:r>
              <w:rPr>
                <w:rFonts w:hint="eastAsia" w:ascii="宋体" w:hAnsi="宋体" w:eastAsia="宋体" w:cs="宋体"/>
                <w:b/>
                <w:bCs/>
                <w:kern w:val="0"/>
                <w:sz w:val="32"/>
                <w:szCs w:val="32"/>
              </w:rPr>
              <w:t>部门固定资产占用情况表</w:t>
            </w:r>
          </w:p>
        </w:tc>
      </w:tr>
      <w:tr>
        <w:tblPrEx>
          <w:tblCellMar>
            <w:top w:w="0" w:type="dxa"/>
            <w:left w:w="108" w:type="dxa"/>
            <w:bottom w:w="0" w:type="dxa"/>
            <w:right w:w="108" w:type="dxa"/>
          </w:tblCellMar>
        </w:tblPrEx>
        <w:trPr>
          <w:trHeight w:val="510" w:hRule="atLeast"/>
        </w:trPr>
        <w:tc>
          <w:tcPr>
            <w:tcW w:w="4994" w:type="dxa"/>
            <w:gridSpan w:val="2"/>
            <w:tcBorders>
              <w:top w:val="nil"/>
              <w:left w:val="nil"/>
              <w:bottom w:val="nil"/>
              <w:right w:val="nil"/>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编制部门：</w:t>
            </w:r>
            <w:r>
              <w:rPr>
                <w:rFonts w:hint="eastAsia" w:ascii="仿宋" w:hAnsi="仿宋" w:eastAsia="仿宋" w:cs="仿宋"/>
                <w:sz w:val="32"/>
                <w:szCs w:val="32"/>
              </w:rPr>
              <w:t>成安县李家町镇政府</w:t>
            </w:r>
          </w:p>
        </w:tc>
        <w:tc>
          <w:tcPr>
            <w:tcW w:w="4066" w:type="dxa"/>
            <w:tcBorders>
              <w:top w:val="nil"/>
              <w:left w:val="nil"/>
              <w:bottom w:val="nil"/>
              <w:right w:val="nil"/>
            </w:tcBorders>
            <w:vAlign w:val="center"/>
          </w:tcPr>
          <w:p>
            <w:pPr>
              <w:widowControl/>
              <w:ind w:firstLine="550" w:firstLineChars="250"/>
              <w:jc w:val="left"/>
              <w:rPr>
                <w:rFonts w:ascii="宋体" w:hAnsi="宋体" w:eastAsia="宋体" w:cs="宋体"/>
                <w:kern w:val="0"/>
                <w:sz w:val="22"/>
              </w:rPr>
            </w:pPr>
            <w:r>
              <w:rPr>
                <w:rFonts w:hint="eastAsia" w:ascii="宋体" w:hAnsi="宋体" w:eastAsia="宋体" w:cs="宋体"/>
                <w:kern w:val="0"/>
                <w:sz w:val="22"/>
              </w:rPr>
              <w:t>截止时间：</w:t>
            </w:r>
            <w:r>
              <w:rPr>
                <w:rFonts w:ascii="宋体" w:hAnsi="宋体" w:eastAsia="宋体" w:cs="宋体"/>
                <w:kern w:val="0"/>
                <w:sz w:val="22"/>
              </w:rPr>
              <w:t>2018</w:t>
            </w:r>
            <w:r>
              <w:rPr>
                <w:rFonts w:hint="eastAsia" w:ascii="宋体" w:hAnsi="宋体" w:eastAsia="宋体" w:cs="宋体"/>
                <w:kern w:val="0"/>
                <w:sz w:val="22"/>
              </w:rPr>
              <w:t>年</w:t>
            </w:r>
            <w:r>
              <w:rPr>
                <w:rFonts w:ascii="宋体" w:hAnsi="宋体" w:eastAsia="宋体" w:cs="宋体"/>
                <w:kern w:val="0"/>
                <w:sz w:val="22"/>
              </w:rPr>
              <w:t>12</w:t>
            </w:r>
            <w:r>
              <w:rPr>
                <w:rFonts w:hint="eastAsia" w:ascii="宋体" w:hAnsi="宋体" w:eastAsia="宋体" w:cs="宋体"/>
                <w:kern w:val="0"/>
                <w:sz w:val="22"/>
              </w:rPr>
              <w:t>月</w:t>
            </w:r>
            <w:r>
              <w:rPr>
                <w:rFonts w:ascii="宋体" w:hAnsi="宋体" w:eastAsia="宋体" w:cs="宋体"/>
                <w:kern w:val="0"/>
                <w:sz w:val="22"/>
              </w:rPr>
              <w:t>31</w:t>
            </w:r>
            <w:r>
              <w:rPr>
                <w:rFonts w:hint="eastAsia" w:ascii="宋体" w:hAnsi="宋体" w:eastAsia="宋体" w:cs="宋体"/>
                <w:kern w:val="0"/>
                <w:sz w:val="22"/>
              </w:rPr>
              <w:t>日</w:t>
            </w:r>
          </w:p>
        </w:tc>
      </w:tr>
      <w:tr>
        <w:tblPrEx>
          <w:tblCellMar>
            <w:top w:w="0" w:type="dxa"/>
            <w:left w:w="108" w:type="dxa"/>
            <w:bottom w:w="0" w:type="dxa"/>
            <w:right w:w="108" w:type="dxa"/>
          </w:tblCellMar>
        </w:tblPrEx>
        <w:trPr>
          <w:trHeight w:val="645" w:hRule="atLeast"/>
        </w:trPr>
        <w:tc>
          <w:tcPr>
            <w:tcW w:w="413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项目</w:t>
            </w:r>
          </w:p>
        </w:tc>
        <w:tc>
          <w:tcPr>
            <w:tcW w:w="855"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数量</w:t>
            </w:r>
          </w:p>
        </w:tc>
        <w:tc>
          <w:tcPr>
            <w:tcW w:w="4066" w:type="dxa"/>
            <w:tcBorders>
              <w:top w:val="single" w:color="auto" w:sz="4" w:space="0"/>
              <w:left w:val="nil"/>
              <w:bottom w:val="single" w:color="auto" w:sz="4" w:space="0"/>
              <w:right w:val="single" w:color="auto" w:sz="4" w:space="0"/>
            </w:tcBorders>
            <w:vAlign w:val="center"/>
          </w:tcPr>
          <w:p>
            <w:pPr>
              <w:widowControl/>
              <w:jc w:val="center"/>
              <w:rPr>
                <w:rFonts w:ascii="宋体" w:hAnsi="宋体" w:eastAsia="宋体" w:cs="Times New Roman"/>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宋体"/>
                <w:kern w:val="0"/>
                <w:sz w:val="22"/>
              </w:rPr>
              <w:t>资产总额</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ascii="宋体" w:hAnsi="宋体" w:eastAsia="宋体" w:cs="宋体"/>
                <w:kern w:val="0"/>
                <w:sz w:val="22"/>
              </w:rPr>
              <w:t>——</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22"/>
              </w:rPr>
            </w:pPr>
            <w:r>
              <w:rPr>
                <w:rFonts w:hint="eastAsia" w:ascii="宋体" w:hAnsi="宋体" w:eastAsia="宋体" w:cs="宋体"/>
                <w:kern w:val="0"/>
                <w:sz w:val="22"/>
              </w:rPr>
              <w:t>89.37</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1</w:t>
            </w:r>
            <w:r>
              <w:rPr>
                <w:rFonts w:hint="eastAsia" w:ascii="宋体" w:hAnsi="宋体" w:eastAsia="宋体" w:cs="宋体"/>
                <w:kern w:val="0"/>
                <w:sz w:val="22"/>
              </w:rPr>
              <w:t>、房屋（平方米）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4000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56</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hint="eastAsia" w:ascii="宋体" w:hAnsi="宋体" w:eastAsia="宋体" w:cs="宋体"/>
                <w:kern w:val="0"/>
                <w:sz w:val="22"/>
              </w:rPr>
              <w:t>其中：办公用房（平方米）</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4000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56</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2</w:t>
            </w:r>
            <w:r>
              <w:rPr>
                <w:rFonts w:hint="eastAsia" w:ascii="宋体" w:hAnsi="宋体" w:eastAsia="宋体" w:cs="宋体"/>
                <w:kern w:val="0"/>
                <w:sz w:val="22"/>
              </w:rPr>
              <w:t>、车辆（台、辆）</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1</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11.28</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3</w:t>
            </w:r>
            <w:r>
              <w:rPr>
                <w:rFonts w:hint="eastAsia" w:ascii="宋体" w:hAnsi="宋体" w:eastAsia="宋体" w:cs="宋体"/>
                <w:kern w:val="0"/>
                <w:sz w:val="22"/>
              </w:rPr>
              <w:t>、单价在</w:t>
            </w:r>
            <w:r>
              <w:rPr>
                <w:rFonts w:ascii="宋体" w:hAnsi="宋体" w:eastAsia="宋体" w:cs="宋体"/>
                <w:kern w:val="0"/>
                <w:sz w:val="22"/>
              </w:rPr>
              <w:t>50</w:t>
            </w:r>
            <w:r>
              <w:rPr>
                <w:rFonts w:hint="eastAsia" w:ascii="宋体" w:hAnsi="宋体" w:eastAsia="宋体" w:cs="宋体"/>
                <w:kern w:val="0"/>
                <w:sz w:val="22"/>
              </w:rPr>
              <w:t>万元以上的设备</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0</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0</w:t>
            </w:r>
          </w:p>
        </w:tc>
      </w:tr>
      <w:tr>
        <w:tblPrEx>
          <w:tblCellMar>
            <w:top w:w="0" w:type="dxa"/>
            <w:left w:w="108" w:type="dxa"/>
            <w:bottom w:w="0" w:type="dxa"/>
            <w:right w:w="108" w:type="dxa"/>
          </w:tblCellMar>
        </w:tblPrEx>
        <w:trPr>
          <w:trHeight w:val="645" w:hRule="atLeast"/>
        </w:trPr>
        <w:tc>
          <w:tcPr>
            <w:tcW w:w="4139" w:type="dxa"/>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Times New Roman"/>
                <w:kern w:val="0"/>
                <w:sz w:val="22"/>
              </w:rPr>
            </w:pPr>
            <w:r>
              <w:rPr>
                <w:rFonts w:ascii="宋体" w:hAnsi="宋体" w:eastAsia="宋体" w:cs="宋体"/>
                <w:kern w:val="0"/>
                <w:sz w:val="22"/>
              </w:rPr>
              <w:t>4</w:t>
            </w:r>
            <w:r>
              <w:rPr>
                <w:rFonts w:hint="eastAsia" w:ascii="宋体" w:hAnsi="宋体" w:eastAsia="宋体" w:cs="宋体"/>
                <w:kern w:val="0"/>
                <w:sz w:val="22"/>
              </w:rPr>
              <w:t>、其他固定资产</w:t>
            </w:r>
          </w:p>
        </w:tc>
        <w:tc>
          <w:tcPr>
            <w:tcW w:w="855"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65</w:t>
            </w:r>
          </w:p>
        </w:tc>
        <w:tc>
          <w:tcPr>
            <w:tcW w:w="4066" w:type="dxa"/>
            <w:tcBorders>
              <w:top w:val="nil"/>
              <w:left w:val="nil"/>
              <w:bottom w:val="single" w:color="auto" w:sz="4" w:space="0"/>
              <w:right w:val="single" w:color="auto" w:sz="4" w:space="0"/>
            </w:tcBorders>
            <w:vAlign w:val="center"/>
          </w:tcPr>
          <w:p>
            <w:pPr>
              <w:widowControl/>
              <w:jc w:val="center"/>
              <w:rPr>
                <w:rFonts w:ascii="宋体" w:hAnsi="宋体" w:eastAsia="宋体" w:cs="Times New Roman"/>
                <w:kern w:val="0"/>
                <w:sz w:val="22"/>
              </w:rPr>
            </w:pPr>
            <w:r>
              <w:rPr>
                <w:rFonts w:hint="eastAsia" w:ascii="宋体" w:hAnsi="宋体" w:eastAsia="宋体" w:cs="Times New Roman"/>
                <w:kern w:val="0"/>
                <w:sz w:val="22"/>
              </w:rPr>
              <w:t>22.09</w:t>
            </w:r>
          </w:p>
        </w:tc>
      </w:tr>
    </w:tbl>
    <w:p>
      <w:pPr>
        <w:widowControl/>
        <w:spacing w:line="360" w:lineRule="auto"/>
        <w:jc w:val="left"/>
        <w:rPr>
          <w:rFonts w:ascii="仿宋" w:hAnsi="仿宋" w:eastAsia="仿宋" w:cs="仿宋"/>
          <w:kern w:val="0"/>
          <w:sz w:val="32"/>
          <w:szCs w:val="32"/>
        </w:rPr>
      </w:pPr>
      <w:r>
        <w:rPr>
          <w:rFonts w:hint="eastAsia" w:ascii="仿宋_GB2312" w:hAnsi="Calibri" w:eastAsia="仿宋_GB2312" w:cs="仿宋_GB2312"/>
          <w:b/>
          <w:kern w:val="0"/>
          <w:sz w:val="32"/>
          <w:szCs w:val="32"/>
        </w:rPr>
        <w:t>八、</w:t>
      </w:r>
      <w:r>
        <w:rPr>
          <w:rFonts w:hint="eastAsia" w:ascii="仿宋" w:hAnsi="仿宋" w:eastAsia="仿宋" w:cs="仿宋"/>
          <w:b/>
          <w:kern w:val="0"/>
          <w:sz w:val="32"/>
          <w:szCs w:val="32"/>
        </w:rPr>
        <w:t>名词解释</w:t>
      </w:r>
      <w:r>
        <w:rPr>
          <w:rFonts w:hint="eastAsia" w:ascii="仿宋" w:hAnsi="仿宋" w:eastAsia="仿宋" w:cs="仿宋"/>
          <w:kern w:val="0"/>
          <w:sz w:val="32"/>
          <w:szCs w:val="32"/>
        </w:rPr>
        <w:t> </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pPr>
        <w:widowControl/>
        <w:spacing w:line="360" w:lineRule="auto"/>
        <w:ind w:firstLine="640" w:firstLineChars="200"/>
        <w:jc w:val="left"/>
        <w:rPr>
          <w:rFonts w:ascii="微软雅黑" w:hAnsi="微软雅黑" w:eastAsia="微软雅黑" w:cs="微软雅黑"/>
          <w:kern w:val="0"/>
          <w:sz w:val="24"/>
          <w:szCs w:val="24"/>
        </w:rPr>
      </w:pPr>
      <w:r>
        <w:rPr>
          <w:rFonts w:hint="eastAsia" w:ascii="仿宋" w:hAnsi="仿宋" w:eastAsia="仿宋" w:cs="仿宋"/>
          <w:kern w:val="0"/>
          <w:sz w:val="32"/>
          <w:szCs w:val="32"/>
        </w:rPr>
        <w:t>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w:t>
      </w:r>
    </w:p>
    <w:p>
      <w:pPr>
        <w:widowControl/>
        <w:spacing w:line="360" w:lineRule="auto"/>
        <w:ind w:firstLine="600" w:firstLineChars="250"/>
        <w:jc w:val="left"/>
        <w:rPr>
          <w:rFonts w:ascii="仿宋" w:hAnsi="仿宋" w:eastAsia="仿宋" w:cs="仿宋"/>
          <w:b/>
          <w:kern w:val="0"/>
          <w:sz w:val="32"/>
          <w:szCs w:val="32"/>
        </w:rPr>
      </w:pPr>
      <w:r>
        <w:rPr>
          <w:rFonts w:hint="eastAsia" w:ascii="微软雅黑" w:hAnsi="微软雅黑" w:eastAsia="微软雅黑" w:cs="微软雅黑"/>
          <w:kern w:val="0"/>
          <w:sz w:val="24"/>
          <w:szCs w:val="24"/>
        </w:rPr>
        <w:t>3</w:t>
      </w:r>
      <w:r>
        <w:rPr>
          <w:rFonts w:hint="eastAsia" w:ascii="仿宋" w:hAnsi="仿宋" w:eastAsia="仿宋" w:cs="仿宋"/>
          <w:b/>
          <w:kern w:val="0"/>
          <w:sz w:val="32"/>
          <w:szCs w:val="32"/>
        </w:rPr>
        <w:t>、年初结转和结余</w:t>
      </w:r>
      <w:r>
        <w:rPr>
          <w:rFonts w:hint="eastAsia" w:ascii="仿宋" w:hAnsi="仿宋" w:eastAsia="仿宋" w:cs="仿宋"/>
          <w:kern w:val="0"/>
          <w:sz w:val="32"/>
          <w:szCs w:val="32"/>
        </w:rPr>
        <w:t>：指以前年度尚未完成，结转到本年仍按照原规定用途继续使用的资金，或项目已完成等产生的结余资金。</w:t>
      </w:r>
      <w:r>
        <w:rPr>
          <w:rFonts w:hint="eastAsia" w:ascii="仿宋" w:hAnsi="仿宋" w:eastAsia="仿宋" w:cs="仿宋"/>
          <w:b/>
          <w:kern w:val="0"/>
          <w:sz w:val="32"/>
          <w:szCs w:val="32"/>
        </w:rPr>
        <w:t> </w:t>
      </w:r>
    </w:p>
    <w:p>
      <w:pPr>
        <w:widowControl/>
        <w:spacing w:line="360" w:lineRule="auto"/>
        <w:ind w:firstLine="643" w:firstLineChars="200"/>
        <w:jc w:val="left"/>
        <w:rPr>
          <w:rFonts w:ascii="仿宋" w:hAnsi="仿宋" w:eastAsia="仿宋" w:cs="仿宋"/>
          <w:b/>
          <w:kern w:val="0"/>
          <w:sz w:val="32"/>
          <w:szCs w:val="32"/>
        </w:rPr>
      </w:pPr>
      <w:r>
        <w:rPr>
          <w:rFonts w:hint="eastAsia" w:ascii="仿宋" w:hAnsi="仿宋" w:eastAsia="仿宋" w:cs="仿宋"/>
          <w:b/>
          <w:kern w:val="0"/>
          <w:sz w:val="32"/>
          <w:szCs w:val="32"/>
        </w:rPr>
        <w:t>4、基本支出</w:t>
      </w:r>
      <w:r>
        <w:rPr>
          <w:rFonts w:hint="eastAsia" w:ascii="仿宋" w:hAnsi="仿宋" w:eastAsia="仿宋" w:cs="仿宋"/>
          <w:kern w:val="0"/>
          <w:sz w:val="32"/>
          <w:szCs w:val="32"/>
        </w:rPr>
        <w:t>：指单位为了保障其正常运转、完成日常工作任务而发生的人员支出和公用支出。</w:t>
      </w:r>
      <w:r>
        <w:rPr>
          <w:rFonts w:hint="eastAsia" w:ascii="仿宋" w:hAnsi="仿宋" w:eastAsia="仿宋" w:cs="仿宋"/>
          <w:b/>
          <w:kern w:val="0"/>
          <w:sz w:val="32"/>
          <w:szCs w:val="32"/>
        </w:rPr>
        <w:t> </w:t>
      </w:r>
    </w:p>
    <w:p>
      <w:pPr>
        <w:widowControl/>
        <w:spacing w:line="360" w:lineRule="auto"/>
        <w:ind w:firstLine="643" w:firstLineChars="200"/>
        <w:jc w:val="left"/>
        <w:rPr>
          <w:rFonts w:ascii="仿宋" w:hAnsi="仿宋" w:eastAsia="仿宋" w:cs="仿宋"/>
          <w:kern w:val="0"/>
          <w:sz w:val="32"/>
          <w:szCs w:val="32"/>
        </w:rPr>
      </w:pPr>
      <w:r>
        <w:rPr>
          <w:rFonts w:hint="eastAsia" w:ascii="仿宋" w:hAnsi="仿宋" w:eastAsia="仿宋" w:cs="仿宋"/>
          <w:b/>
          <w:kern w:val="0"/>
          <w:sz w:val="32"/>
          <w:szCs w:val="32"/>
        </w:rPr>
        <w:t>5、项目支出：</w:t>
      </w:r>
      <w:r>
        <w:rPr>
          <w:rFonts w:hint="eastAsia" w:ascii="仿宋" w:hAnsi="仿宋" w:eastAsia="仿宋" w:cs="仿宋"/>
          <w:kern w:val="0"/>
          <w:sz w:val="32"/>
          <w:szCs w:val="32"/>
        </w:rPr>
        <w:t>指单位为了特定的工作任务和事业发展目标，在基本支出之外所发生的支出。</w:t>
      </w: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pPr>
        <w:widowControl/>
        <w:spacing w:line="360" w:lineRule="auto"/>
        <w:ind w:firstLine="640" w:firstLineChars="200"/>
        <w:jc w:val="left"/>
        <w:rPr>
          <w:rFonts w:ascii="仿宋" w:hAnsi="仿宋" w:eastAsia="仿宋" w:cs="仿宋"/>
          <w:szCs w:val="24"/>
        </w:rPr>
      </w:pPr>
      <w:r>
        <w:rPr>
          <w:rFonts w:hint="eastAsia" w:ascii="仿宋" w:hAnsi="仿宋" w:eastAsia="仿宋" w:cs="仿宋"/>
          <w:kern w:val="0"/>
          <w:sz w:val="32"/>
          <w:szCs w:val="32"/>
        </w:rPr>
        <w:t>无。</w:t>
      </w:r>
    </w:p>
    <w:p>
      <w:pPr>
        <w:widowControl/>
        <w:spacing w:line="360" w:lineRule="auto"/>
        <w:ind w:firstLine="420" w:firstLineChars="200"/>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roma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书宋_GBK">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abstractNum w:abstractNumId="1">
    <w:nsid w:val="58BCCB38"/>
    <w:multiLevelType w:val="singleLevel"/>
    <w:tmpl w:val="58BCCB38"/>
    <w:lvl w:ilvl="0" w:tentative="0">
      <w:start w:val="1"/>
      <w:numFmt w:val="decimal"/>
      <w:suff w:val="nothing"/>
      <w:lvlText w:val="%1、"/>
      <w:lvlJc w:val="left"/>
    </w:lvl>
  </w:abstractNum>
  <w:abstractNum w:abstractNumId="2">
    <w:nsid w:val="58BCCBF5"/>
    <w:multiLevelType w:val="singleLevel"/>
    <w:tmpl w:val="58BCCBF5"/>
    <w:lvl w:ilvl="0" w:tentative="0">
      <w:start w:val="3"/>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60"/>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VmY2U0NzM4ODg2YWFmNTRlZTJlNmMwNjlmZTk4NzUifQ=="/>
  </w:docVars>
  <w:rsids>
    <w:rsidRoot w:val="00E810D6"/>
    <w:rsid w:val="00106B89"/>
    <w:rsid w:val="0010734E"/>
    <w:rsid w:val="00154B06"/>
    <w:rsid w:val="001E0252"/>
    <w:rsid w:val="001E7C3D"/>
    <w:rsid w:val="002225A7"/>
    <w:rsid w:val="002A328E"/>
    <w:rsid w:val="002E3A95"/>
    <w:rsid w:val="00336096"/>
    <w:rsid w:val="003E77C7"/>
    <w:rsid w:val="0043054F"/>
    <w:rsid w:val="00464BB9"/>
    <w:rsid w:val="005D136A"/>
    <w:rsid w:val="0062621A"/>
    <w:rsid w:val="00632FF3"/>
    <w:rsid w:val="00685811"/>
    <w:rsid w:val="006B10F1"/>
    <w:rsid w:val="006D1C5B"/>
    <w:rsid w:val="0075357F"/>
    <w:rsid w:val="00793AB8"/>
    <w:rsid w:val="007A507B"/>
    <w:rsid w:val="007D6BF0"/>
    <w:rsid w:val="008058DC"/>
    <w:rsid w:val="00893D24"/>
    <w:rsid w:val="008C1829"/>
    <w:rsid w:val="008C7744"/>
    <w:rsid w:val="009853A7"/>
    <w:rsid w:val="00A07D70"/>
    <w:rsid w:val="00A16E33"/>
    <w:rsid w:val="00A244CE"/>
    <w:rsid w:val="00A9148C"/>
    <w:rsid w:val="00B95218"/>
    <w:rsid w:val="00BA23C0"/>
    <w:rsid w:val="00BA3125"/>
    <w:rsid w:val="00C45C01"/>
    <w:rsid w:val="00C65EAB"/>
    <w:rsid w:val="00C96DAF"/>
    <w:rsid w:val="00CB2E06"/>
    <w:rsid w:val="00CB7E48"/>
    <w:rsid w:val="00CD481C"/>
    <w:rsid w:val="00D909E2"/>
    <w:rsid w:val="00E810D6"/>
    <w:rsid w:val="00EF13A0"/>
    <w:rsid w:val="00F000B4"/>
    <w:rsid w:val="013B67CD"/>
    <w:rsid w:val="01CA412B"/>
    <w:rsid w:val="037D399A"/>
    <w:rsid w:val="03B213E5"/>
    <w:rsid w:val="03C63677"/>
    <w:rsid w:val="053F4C3B"/>
    <w:rsid w:val="06096D52"/>
    <w:rsid w:val="06550E5D"/>
    <w:rsid w:val="0726741C"/>
    <w:rsid w:val="075A4B9F"/>
    <w:rsid w:val="08D34D69"/>
    <w:rsid w:val="09E50DB9"/>
    <w:rsid w:val="0BB0089A"/>
    <w:rsid w:val="0BB759F9"/>
    <w:rsid w:val="0CBF7A43"/>
    <w:rsid w:val="0DD4180B"/>
    <w:rsid w:val="0E71026F"/>
    <w:rsid w:val="130B706D"/>
    <w:rsid w:val="136A469D"/>
    <w:rsid w:val="139106CF"/>
    <w:rsid w:val="13DE0FA8"/>
    <w:rsid w:val="13F04E52"/>
    <w:rsid w:val="13F43698"/>
    <w:rsid w:val="163506CD"/>
    <w:rsid w:val="17252863"/>
    <w:rsid w:val="175940C0"/>
    <w:rsid w:val="17C16AC9"/>
    <w:rsid w:val="180D78B9"/>
    <w:rsid w:val="1AEF7278"/>
    <w:rsid w:val="1B2A5EA4"/>
    <w:rsid w:val="1CC97251"/>
    <w:rsid w:val="1CEB0A1C"/>
    <w:rsid w:val="1E8167C1"/>
    <w:rsid w:val="1EAA0AE1"/>
    <w:rsid w:val="21B66276"/>
    <w:rsid w:val="228819EE"/>
    <w:rsid w:val="2716314B"/>
    <w:rsid w:val="288A4B30"/>
    <w:rsid w:val="28E516DB"/>
    <w:rsid w:val="299267B6"/>
    <w:rsid w:val="2AD57C75"/>
    <w:rsid w:val="2BAA47A7"/>
    <w:rsid w:val="2DCE40BA"/>
    <w:rsid w:val="2E066AE5"/>
    <w:rsid w:val="2E2777CE"/>
    <w:rsid w:val="2EE04A84"/>
    <w:rsid w:val="3066500A"/>
    <w:rsid w:val="3186067A"/>
    <w:rsid w:val="31D059F4"/>
    <w:rsid w:val="3204716B"/>
    <w:rsid w:val="332A0BBD"/>
    <w:rsid w:val="335B520F"/>
    <w:rsid w:val="3387759D"/>
    <w:rsid w:val="351C5D1D"/>
    <w:rsid w:val="36DF5EE5"/>
    <w:rsid w:val="38963AA1"/>
    <w:rsid w:val="39461E7C"/>
    <w:rsid w:val="39A75722"/>
    <w:rsid w:val="3B6E7B6E"/>
    <w:rsid w:val="3C712CD5"/>
    <w:rsid w:val="3CCB40C8"/>
    <w:rsid w:val="3CEC5D53"/>
    <w:rsid w:val="42F51A46"/>
    <w:rsid w:val="441C57E9"/>
    <w:rsid w:val="44240E6E"/>
    <w:rsid w:val="44986D47"/>
    <w:rsid w:val="456A5D0D"/>
    <w:rsid w:val="457C0C14"/>
    <w:rsid w:val="45B90BF3"/>
    <w:rsid w:val="460143F1"/>
    <w:rsid w:val="475B18CD"/>
    <w:rsid w:val="47733BCD"/>
    <w:rsid w:val="49A62A22"/>
    <w:rsid w:val="4A4F1F05"/>
    <w:rsid w:val="4AFB38A3"/>
    <w:rsid w:val="4B7040C7"/>
    <w:rsid w:val="4CA957E7"/>
    <w:rsid w:val="4D9730D4"/>
    <w:rsid w:val="4E4335D2"/>
    <w:rsid w:val="54D807C3"/>
    <w:rsid w:val="59AF56D7"/>
    <w:rsid w:val="59E039EB"/>
    <w:rsid w:val="5B2B3FCD"/>
    <w:rsid w:val="5BAE356C"/>
    <w:rsid w:val="5BF50140"/>
    <w:rsid w:val="5CB07A05"/>
    <w:rsid w:val="5DF51850"/>
    <w:rsid w:val="5ED17601"/>
    <w:rsid w:val="60967066"/>
    <w:rsid w:val="612F2391"/>
    <w:rsid w:val="61897173"/>
    <w:rsid w:val="63685550"/>
    <w:rsid w:val="63F21B1B"/>
    <w:rsid w:val="647112A6"/>
    <w:rsid w:val="65493192"/>
    <w:rsid w:val="666C26EF"/>
    <w:rsid w:val="677A66E5"/>
    <w:rsid w:val="6B511389"/>
    <w:rsid w:val="6D516566"/>
    <w:rsid w:val="6D5763C1"/>
    <w:rsid w:val="6D81148F"/>
    <w:rsid w:val="6E8006EE"/>
    <w:rsid w:val="6ECC4D84"/>
    <w:rsid w:val="6FB05C96"/>
    <w:rsid w:val="705572E7"/>
    <w:rsid w:val="70BA2DA1"/>
    <w:rsid w:val="71B87B2B"/>
    <w:rsid w:val="729B4F6A"/>
    <w:rsid w:val="733E01F4"/>
    <w:rsid w:val="7424079F"/>
    <w:rsid w:val="74D4598A"/>
    <w:rsid w:val="76FD3FC3"/>
    <w:rsid w:val="793C209F"/>
    <w:rsid w:val="7AA5545A"/>
    <w:rsid w:val="7BAA5900"/>
    <w:rsid w:val="7CA469A1"/>
    <w:rsid w:val="7D9A3104"/>
    <w:rsid w:val="7DB94919"/>
    <w:rsid w:val="7F4A778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paragraph" w:styleId="6">
    <w:name w:val="Normal (Web)"/>
    <w:basedOn w:val="1"/>
    <w:unhideWhenUsed/>
    <w:qFormat/>
    <w:uiPriority w:val="99"/>
    <w:rPr>
      <w:sz w:val="24"/>
    </w:rPr>
  </w:style>
  <w:style w:type="character" w:customStyle="1" w:styleId="9">
    <w:name w:val="页眉 Char"/>
    <w:basedOn w:val="8"/>
    <w:link w:val="3"/>
    <w:semiHidden/>
    <w:qFormat/>
    <w:uiPriority w:val="99"/>
    <w:rPr>
      <w:sz w:val="18"/>
      <w:szCs w:val="18"/>
    </w:rPr>
  </w:style>
  <w:style w:type="character" w:customStyle="1" w:styleId="10">
    <w:name w:val="页脚 Char"/>
    <w:basedOn w:val="8"/>
    <w:link w:val="2"/>
    <w:semiHidden/>
    <w:qFormat/>
    <w:uiPriority w:val="99"/>
    <w:rPr>
      <w:sz w:val="18"/>
      <w:szCs w:val="18"/>
    </w:rPr>
  </w:style>
  <w:style w:type="paragraph" w:customStyle="1" w:styleId="11">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4965</Words>
  <Characters>5201</Characters>
  <Lines>35</Lines>
  <Paragraphs>9</Paragraphs>
  <TotalTime>17</TotalTime>
  <ScaleCrop>false</ScaleCrop>
  <LinksUpToDate>false</LinksUpToDate>
  <CharactersWithSpaces>5215</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2016-04-01T02:15:00Z</dcterms:created>
  <dc:creator>lenovo</dc:creator>
  <cp:lastModifiedBy>lenovo</cp:lastModifiedBy>
  <cp:lastPrinted>2016-04-01T02:44:00Z</cp:lastPrinted>
  <dcterms:modified xsi:type="dcterms:W3CDTF">2025-11-25T02:37:41Z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F3AE237BAEC04F5D806B87B8EC6EC6B0</vt:lpwstr>
  </property>
  <property fmtid="{D5CDD505-2E9C-101B-9397-08002B2CF9AE}" pid="4" name="KSOTemplateDocerSaveRecord">
    <vt:lpwstr>eyJoZGlkIjoiOWVkMTQ3NzcyODRmYmNkMDFkNWRjOTYxMTY5NmYxNWMifQ==</vt:lpwstr>
  </property>
</Properties>
</file>