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360" w:lineRule="auto"/>
        <w:ind w:left="640"/>
        <w:jc w:val="center"/>
        <w:rPr>
          <w:rFonts w:asciiTheme="minorEastAsia" w:hAnsiTheme="minorEastAsia" w:cstheme="minorEastAsia"/>
          <w:b/>
          <w:bCs/>
          <w:sz w:val="44"/>
          <w:szCs w:val="44"/>
        </w:rPr>
      </w:pPr>
    </w:p>
    <w:p>
      <w:pPr>
        <w:widowControl/>
        <w:spacing w:line="360" w:lineRule="auto"/>
        <w:ind w:left="640"/>
        <w:jc w:val="center"/>
        <w:rPr>
          <w:rFonts w:asciiTheme="minorEastAsia" w:hAnsiTheme="minorEastAsia" w:cstheme="minorEastAsia"/>
          <w:b/>
          <w:bCs/>
          <w:sz w:val="44"/>
          <w:szCs w:val="44"/>
        </w:rPr>
      </w:pPr>
      <w:r>
        <w:rPr>
          <w:rFonts w:hint="eastAsia" w:asciiTheme="minorEastAsia" w:hAnsiTheme="minorEastAsia" w:cstheme="minorEastAsia"/>
          <w:b/>
          <w:bCs/>
          <w:sz w:val="44"/>
          <w:szCs w:val="44"/>
        </w:rPr>
        <w:t>成安县总工会</w:t>
      </w:r>
    </w:p>
    <w:p>
      <w:pPr>
        <w:widowControl/>
        <w:spacing w:line="360" w:lineRule="auto"/>
        <w:ind w:left="640"/>
        <w:jc w:val="center"/>
        <w:rPr>
          <w:rFonts w:asciiTheme="minorEastAsia" w:hAnsiTheme="minorEastAsia" w:cstheme="minorEastAsia"/>
          <w:b/>
          <w:bCs/>
          <w:sz w:val="44"/>
          <w:szCs w:val="44"/>
        </w:rPr>
      </w:pPr>
      <w:r>
        <w:rPr>
          <w:rFonts w:hint="eastAsia" w:asciiTheme="minorEastAsia" w:hAnsiTheme="minorEastAsia" w:cstheme="minorEastAsia"/>
          <w:b/>
          <w:bCs/>
          <w:sz w:val="44"/>
          <w:szCs w:val="44"/>
        </w:rPr>
        <w:t>2019年度部门预算情况说明</w:t>
      </w:r>
    </w:p>
    <w:p>
      <w:pPr>
        <w:widowControl/>
        <w:spacing w:line="360" w:lineRule="auto"/>
        <w:ind w:left="640"/>
        <w:jc w:val="left"/>
        <w:rPr>
          <w:rFonts w:ascii="黑体" w:hAnsi="黑体" w:eastAsia="黑体" w:cs="黑体"/>
          <w:sz w:val="32"/>
          <w:szCs w:val="32"/>
        </w:rPr>
      </w:pPr>
    </w:p>
    <w:p>
      <w:pPr>
        <w:spacing w:line="580" w:lineRule="exact"/>
        <w:ind w:firstLine="640" w:firstLineChars="200"/>
        <w:rPr>
          <w:rFonts w:ascii="仿宋" w:hAnsi="仿宋" w:eastAsia="仿宋" w:cs="仿宋_GB2312"/>
          <w:kern w:val="0"/>
          <w:sz w:val="32"/>
          <w:szCs w:val="32"/>
        </w:rPr>
      </w:pPr>
      <w:r>
        <w:rPr>
          <w:rFonts w:hint="eastAsia" w:ascii="仿宋" w:hAnsi="仿宋" w:eastAsia="仿宋" w:cs="仿宋_GB2312"/>
          <w:sz w:val="32"/>
          <w:szCs w:val="32"/>
        </w:rPr>
        <w:t>按照《中华人民共和国预算法》有关规定和财政部关于印发《地方预决算公开操作规程》的通知，</w:t>
      </w:r>
      <w:r>
        <w:rPr>
          <w:rFonts w:hint="eastAsia" w:ascii="仿宋" w:hAnsi="仿宋" w:eastAsia="仿宋" w:cs="仿宋_GB2312"/>
          <w:kern w:val="0"/>
          <w:sz w:val="32"/>
          <w:szCs w:val="32"/>
        </w:rPr>
        <w:t>现将成安县</w:t>
      </w:r>
      <w:r>
        <w:rPr>
          <w:rFonts w:hint="eastAsia" w:ascii="仿宋" w:hAnsi="仿宋" w:eastAsia="仿宋" w:cs="仿宋_GB2312"/>
          <w:kern w:val="0"/>
          <w:sz w:val="32"/>
          <w:szCs w:val="32"/>
          <w:lang w:val="en-US" w:eastAsia="zh-CN"/>
        </w:rPr>
        <w:t>总工会</w:t>
      </w:r>
      <w:r>
        <w:rPr>
          <w:rFonts w:hint="eastAsia" w:ascii="仿宋" w:hAnsi="仿宋" w:eastAsia="仿宋" w:cs="仿宋_GB2312"/>
          <w:kern w:val="0"/>
          <w:sz w:val="32"/>
          <w:szCs w:val="32"/>
        </w:rPr>
        <w:t>2019年部门预算公开如下：</w:t>
      </w:r>
    </w:p>
    <w:p>
      <w:pPr>
        <w:widowControl/>
        <w:spacing w:line="360" w:lineRule="auto"/>
        <w:ind w:left="640"/>
        <w:jc w:val="left"/>
        <w:rPr>
          <w:rFonts w:ascii="仿宋_GB2312" w:hAnsi="Calibri" w:eastAsia="仿宋_GB2312" w:cs="仿宋_GB2312"/>
          <w:sz w:val="32"/>
          <w:szCs w:val="32"/>
        </w:rPr>
      </w:pPr>
      <w:r>
        <w:rPr>
          <w:rFonts w:hint="eastAsia" w:ascii="黑体" w:hAnsi="黑体" w:eastAsia="黑体" w:cs="黑体"/>
          <w:sz w:val="32"/>
          <w:szCs w:val="32"/>
        </w:rPr>
        <w:t>一、部门职责及机构设置情况</w:t>
      </w:r>
    </w:p>
    <w:p>
      <w:pPr>
        <w:widowControl/>
        <w:spacing w:line="360" w:lineRule="auto"/>
        <w:jc w:val="left"/>
        <w:rPr>
          <w:rFonts w:ascii="仿宋" w:hAnsi="仿宋" w:eastAsia="仿宋" w:cs="仿宋"/>
          <w:bCs/>
          <w:kern w:val="0"/>
          <w:sz w:val="32"/>
          <w:szCs w:val="32"/>
        </w:rPr>
      </w:pPr>
      <w:r>
        <w:rPr>
          <w:rFonts w:hint="eastAsia" w:ascii="仿宋" w:hAnsi="仿宋" w:eastAsia="仿宋" w:cs="仿宋"/>
          <w:bCs/>
          <w:kern w:val="0"/>
          <w:sz w:val="32"/>
          <w:szCs w:val="32"/>
        </w:rPr>
        <w:t>　　维护职工合法权益是工会的基本职责，终极动员和组织职工参加建设和改革，完成经济和社会发展任务；教育职工不断提高思想道德素质和科学文化素质，建设有思想、有道德、有文化、有纪律的职工队伍。</w:t>
      </w:r>
    </w:p>
    <w:tbl>
      <w:tblPr>
        <w:tblStyle w:val="6"/>
        <w:tblW w:w="86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3317"/>
        <w:gridCol w:w="1134"/>
        <w:gridCol w:w="1276"/>
        <w:gridCol w:w="290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317" w:type="dxa"/>
            <w:vMerge w:val="restart"/>
            <w:vAlign w:val="center"/>
          </w:tcPr>
          <w:p>
            <w:pPr>
              <w:spacing w:line="300" w:lineRule="exact"/>
              <w:jc w:val="center"/>
              <w:rPr>
                <w:rFonts w:ascii="Times New Roman" w:hAnsi="Times New Roman" w:eastAsia="方正书宋_GBK" w:cs="Times New Roman"/>
                <w:b/>
                <w:bCs/>
              </w:rPr>
            </w:pPr>
            <w:r>
              <w:rPr>
                <w:rFonts w:hint="eastAsia" w:ascii="Times New Roman" w:hAnsi="Times New Roman" w:eastAsia="方正书宋_GBK" w:cs="方正书宋_GBK"/>
                <w:b/>
                <w:bCs/>
              </w:rPr>
              <w:t>单位名称</w:t>
            </w:r>
          </w:p>
        </w:tc>
        <w:tc>
          <w:tcPr>
            <w:tcW w:w="1134" w:type="dxa"/>
            <w:vMerge w:val="restart"/>
            <w:vAlign w:val="center"/>
          </w:tcPr>
          <w:p>
            <w:pPr>
              <w:spacing w:line="300" w:lineRule="exact"/>
              <w:jc w:val="center"/>
              <w:rPr>
                <w:rFonts w:ascii="Times New Roman" w:hAnsi="Times New Roman" w:eastAsia="方正书宋_GBK" w:cs="Times New Roman"/>
                <w:b/>
                <w:bCs/>
              </w:rPr>
            </w:pPr>
            <w:r>
              <w:rPr>
                <w:rFonts w:hint="eastAsia" w:ascii="Times New Roman" w:hAnsi="Times New Roman" w:eastAsia="方正书宋_GBK" w:cs="方正书宋_GBK"/>
                <w:b/>
                <w:bCs/>
              </w:rPr>
              <w:t>单位性质</w:t>
            </w:r>
          </w:p>
        </w:tc>
        <w:tc>
          <w:tcPr>
            <w:tcW w:w="1276" w:type="dxa"/>
            <w:vMerge w:val="restart"/>
            <w:vAlign w:val="center"/>
          </w:tcPr>
          <w:p>
            <w:pPr>
              <w:spacing w:line="300" w:lineRule="exact"/>
              <w:jc w:val="center"/>
              <w:rPr>
                <w:rFonts w:ascii="Times New Roman" w:hAnsi="Times New Roman" w:eastAsia="方正书宋_GBK" w:cs="Times New Roman"/>
                <w:b/>
                <w:bCs/>
              </w:rPr>
            </w:pPr>
            <w:r>
              <w:rPr>
                <w:rFonts w:hint="eastAsia" w:ascii="Times New Roman" w:hAnsi="Times New Roman" w:eastAsia="方正书宋_GBK" w:cs="方正书宋_GBK"/>
                <w:b/>
                <w:bCs/>
              </w:rPr>
              <w:t>单位规格</w:t>
            </w:r>
          </w:p>
        </w:tc>
        <w:tc>
          <w:tcPr>
            <w:tcW w:w="2902" w:type="dxa"/>
            <w:vMerge w:val="restart"/>
            <w:vAlign w:val="center"/>
          </w:tcPr>
          <w:p>
            <w:pPr>
              <w:spacing w:line="300" w:lineRule="exact"/>
              <w:jc w:val="center"/>
              <w:rPr>
                <w:rFonts w:ascii="Times New Roman" w:hAnsi="Times New Roman" w:eastAsia="方正书宋_GBK" w:cs="Times New Roman"/>
                <w:b/>
                <w:bCs/>
              </w:rPr>
            </w:pPr>
            <w:r>
              <w:rPr>
                <w:rFonts w:hint="eastAsia" w:ascii="Times New Roman" w:hAnsi="Times New Roman" w:eastAsia="方正书宋_GBK" w:cs="方正书宋_GBK"/>
                <w:b/>
                <w:bCs/>
              </w:rP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317" w:type="dxa"/>
            <w:vMerge w:val="continue"/>
            <w:vAlign w:val="center"/>
          </w:tcPr>
          <w:p>
            <w:pPr>
              <w:spacing w:line="300" w:lineRule="exact"/>
              <w:jc w:val="left"/>
              <w:outlineLvl w:val="0"/>
              <w:rPr>
                <w:rFonts w:ascii="Times New Roman" w:hAnsi="Times New Roman" w:eastAsia="宋体" w:cs="Times New Roman"/>
              </w:rPr>
            </w:pPr>
          </w:p>
        </w:tc>
        <w:tc>
          <w:tcPr>
            <w:tcW w:w="1134" w:type="dxa"/>
            <w:vMerge w:val="continue"/>
            <w:vAlign w:val="center"/>
          </w:tcPr>
          <w:p>
            <w:pPr>
              <w:spacing w:line="300" w:lineRule="exact"/>
              <w:jc w:val="left"/>
              <w:outlineLvl w:val="0"/>
              <w:rPr>
                <w:rFonts w:ascii="Times New Roman" w:hAnsi="Times New Roman" w:eastAsia="宋体" w:cs="Times New Roman"/>
              </w:rPr>
            </w:pPr>
          </w:p>
        </w:tc>
        <w:tc>
          <w:tcPr>
            <w:tcW w:w="1276" w:type="dxa"/>
            <w:vMerge w:val="continue"/>
            <w:vAlign w:val="center"/>
          </w:tcPr>
          <w:p>
            <w:pPr>
              <w:spacing w:line="300" w:lineRule="exact"/>
              <w:jc w:val="left"/>
              <w:outlineLvl w:val="0"/>
              <w:rPr>
                <w:rFonts w:ascii="Times New Roman" w:hAnsi="Times New Roman" w:eastAsia="宋体" w:cs="Times New Roman"/>
              </w:rPr>
            </w:pPr>
          </w:p>
        </w:tc>
        <w:tc>
          <w:tcPr>
            <w:tcW w:w="2902" w:type="dxa"/>
            <w:vMerge w:val="continue"/>
            <w:vAlign w:val="center"/>
          </w:tcPr>
          <w:p>
            <w:pPr>
              <w:spacing w:line="300" w:lineRule="exact"/>
              <w:jc w:val="left"/>
              <w:outlineLvl w:val="0"/>
              <w:rPr>
                <w:rFonts w:ascii="Times New Roman" w:hAnsi="Times New Roman" w:eastAsia="宋体"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70" w:hRule="atLeast"/>
          <w:jc w:val="center"/>
        </w:trPr>
        <w:tc>
          <w:tcPr>
            <w:tcW w:w="3317" w:type="dxa"/>
            <w:vAlign w:val="center"/>
          </w:tcPr>
          <w:p>
            <w:pPr>
              <w:spacing w:line="300" w:lineRule="exact"/>
              <w:jc w:val="left"/>
              <w:rPr>
                <w:rFonts w:ascii="仿宋" w:hAnsi="仿宋" w:eastAsia="仿宋" w:cs="仿宋"/>
                <w:sz w:val="28"/>
                <w:szCs w:val="28"/>
              </w:rPr>
            </w:pPr>
            <w:r>
              <w:rPr>
                <w:rFonts w:hint="eastAsia" w:ascii="仿宋" w:hAnsi="仿宋" w:eastAsia="仿宋" w:cs="仿宋"/>
                <w:sz w:val="28"/>
                <w:szCs w:val="28"/>
              </w:rPr>
              <w:t>成安县总工会</w:t>
            </w:r>
          </w:p>
        </w:tc>
        <w:tc>
          <w:tcPr>
            <w:tcW w:w="1134" w:type="dxa"/>
            <w:vAlign w:val="center"/>
          </w:tcPr>
          <w:p>
            <w:pPr>
              <w:spacing w:line="300" w:lineRule="exact"/>
              <w:jc w:val="left"/>
              <w:rPr>
                <w:rFonts w:ascii="仿宋" w:hAnsi="仿宋" w:eastAsia="仿宋" w:cs="仿宋"/>
                <w:sz w:val="28"/>
                <w:szCs w:val="28"/>
              </w:rPr>
            </w:pPr>
            <w:r>
              <w:rPr>
                <w:rFonts w:hint="eastAsia" w:ascii="仿宋" w:hAnsi="仿宋" w:eastAsia="仿宋" w:cs="仿宋"/>
                <w:sz w:val="28"/>
                <w:szCs w:val="28"/>
              </w:rPr>
              <w:t>行政</w:t>
            </w:r>
          </w:p>
        </w:tc>
        <w:tc>
          <w:tcPr>
            <w:tcW w:w="1276" w:type="dxa"/>
            <w:vAlign w:val="center"/>
          </w:tcPr>
          <w:p>
            <w:pPr>
              <w:spacing w:line="300" w:lineRule="exact"/>
              <w:jc w:val="left"/>
              <w:rPr>
                <w:rFonts w:ascii="仿宋" w:hAnsi="仿宋" w:eastAsia="仿宋" w:cs="仿宋"/>
                <w:sz w:val="28"/>
                <w:szCs w:val="28"/>
              </w:rPr>
            </w:pPr>
            <w:r>
              <w:rPr>
                <w:rFonts w:hint="eastAsia" w:ascii="仿宋" w:hAnsi="仿宋" w:eastAsia="仿宋" w:cs="仿宋"/>
                <w:sz w:val="28"/>
                <w:szCs w:val="28"/>
              </w:rPr>
              <w:t>正科级</w:t>
            </w:r>
          </w:p>
        </w:tc>
        <w:tc>
          <w:tcPr>
            <w:tcW w:w="2902" w:type="dxa"/>
            <w:vAlign w:val="center"/>
          </w:tcPr>
          <w:p>
            <w:pPr>
              <w:spacing w:line="300" w:lineRule="exact"/>
              <w:jc w:val="left"/>
              <w:rPr>
                <w:rFonts w:ascii="仿宋" w:hAnsi="仿宋" w:eastAsia="仿宋" w:cs="仿宋"/>
                <w:sz w:val="28"/>
                <w:szCs w:val="28"/>
              </w:rPr>
            </w:pPr>
            <w:r>
              <w:rPr>
                <w:rFonts w:hint="eastAsia" w:ascii="仿宋" w:hAnsi="仿宋" w:eastAsia="仿宋" w:cs="仿宋"/>
                <w:sz w:val="28"/>
                <w:szCs w:val="28"/>
              </w:rPr>
              <w:t>财政性资金零补助</w:t>
            </w:r>
          </w:p>
        </w:tc>
      </w:tr>
    </w:tbl>
    <w:p>
      <w:pPr>
        <w:widowControl/>
        <w:spacing w:line="360" w:lineRule="auto"/>
        <w:ind w:left="628"/>
        <w:jc w:val="left"/>
        <w:rPr>
          <w:rFonts w:ascii="仿宋" w:hAnsi="仿宋" w:eastAsia="仿宋" w:cs="仿宋"/>
          <w:bCs/>
          <w:kern w:val="0"/>
          <w:sz w:val="32"/>
          <w:szCs w:val="32"/>
        </w:rPr>
      </w:pPr>
      <w:r>
        <w:rPr>
          <w:rFonts w:hint="eastAsia" w:ascii="仿宋" w:hAnsi="仿宋" w:eastAsia="仿宋" w:cs="仿宋"/>
          <w:bCs/>
          <w:kern w:val="0"/>
          <w:sz w:val="32"/>
          <w:szCs w:val="32"/>
        </w:rPr>
        <w:t>成安县总工会，预算</w:t>
      </w:r>
      <w:bookmarkStart w:id="0" w:name="_GoBack"/>
      <w:bookmarkEnd w:id="0"/>
      <w:r>
        <w:rPr>
          <w:rFonts w:hint="eastAsia" w:ascii="仿宋" w:hAnsi="仿宋" w:eastAsia="仿宋" w:cs="仿宋"/>
          <w:bCs/>
          <w:kern w:val="0"/>
          <w:sz w:val="32"/>
          <w:szCs w:val="32"/>
        </w:rPr>
        <w:t>编码是711，内设2个内部机构。</w:t>
      </w:r>
    </w:p>
    <w:p>
      <w:pPr>
        <w:widowControl/>
        <w:numPr>
          <w:ilvl w:val="0"/>
          <w:numId w:val="1"/>
        </w:numPr>
        <w:spacing w:line="360" w:lineRule="auto"/>
        <w:ind w:left="628"/>
        <w:jc w:val="left"/>
        <w:rPr>
          <w:rFonts w:ascii="仿宋" w:hAnsi="仿宋" w:eastAsia="仿宋" w:cs="仿宋"/>
          <w:bCs/>
          <w:kern w:val="0"/>
          <w:sz w:val="32"/>
          <w:szCs w:val="32"/>
        </w:rPr>
      </w:pPr>
      <w:r>
        <w:rPr>
          <w:rFonts w:hint="eastAsia" w:ascii="仿宋" w:hAnsi="仿宋" w:eastAsia="仿宋" w:cs="仿宋"/>
          <w:bCs/>
          <w:kern w:val="0"/>
          <w:sz w:val="32"/>
          <w:szCs w:val="32"/>
        </w:rPr>
        <w:t>办公室</w:t>
      </w:r>
    </w:p>
    <w:p>
      <w:pPr>
        <w:widowControl/>
        <w:spacing w:line="360" w:lineRule="auto"/>
        <w:jc w:val="left"/>
        <w:rPr>
          <w:rFonts w:ascii="仿宋" w:hAnsi="仿宋" w:eastAsia="仿宋" w:cs="仿宋"/>
          <w:bCs/>
          <w:kern w:val="0"/>
          <w:sz w:val="32"/>
          <w:szCs w:val="32"/>
        </w:rPr>
      </w:pPr>
      <w:r>
        <w:rPr>
          <w:rFonts w:hint="eastAsia" w:ascii="仿宋" w:hAnsi="仿宋" w:eastAsia="仿宋" w:cs="仿宋"/>
          <w:bCs/>
          <w:kern w:val="0"/>
          <w:sz w:val="32"/>
          <w:szCs w:val="32"/>
        </w:rPr>
        <w:t xml:space="preserve">     主要负责：日常工作事务，后勤保障。</w:t>
      </w:r>
    </w:p>
    <w:p>
      <w:pPr>
        <w:widowControl/>
        <w:spacing w:line="360" w:lineRule="auto"/>
        <w:ind w:firstLine="640"/>
        <w:jc w:val="left"/>
        <w:rPr>
          <w:rFonts w:ascii="仿宋" w:hAnsi="仿宋" w:eastAsia="仿宋" w:cs="仿宋"/>
          <w:bCs/>
          <w:kern w:val="0"/>
          <w:sz w:val="32"/>
          <w:szCs w:val="32"/>
        </w:rPr>
      </w:pPr>
      <w:r>
        <w:rPr>
          <w:rFonts w:hint="eastAsia" w:ascii="仿宋" w:hAnsi="仿宋" w:eastAsia="仿宋" w:cs="仿宋"/>
          <w:bCs/>
          <w:kern w:val="0"/>
          <w:sz w:val="32"/>
          <w:szCs w:val="32"/>
        </w:rPr>
        <w:t>2、宣教部</w:t>
      </w:r>
    </w:p>
    <w:p>
      <w:pPr>
        <w:widowControl/>
        <w:spacing w:line="360" w:lineRule="auto"/>
        <w:ind w:firstLine="640" w:firstLineChars="200"/>
        <w:jc w:val="left"/>
        <w:rPr>
          <w:rFonts w:ascii="Calibri" w:hAnsi="Calibri" w:eastAsia="仿宋_GB2312" w:cs="Calibri"/>
          <w:b/>
          <w:kern w:val="0"/>
          <w:sz w:val="32"/>
          <w:szCs w:val="32"/>
        </w:rPr>
      </w:pPr>
      <w:r>
        <w:rPr>
          <w:rFonts w:hint="eastAsia" w:ascii="仿宋" w:hAnsi="仿宋" w:eastAsia="仿宋" w:cs="仿宋"/>
          <w:bCs/>
          <w:kern w:val="0"/>
          <w:sz w:val="32"/>
          <w:szCs w:val="32"/>
        </w:rPr>
        <w:t>主要负责：工会有关法律法规宣传。</w:t>
      </w:r>
    </w:p>
    <w:p>
      <w:pPr>
        <w:widowControl/>
        <w:spacing w:line="360" w:lineRule="auto"/>
        <w:ind w:left="993"/>
        <w:jc w:val="left"/>
        <w:rPr>
          <w:rFonts w:ascii="Calibri" w:hAnsi="Calibri" w:eastAsia="仿宋_GB2312" w:cs="Calibri"/>
          <w:b/>
          <w:kern w:val="0"/>
          <w:sz w:val="32"/>
          <w:szCs w:val="32"/>
        </w:rPr>
      </w:pPr>
      <w:r>
        <w:rPr>
          <w:rFonts w:hint="eastAsia" w:ascii="Calibri" w:hAnsi="Calibri" w:eastAsia="仿宋_GB2312" w:cs="Calibri"/>
          <w:b/>
          <w:kern w:val="0"/>
          <w:sz w:val="32"/>
          <w:szCs w:val="32"/>
        </w:rPr>
        <w:t>人员编制和领导职数</w:t>
      </w:r>
    </w:p>
    <w:p>
      <w:pPr>
        <w:widowControl/>
        <w:spacing w:line="360" w:lineRule="auto"/>
        <w:ind w:firstLine="640"/>
        <w:jc w:val="left"/>
        <w:rPr>
          <w:rFonts w:ascii="仿宋" w:hAnsi="仿宋" w:eastAsia="仿宋" w:cs="仿宋"/>
          <w:bCs/>
          <w:kern w:val="0"/>
          <w:sz w:val="32"/>
          <w:szCs w:val="32"/>
        </w:rPr>
      </w:pPr>
      <w:r>
        <w:rPr>
          <w:rFonts w:hint="eastAsia" w:ascii="仿宋" w:hAnsi="仿宋" w:eastAsia="仿宋" w:cs="仿宋"/>
          <w:bCs/>
          <w:kern w:val="0"/>
          <w:sz w:val="32"/>
          <w:szCs w:val="32"/>
        </w:rPr>
        <w:t>成安县总工会，人员编制8名，其中领导职数3个</w:t>
      </w:r>
    </w:p>
    <w:p>
      <w:pPr>
        <w:pStyle w:val="10"/>
        <w:widowControl/>
        <w:spacing w:line="360" w:lineRule="auto"/>
        <w:ind w:left="720" w:firstLine="0" w:firstLineChars="0"/>
        <w:jc w:val="left"/>
        <w:rPr>
          <w:rFonts w:ascii="黑体" w:hAnsi="黑体" w:eastAsia="黑体" w:cs="仿宋_GB2312"/>
          <w:kern w:val="0"/>
          <w:sz w:val="32"/>
          <w:szCs w:val="32"/>
        </w:rPr>
      </w:pPr>
      <w:r>
        <w:rPr>
          <w:rFonts w:hint="eastAsia" w:ascii="黑体" w:hAnsi="黑体" w:eastAsia="黑体" w:cs="仿宋_GB2312"/>
          <w:b/>
          <w:kern w:val="0"/>
          <w:sz w:val="32"/>
          <w:szCs w:val="32"/>
        </w:rPr>
        <w:t>二、预算安排总体情况</w:t>
      </w:r>
    </w:p>
    <w:p>
      <w:pPr>
        <w:spacing w:line="560" w:lineRule="exact"/>
        <w:ind w:firstLine="640"/>
        <w:rPr>
          <w:rFonts w:ascii="仿宋" w:hAnsi="仿宋" w:eastAsia="仿宋" w:cs="仿宋"/>
          <w:sz w:val="32"/>
          <w:szCs w:val="32"/>
        </w:rPr>
      </w:pPr>
      <w:r>
        <w:rPr>
          <w:rFonts w:hint="eastAsia" w:ascii="仿宋" w:hAnsi="仿宋" w:eastAsia="仿宋" w:cs="仿宋"/>
          <w:sz w:val="32"/>
          <w:szCs w:val="32"/>
        </w:rPr>
        <w:t>按照预算管理有关规定，目前我部门预算的编制实行综合预算制度，即全部收入和支出都反映在预算中。</w:t>
      </w:r>
    </w:p>
    <w:p>
      <w:pPr>
        <w:spacing w:line="560" w:lineRule="exact"/>
        <w:ind w:firstLine="640"/>
        <w:rPr>
          <w:rFonts w:ascii="楷体" w:hAnsi="楷体" w:eastAsia="楷体" w:cs="Times New Roman"/>
          <w:b/>
          <w:bCs/>
          <w:sz w:val="32"/>
          <w:szCs w:val="32"/>
        </w:rPr>
      </w:pPr>
      <w:r>
        <w:rPr>
          <w:rFonts w:ascii="楷体" w:hAnsi="楷体" w:eastAsia="楷体" w:cs="楷体"/>
          <w:b/>
          <w:bCs/>
          <w:sz w:val="32"/>
          <w:szCs w:val="32"/>
        </w:rPr>
        <w:t>1</w:t>
      </w:r>
      <w:r>
        <w:rPr>
          <w:rFonts w:hint="eastAsia" w:ascii="楷体" w:hAnsi="楷体" w:eastAsia="楷体" w:cs="楷体"/>
          <w:b/>
          <w:bCs/>
          <w:sz w:val="32"/>
          <w:szCs w:val="32"/>
        </w:rPr>
        <w:t>、收入说明</w:t>
      </w:r>
    </w:p>
    <w:p>
      <w:pPr>
        <w:spacing w:line="560" w:lineRule="exact"/>
        <w:ind w:firstLine="640"/>
        <w:rPr>
          <w:rFonts w:ascii="仿宋" w:hAnsi="仿宋" w:eastAsia="仿宋" w:cs="仿宋"/>
          <w:sz w:val="32"/>
          <w:szCs w:val="32"/>
        </w:rPr>
      </w:pPr>
      <w:r>
        <w:rPr>
          <w:rFonts w:hint="eastAsia" w:ascii="宋体" w:hAnsi="宋体" w:eastAsia="宋体" w:cs="Times New Roman"/>
          <w:sz w:val="32"/>
          <w:szCs w:val="32"/>
        </w:rPr>
        <w:t>2019</w:t>
      </w:r>
      <w:r>
        <w:rPr>
          <w:rFonts w:hint="eastAsia" w:ascii="仿宋" w:hAnsi="仿宋" w:eastAsia="仿宋" w:cs="仿宋"/>
          <w:sz w:val="32"/>
          <w:szCs w:val="32"/>
        </w:rPr>
        <w:t>年预算收入170.46万元，其中：一般公共预算收入170.46万元，政府性基金收入0万元，国有资本经营收入0万元，事业收入0万元，其他收入0万元。</w:t>
      </w:r>
    </w:p>
    <w:p>
      <w:pPr>
        <w:spacing w:line="560" w:lineRule="exact"/>
        <w:ind w:firstLine="640"/>
        <w:rPr>
          <w:rFonts w:ascii="楷体" w:hAnsi="楷体" w:eastAsia="楷体" w:cs="Times New Roman"/>
          <w:b/>
          <w:bCs/>
          <w:sz w:val="32"/>
          <w:szCs w:val="32"/>
        </w:rPr>
      </w:pPr>
      <w:r>
        <w:rPr>
          <w:rFonts w:ascii="楷体" w:hAnsi="楷体" w:eastAsia="楷体" w:cs="楷体"/>
          <w:b/>
          <w:bCs/>
          <w:sz w:val="32"/>
          <w:szCs w:val="32"/>
        </w:rPr>
        <w:t>2</w:t>
      </w:r>
      <w:r>
        <w:rPr>
          <w:rFonts w:hint="eastAsia" w:ascii="楷体" w:hAnsi="楷体" w:eastAsia="楷体" w:cs="楷体"/>
          <w:b/>
          <w:bCs/>
          <w:sz w:val="32"/>
          <w:szCs w:val="32"/>
        </w:rPr>
        <w:t>、支出说明</w:t>
      </w:r>
    </w:p>
    <w:p>
      <w:pPr>
        <w:spacing w:line="560" w:lineRule="exact"/>
        <w:ind w:firstLine="640"/>
        <w:rPr>
          <w:rFonts w:ascii="仿宋" w:hAnsi="仿宋" w:eastAsia="仿宋" w:cs="仿宋"/>
          <w:sz w:val="32"/>
          <w:szCs w:val="32"/>
        </w:rPr>
      </w:pPr>
      <w:r>
        <w:rPr>
          <w:rFonts w:hint="eastAsia" w:ascii="仿宋" w:hAnsi="仿宋" w:eastAsia="仿宋" w:cs="仿宋"/>
          <w:sz w:val="32"/>
          <w:szCs w:val="32"/>
        </w:rPr>
        <w:t>2019年支出预算170.46万元，其中基本支出170.46万元，包括人员经费和日常公用经费；项目支出0万元。</w:t>
      </w:r>
    </w:p>
    <w:p>
      <w:pPr>
        <w:spacing w:line="560" w:lineRule="exact"/>
        <w:ind w:firstLine="640"/>
        <w:rPr>
          <w:rFonts w:ascii="楷体" w:hAnsi="楷体" w:eastAsia="楷体" w:cs="Times New Roman"/>
          <w:b/>
          <w:bCs/>
          <w:sz w:val="32"/>
          <w:szCs w:val="32"/>
        </w:rPr>
      </w:pPr>
      <w:r>
        <w:rPr>
          <w:rFonts w:ascii="楷体" w:hAnsi="楷体" w:eastAsia="楷体" w:cs="楷体"/>
          <w:b/>
          <w:bCs/>
          <w:sz w:val="32"/>
          <w:szCs w:val="32"/>
        </w:rPr>
        <w:t>3</w:t>
      </w:r>
      <w:r>
        <w:rPr>
          <w:rFonts w:hint="eastAsia" w:ascii="楷体" w:hAnsi="楷体" w:eastAsia="楷体" w:cs="楷体"/>
          <w:b/>
          <w:bCs/>
          <w:sz w:val="32"/>
          <w:szCs w:val="32"/>
        </w:rPr>
        <w:t>、比上年增减变化情况</w:t>
      </w:r>
    </w:p>
    <w:p>
      <w:pPr>
        <w:spacing w:line="560" w:lineRule="exact"/>
        <w:ind w:firstLine="640"/>
        <w:rPr>
          <w:rFonts w:ascii="仿宋" w:hAnsi="仿宋" w:eastAsia="仿宋" w:cs="仿宋"/>
          <w:sz w:val="32"/>
          <w:szCs w:val="32"/>
        </w:rPr>
      </w:pPr>
      <w:r>
        <w:rPr>
          <w:rFonts w:hint="eastAsia" w:ascii="仿宋" w:hAnsi="仿宋" w:eastAsia="仿宋" w:cs="仿宋"/>
          <w:sz w:val="32"/>
          <w:szCs w:val="32"/>
        </w:rPr>
        <w:t>2019年预算收支安排170.46万元，较2018年预算增加37.56万元，其中：基本支出增加37.56万元，</w:t>
      </w:r>
      <w:r>
        <w:rPr>
          <w:rFonts w:hint="eastAsia" w:ascii="仿宋" w:hAnsi="仿宋" w:eastAsia="仿宋" w:cs="仿宋_GB2312"/>
          <w:kern w:val="0"/>
          <w:sz w:val="32"/>
          <w:szCs w:val="32"/>
        </w:rPr>
        <w:t>主要是2019年对机关事业单位养老保险自2014年10月起进行清算，增加部分为单位20%部分养老保险清算资金</w:t>
      </w:r>
      <w:r>
        <w:rPr>
          <w:rFonts w:hint="eastAsia" w:ascii="仿宋" w:hAnsi="仿宋" w:eastAsia="仿宋" w:cs="仿宋"/>
          <w:sz w:val="32"/>
          <w:szCs w:val="32"/>
        </w:rPr>
        <w:t>。</w:t>
      </w:r>
    </w:p>
    <w:p>
      <w:pPr>
        <w:pStyle w:val="10"/>
        <w:widowControl/>
        <w:spacing w:line="360" w:lineRule="auto"/>
        <w:ind w:left="720" w:firstLine="0" w:firstLineChars="0"/>
        <w:jc w:val="left"/>
        <w:rPr>
          <w:rFonts w:ascii="仿宋_GB2312" w:hAnsi="Calibri" w:eastAsia="仿宋_GB2312" w:cs="仿宋_GB2312"/>
          <w:b/>
          <w:bCs/>
          <w:kern w:val="0"/>
          <w:sz w:val="32"/>
          <w:szCs w:val="32"/>
        </w:rPr>
      </w:pPr>
      <w:r>
        <w:rPr>
          <w:rFonts w:hint="eastAsia" w:ascii="仿宋_GB2312" w:hAnsi="Calibri" w:eastAsia="仿宋_GB2312" w:cs="仿宋_GB2312"/>
          <w:b/>
          <w:bCs/>
          <w:kern w:val="0"/>
          <w:sz w:val="32"/>
          <w:szCs w:val="32"/>
        </w:rPr>
        <w:t>三、机关运行经费情况</w:t>
      </w:r>
    </w:p>
    <w:p>
      <w:pPr>
        <w:widowControl/>
        <w:spacing w:line="360" w:lineRule="auto"/>
        <w:ind w:firstLine="640" w:firstLineChars="200"/>
        <w:jc w:val="left"/>
        <w:rPr>
          <w:rFonts w:ascii="仿宋_GB2312" w:hAnsi="Calibri" w:eastAsia="仿宋_GB2312" w:cs="仿宋_GB2312"/>
          <w:kern w:val="0"/>
          <w:sz w:val="32"/>
          <w:szCs w:val="32"/>
        </w:rPr>
      </w:pPr>
      <w:r>
        <w:rPr>
          <w:rFonts w:hint="eastAsia" w:ascii="仿宋_GB2312" w:hAnsi="Calibri" w:eastAsia="仿宋_GB2312" w:cs="仿宋_GB2312"/>
          <w:kern w:val="0"/>
          <w:sz w:val="32"/>
          <w:szCs w:val="32"/>
        </w:rPr>
        <w:t>日常公用经费安排8万元，包括：办公费、差旅费、交通费、会议费、招待费、其他支出等。</w:t>
      </w:r>
    </w:p>
    <w:p>
      <w:pPr>
        <w:widowControl/>
        <w:spacing w:line="360" w:lineRule="auto"/>
        <w:ind w:firstLine="643" w:firstLineChars="200"/>
        <w:jc w:val="left"/>
        <w:rPr>
          <w:rFonts w:ascii="仿宋_GB2312" w:hAnsi="Calibri" w:eastAsia="仿宋_GB2312" w:cs="仿宋_GB2312"/>
          <w:b/>
          <w:bCs/>
          <w:kern w:val="0"/>
          <w:sz w:val="32"/>
          <w:szCs w:val="32"/>
        </w:rPr>
      </w:pPr>
      <w:r>
        <w:rPr>
          <w:rFonts w:hint="eastAsia" w:ascii="仿宋_GB2312" w:hAnsi="Calibri" w:eastAsia="仿宋_GB2312" w:cs="仿宋_GB2312"/>
          <w:b/>
          <w:bCs/>
          <w:kern w:val="0"/>
          <w:sz w:val="32"/>
          <w:szCs w:val="32"/>
        </w:rPr>
        <w:t>四、“三公”经费预算情况</w:t>
      </w:r>
    </w:p>
    <w:p>
      <w:pPr>
        <w:widowControl/>
        <w:spacing w:line="360" w:lineRule="auto"/>
        <w:ind w:firstLine="972" w:firstLineChars="304"/>
        <w:jc w:val="left"/>
        <w:rPr>
          <w:rFonts w:ascii="仿宋_GB2312" w:hAnsi="Calibri" w:eastAsia="仿宋_GB2312" w:cs="仿宋_GB2312"/>
          <w:kern w:val="0"/>
          <w:sz w:val="32"/>
          <w:szCs w:val="32"/>
        </w:rPr>
      </w:pPr>
      <w:r>
        <w:rPr>
          <w:rFonts w:hint="eastAsia" w:ascii="仿宋" w:hAnsi="仿宋" w:eastAsia="仿宋" w:cs="Times New Roman"/>
          <w:sz w:val="32"/>
          <w:szCs w:val="32"/>
        </w:rPr>
        <w:t>2019</w:t>
      </w:r>
      <w:r>
        <w:rPr>
          <w:rFonts w:hint="eastAsia" w:ascii="仿宋" w:hAnsi="仿宋" w:eastAsia="仿宋" w:cs="方正仿宋_GBK"/>
          <w:sz w:val="32"/>
          <w:szCs w:val="32"/>
        </w:rPr>
        <w:t>年，我单位</w:t>
      </w:r>
      <w:r>
        <w:rPr>
          <w:rFonts w:hint="eastAsia" w:ascii="仿宋" w:hAnsi="仿宋" w:eastAsia="仿宋" w:cs="Times New Roman"/>
          <w:sz w:val="32"/>
          <w:szCs w:val="32"/>
        </w:rPr>
        <w:t>“</w:t>
      </w:r>
      <w:r>
        <w:rPr>
          <w:rFonts w:hint="eastAsia" w:ascii="仿宋" w:hAnsi="仿宋" w:eastAsia="仿宋" w:cs="方正仿宋_GBK"/>
          <w:sz w:val="32"/>
          <w:szCs w:val="32"/>
        </w:rPr>
        <w:t>三公</w:t>
      </w:r>
      <w:r>
        <w:rPr>
          <w:rFonts w:hint="eastAsia" w:ascii="仿宋" w:hAnsi="仿宋" w:eastAsia="仿宋" w:cs="Times New Roman"/>
          <w:sz w:val="32"/>
          <w:szCs w:val="32"/>
        </w:rPr>
        <w:t>”</w:t>
      </w:r>
      <w:r>
        <w:rPr>
          <w:rFonts w:hint="eastAsia" w:ascii="仿宋" w:hAnsi="仿宋" w:eastAsia="仿宋" w:cs="方正仿宋_GBK"/>
          <w:sz w:val="32"/>
          <w:szCs w:val="32"/>
        </w:rPr>
        <w:t>经费预算安排2.5万元，其中因公出国（境）费0万元；公务用车购置及运维费2.5万元（其中：公务用车购置费为0万元，公务用车运行费0.5万元</w:t>
      </w:r>
      <w:r>
        <w:rPr>
          <w:rFonts w:ascii="仿宋" w:hAnsi="仿宋" w:eastAsia="仿宋" w:cs="Times New Roman"/>
          <w:sz w:val="32"/>
          <w:szCs w:val="32"/>
        </w:rPr>
        <w:t>)</w:t>
      </w:r>
      <w:r>
        <w:rPr>
          <w:rFonts w:hint="eastAsia" w:ascii="仿宋" w:hAnsi="仿宋" w:eastAsia="仿宋" w:cs="方正仿宋_GBK"/>
          <w:sz w:val="32"/>
          <w:szCs w:val="32"/>
        </w:rPr>
        <w:t>；公务接待费0万元,培训费2万元。因公出国（境）费与2018年相持平；公务用车购置费与2018年相比持平；公务用车运行费与2018年相比减少2万元，主要原因</w:t>
      </w:r>
      <w:r>
        <w:rPr>
          <w:rFonts w:hint="eastAsia" w:ascii="仿宋_GB2312" w:hAnsi="Calibri" w:eastAsia="仿宋_GB2312" w:cs="仿宋_GB2312"/>
          <w:kern w:val="0"/>
          <w:sz w:val="32"/>
          <w:szCs w:val="32"/>
        </w:rPr>
        <w:t>单位无公车，实行车补，油修费用预算安排减少；</w:t>
      </w:r>
      <w:r>
        <w:rPr>
          <w:rFonts w:hint="eastAsia" w:ascii="仿宋" w:hAnsi="仿宋" w:eastAsia="仿宋" w:cs="方正仿宋_GBK"/>
          <w:sz w:val="32"/>
          <w:szCs w:val="32"/>
        </w:rPr>
        <w:t>公务接待费0万元与2018年相比持平；培训费与2018年相比增加2万元，主要原因业务量增加。</w:t>
      </w:r>
    </w:p>
    <w:p>
      <w:pPr>
        <w:spacing w:line="560" w:lineRule="exact"/>
        <w:ind w:firstLine="640"/>
        <w:rPr>
          <w:rFonts w:ascii="黑体" w:hAnsi="黑体" w:eastAsia="黑体" w:cs="Times New Roman"/>
          <w:sz w:val="32"/>
          <w:szCs w:val="32"/>
        </w:rPr>
      </w:pPr>
      <w:r>
        <w:rPr>
          <w:rFonts w:hint="eastAsia" w:ascii="黑体" w:hAnsi="黑体" w:eastAsia="黑体" w:cs="黑体"/>
          <w:sz w:val="32"/>
          <w:szCs w:val="32"/>
        </w:rPr>
        <w:t>五、绩效预算信息</w:t>
      </w:r>
    </w:p>
    <w:p>
      <w:pPr>
        <w:spacing w:line="360" w:lineRule="auto"/>
        <w:ind w:firstLine="640" w:firstLineChars="200"/>
        <w:jc w:val="left"/>
        <w:rPr>
          <w:rFonts w:ascii="仿宋_GB2312" w:hAnsi="Times New Roman" w:eastAsia="仿宋_GB2312"/>
          <w:sz w:val="32"/>
          <w:szCs w:val="32"/>
        </w:rPr>
      </w:pPr>
      <w:r>
        <w:rPr>
          <w:rFonts w:hint="eastAsia" w:ascii="仿宋_GB2312" w:hAnsi="Times New Roman" w:eastAsia="仿宋_GB2312"/>
          <w:sz w:val="32"/>
          <w:szCs w:val="32"/>
        </w:rPr>
        <w:t>（一）总体绩效目标</w:t>
      </w:r>
    </w:p>
    <w:p>
      <w:pPr>
        <w:spacing w:line="360" w:lineRule="auto"/>
        <w:ind w:firstLine="630"/>
        <w:jc w:val="left"/>
        <w:rPr>
          <w:rFonts w:ascii="仿宋_GB2312" w:hAnsi="Times New Roman" w:eastAsia="仿宋_GB2312"/>
          <w:sz w:val="32"/>
          <w:szCs w:val="32"/>
        </w:rPr>
      </w:pPr>
      <w:r>
        <w:rPr>
          <w:rFonts w:hint="eastAsia" w:ascii="仿宋_GB2312" w:hAnsi="Times New Roman" w:eastAsia="仿宋_GB2312"/>
          <w:sz w:val="32"/>
          <w:szCs w:val="32"/>
        </w:rPr>
        <w:t>持续做好工会组织机构改革，健全完善各项制度机制，进一步夯实工会组织基础。改进工作作风，把职工群众满意不满意作为衡量工会工作的标准，不断提升服务职工群众的能力水平。丰富工会工作内容，坚持工作重心下移，深入开展调查研究，着力解决职工群众最关心、最关注的切身利益问题，不断增强工会组织的政治性、先进性和群众性。</w:t>
      </w:r>
    </w:p>
    <w:p>
      <w:pPr>
        <w:spacing w:line="360" w:lineRule="auto"/>
        <w:ind w:firstLine="640" w:firstLineChars="200"/>
        <w:jc w:val="left"/>
        <w:outlineLvl w:val="0"/>
        <w:rPr>
          <w:rFonts w:ascii="仿宋_GB2312" w:hAnsi="Times New Roman" w:eastAsia="仿宋_GB2312"/>
          <w:sz w:val="32"/>
          <w:szCs w:val="32"/>
        </w:rPr>
      </w:pPr>
      <w:r>
        <w:rPr>
          <w:rFonts w:hint="eastAsia" w:ascii="仿宋_GB2312" w:hAnsi="Times New Roman" w:eastAsia="仿宋_GB2312"/>
          <w:sz w:val="32"/>
          <w:szCs w:val="32"/>
        </w:rPr>
        <w:t>（二）分项绩效目标</w:t>
      </w:r>
    </w:p>
    <w:p>
      <w:pPr>
        <w:spacing w:line="360" w:lineRule="auto"/>
        <w:ind w:firstLine="640" w:firstLineChars="200"/>
        <w:jc w:val="left"/>
        <w:outlineLvl w:val="0"/>
        <w:rPr>
          <w:rFonts w:ascii="仿宋_GB2312" w:hAnsi="Times New Roman" w:eastAsia="仿宋_GB2312"/>
          <w:sz w:val="32"/>
          <w:szCs w:val="32"/>
        </w:rPr>
      </w:pPr>
      <w:r>
        <w:rPr>
          <w:rFonts w:hint="eastAsia" w:ascii="仿宋_GB2312" w:hAnsi="Times New Roman" w:eastAsia="仿宋_GB2312"/>
          <w:sz w:val="32"/>
          <w:szCs w:val="32"/>
        </w:rPr>
        <w:t>1.坚持用法治思维开展工作，不断提高依法履职、依法维权能力。</w:t>
      </w:r>
    </w:p>
    <w:p>
      <w:pPr>
        <w:spacing w:line="360" w:lineRule="auto"/>
        <w:ind w:firstLine="640" w:firstLineChars="200"/>
        <w:jc w:val="left"/>
        <w:outlineLvl w:val="0"/>
        <w:rPr>
          <w:rFonts w:ascii="仿宋_GB2312" w:hAnsi="Times New Roman" w:eastAsia="仿宋_GB2312"/>
          <w:sz w:val="32"/>
          <w:szCs w:val="32"/>
        </w:rPr>
      </w:pPr>
      <w:r>
        <w:rPr>
          <w:rFonts w:hint="eastAsia" w:ascii="仿宋_GB2312" w:hAnsi="Times New Roman" w:eastAsia="仿宋_GB2312"/>
          <w:sz w:val="32"/>
          <w:szCs w:val="32"/>
        </w:rPr>
        <w:t>2.积极实施精准帮扶，为职工做好事办实事解难事。</w:t>
      </w:r>
    </w:p>
    <w:p>
      <w:pPr>
        <w:spacing w:line="360" w:lineRule="auto"/>
        <w:ind w:firstLine="640" w:firstLineChars="200"/>
        <w:jc w:val="left"/>
        <w:outlineLvl w:val="0"/>
        <w:rPr>
          <w:rFonts w:ascii="仿宋_GB2312" w:hAnsi="Times New Roman" w:eastAsia="仿宋_GB2312"/>
          <w:sz w:val="32"/>
          <w:szCs w:val="32"/>
        </w:rPr>
      </w:pPr>
      <w:r>
        <w:rPr>
          <w:rFonts w:hint="eastAsia" w:ascii="仿宋_GB2312" w:hAnsi="Times New Roman" w:eastAsia="仿宋_GB2312"/>
          <w:sz w:val="32"/>
          <w:szCs w:val="32"/>
        </w:rPr>
        <w:t>3.以改革创新精神加强自身建设，不断提高履职能力和服务水平。在突出抓好以上工作的同时，还要要突出女职工工作特色，加强对女职工的维权服务。理顺产业工会组织体制，建立起具有产业特征和行业特点的产业工会格局。</w:t>
      </w:r>
    </w:p>
    <w:p>
      <w:pPr>
        <w:ind w:firstLine="640" w:firstLineChars="200"/>
        <w:rPr>
          <w:rFonts w:ascii="Calibri" w:hAnsi="Calibri" w:eastAsia="仿宋_GB2312" w:cs="Calibri"/>
          <w:sz w:val="32"/>
          <w:szCs w:val="32"/>
        </w:rPr>
      </w:pPr>
      <w:r>
        <w:rPr>
          <w:rFonts w:hint="eastAsia" w:ascii="Calibri" w:hAnsi="Calibri" w:eastAsia="仿宋_GB2312" w:cs="Calibri"/>
          <w:sz w:val="32"/>
          <w:szCs w:val="32"/>
        </w:rPr>
        <w:t>（三）工作保障措施</w:t>
      </w:r>
    </w:p>
    <w:p>
      <w:pPr>
        <w:spacing w:line="360" w:lineRule="auto"/>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围绕职工合法权益的重大问题进行调查研究，向市总工会反映职工群众的思想、愿望和要求，提出意见和建议。参与涉及职工切身利益的有关地方性法规和政策、措施、制度的拟定；参与职工重大伤亡事故的调查处理。依照法律和《中国工会章程》，组织和指导全县各级工会坚定不移地落实党的全心全意依靠工人阶级的根本指导方针，进一步突出和履行维护职能。</w:t>
      </w:r>
    </w:p>
    <w:p>
      <w:pPr>
        <w:spacing w:line="360" w:lineRule="auto"/>
        <w:ind w:firstLine="640" w:firstLineChars="200"/>
        <w:rPr>
          <w:rFonts w:hint="eastAsia" w:ascii="仿宋_GB2312" w:hAnsi="仿宋_GB2312" w:eastAsia="仿宋_GB2312" w:cs="仿宋_GB2312"/>
          <w:color w:val="333333"/>
          <w:kern w:val="0"/>
          <w:sz w:val="32"/>
          <w:szCs w:val="32"/>
        </w:rPr>
      </w:pPr>
    </w:p>
    <w:p>
      <w:pPr>
        <w:spacing w:line="360" w:lineRule="auto"/>
        <w:ind w:firstLine="640" w:firstLineChars="200"/>
        <w:rPr>
          <w:rFonts w:ascii="Calibri" w:hAnsi="Calibri" w:eastAsia="仿宋_GB2312" w:cs="Calibri"/>
          <w:sz w:val="32"/>
          <w:szCs w:val="32"/>
        </w:rPr>
        <w:sectPr>
          <w:pgSz w:w="11907" w:h="16839"/>
          <w:pgMar w:top="1020" w:right="1134" w:bottom="1020" w:left="1134" w:header="851" w:footer="992" w:gutter="0"/>
          <w:cols w:space="425" w:num="1"/>
          <w:docGrid w:type="lines" w:linePitch="312" w:charSpace="0"/>
        </w:sectPr>
      </w:pPr>
    </w:p>
    <w:tbl>
      <w:tblPr>
        <w:tblStyle w:val="6"/>
        <w:tblW w:w="1421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41"/>
        <w:gridCol w:w="1276"/>
        <w:gridCol w:w="2976"/>
        <w:gridCol w:w="2976"/>
        <w:gridCol w:w="1198"/>
        <w:gridCol w:w="850"/>
        <w:gridCol w:w="851"/>
        <w:gridCol w:w="850"/>
        <w:gridCol w:w="89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0767" w:type="dxa"/>
            <w:gridSpan w:val="5"/>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711</w:t>
            </w:r>
            <w:r>
              <w:rPr>
                <w:rFonts w:hint="eastAsia" w:ascii="方正小标宋_GBK" w:eastAsia="方正小标宋_GBK"/>
                <w:sz w:val="24"/>
              </w:rPr>
              <w:t>成安县总工会</w:t>
            </w:r>
          </w:p>
        </w:tc>
        <w:tc>
          <w:tcPr>
            <w:tcW w:w="3448" w:type="dxa"/>
            <w:gridSpan w:val="4"/>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sz w:val="24"/>
              </w:rPr>
            </w:pPr>
            <w:r>
              <w:rPr>
                <w:rFonts w:hint="eastAsia" w:ascii="方正书宋_GBK" w:eastAsia="方正书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restart"/>
            <w:vAlign w:val="center"/>
          </w:tcPr>
          <w:p>
            <w:pPr>
              <w:spacing w:line="300" w:lineRule="exact"/>
              <w:jc w:val="center"/>
              <w:rPr>
                <w:rFonts w:ascii="方正书宋_GBK" w:eastAsia="方正书宋_GBK"/>
                <w:b/>
              </w:rPr>
            </w:pPr>
            <w:r>
              <w:rPr>
                <w:rFonts w:hint="eastAsia" w:ascii="方正书宋_GBK" w:eastAsia="方正书宋_GBK"/>
                <w:b/>
              </w:rPr>
              <w:t>职责活动</w:t>
            </w:r>
          </w:p>
        </w:tc>
        <w:tc>
          <w:tcPr>
            <w:tcW w:w="1276" w:type="dxa"/>
            <w:vMerge w:val="restart"/>
            <w:vAlign w:val="center"/>
          </w:tcPr>
          <w:p>
            <w:pPr>
              <w:spacing w:line="300" w:lineRule="exact"/>
              <w:jc w:val="center"/>
              <w:rPr>
                <w:rFonts w:ascii="方正书宋_GBK" w:eastAsia="方正书宋_GBK"/>
                <w:b/>
              </w:rPr>
            </w:pPr>
            <w:r>
              <w:rPr>
                <w:rFonts w:hint="eastAsia" w:ascii="方正书宋_GBK" w:eastAsia="方正书宋_GBK"/>
                <w:b/>
              </w:rPr>
              <w:t>年度预算数</w:t>
            </w:r>
          </w:p>
        </w:tc>
        <w:tc>
          <w:tcPr>
            <w:tcW w:w="2976" w:type="dxa"/>
            <w:vMerge w:val="restart"/>
            <w:vAlign w:val="center"/>
          </w:tcPr>
          <w:p>
            <w:pPr>
              <w:spacing w:line="300" w:lineRule="exact"/>
              <w:jc w:val="center"/>
              <w:rPr>
                <w:rFonts w:ascii="方正书宋_GBK" w:eastAsia="方正书宋_GBK"/>
                <w:b/>
              </w:rPr>
            </w:pPr>
            <w:r>
              <w:rPr>
                <w:rFonts w:hint="eastAsia" w:ascii="方正书宋_GBK" w:eastAsia="方正书宋_GBK"/>
                <w:b/>
              </w:rPr>
              <w:t>内容描述</w:t>
            </w:r>
          </w:p>
        </w:tc>
        <w:tc>
          <w:tcPr>
            <w:tcW w:w="2976" w:type="dxa"/>
            <w:vMerge w:val="restart"/>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198" w:type="dxa"/>
            <w:vMerge w:val="restart"/>
            <w:vAlign w:val="center"/>
          </w:tcPr>
          <w:p>
            <w:pPr>
              <w:spacing w:line="300" w:lineRule="exact"/>
              <w:jc w:val="center"/>
              <w:rPr>
                <w:rFonts w:ascii="方正书宋_GBK" w:eastAsia="方正书宋_GBK"/>
                <w:b/>
              </w:rPr>
            </w:pPr>
            <w:r>
              <w:rPr>
                <w:rFonts w:hint="eastAsia" w:ascii="方正书宋_GBK" w:eastAsia="方正书宋_GBK"/>
                <w:b/>
              </w:rPr>
              <w:t>绩效指标</w:t>
            </w:r>
          </w:p>
        </w:tc>
        <w:tc>
          <w:tcPr>
            <w:tcW w:w="3448" w:type="dxa"/>
            <w:gridSpan w:val="4"/>
            <w:vAlign w:val="center"/>
          </w:tcPr>
          <w:p>
            <w:pPr>
              <w:spacing w:line="300" w:lineRule="exact"/>
              <w:jc w:val="center"/>
              <w:rPr>
                <w:rFonts w:ascii="方正书宋_GBK" w:eastAsia="方正书宋_GBK"/>
                <w:b/>
              </w:rPr>
            </w:pPr>
            <w:r>
              <w:rPr>
                <w:rFonts w:hint="eastAsia" w:ascii="方正书宋_GBK" w:eastAsia="方正书宋_GBK"/>
                <w:b/>
              </w:rPr>
              <w:t>评价标准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continue"/>
            <w:vAlign w:val="center"/>
          </w:tcPr>
          <w:p>
            <w:pPr>
              <w:spacing w:line="300" w:lineRule="exact"/>
              <w:jc w:val="left"/>
              <w:outlineLvl w:val="0"/>
            </w:pPr>
          </w:p>
        </w:tc>
        <w:tc>
          <w:tcPr>
            <w:tcW w:w="1276" w:type="dxa"/>
            <w:vMerge w:val="continue"/>
            <w:vAlign w:val="center"/>
          </w:tcPr>
          <w:p>
            <w:pPr>
              <w:spacing w:line="300" w:lineRule="exact"/>
              <w:jc w:val="left"/>
              <w:outlineLvl w:val="0"/>
            </w:pPr>
          </w:p>
        </w:tc>
        <w:tc>
          <w:tcPr>
            <w:tcW w:w="2976" w:type="dxa"/>
            <w:vMerge w:val="continue"/>
            <w:vAlign w:val="center"/>
          </w:tcPr>
          <w:p>
            <w:pPr>
              <w:spacing w:line="300" w:lineRule="exact"/>
              <w:jc w:val="left"/>
              <w:outlineLvl w:val="0"/>
            </w:pPr>
          </w:p>
        </w:tc>
        <w:tc>
          <w:tcPr>
            <w:tcW w:w="2976" w:type="dxa"/>
            <w:vMerge w:val="continue"/>
            <w:vAlign w:val="center"/>
          </w:tcPr>
          <w:p>
            <w:pPr>
              <w:spacing w:line="300" w:lineRule="exact"/>
              <w:jc w:val="left"/>
              <w:outlineLvl w:val="0"/>
            </w:pPr>
          </w:p>
        </w:tc>
        <w:tc>
          <w:tcPr>
            <w:tcW w:w="1198" w:type="dxa"/>
            <w:vMerge w:val="continue"/>
            <w:vAlign w:val="center"/>
          </w:tcPr>
          <w:p>
            <w:pPr>
              <w:spacing w:line="300" w:lineRule="exact"/>
              <w:jc w:val="left"/>
              <w:outlineLvl w:val="0"/>
            </w:pPr>
          </w:p>
        </w:tc>
        <w:tc>
          <w:tcPr>
            <w:tcW w:w="850" w:type="dxa"/>
            <w:vAlign w:val="center"/>
          </w:tcPr>
          <w:p>
            <w:pPr>
              <w:spacing w:line="300" w:lineRule="exact"/>
              <w:jc w:val="center"/>
              <w:rPr>
                <w:rFonts w:ascii="方正书宋_GBK" w:eastAsia="方正书宋_GBK"/>
                <w:b/>
              </w:rPr>
            </w:pPr>
            <w:r>
              <w:rPr>
                <w:rFonts w:hint="eastAsia" w:ascii="方正书宋_GBK" w:eastAsia="方正书宋_GBK"/>
                <w:b/>
              </w:rPr>
              <w:t>优</w:t>
            </w:r>
          </w:p>
        </w:tc>
        <w:tc>
          <w:tcPr>
            <w:tcW w:w="851" w:type="dxa"/>
            <w:vAlign w:val="center"/>
          </w:tcPr>
          <w:p>
            <w:pPr>
              <w:spacing w:line="300" w:lineRule="exact"/>
              <w:jc w:val="center"/>
              <w:rPr>
                <w:rFonts w:ascii="方正书宋_GBK" w:eastAsia="方正书宋_GBK"/>
                <w:b/>
              </w:rPr>
            </w:pPr>
            <w:r>
              <w:rPr>
                <w:rFonts w:hint="eastAsia" w:ascii="方正书宋_GBK" w:eastAsia="方正书宋_GBK"/>
                <w:b/>
              </w:rPr>
              <w:t>良</w:t>
            </w:r>
          </w:p>
        </w:tc>
        <w:tc>
          <w:tcPr>
            <w:tcW w:w="850" w:type="dxa"/>
            <w:vAlign w:val="center"/>
          </w:tcPr>
          <w:p>
            <w:pPr>
              <w:spacing w:line="300" w:lineRule="exact"/>
              <w:jc w:val="center"/>
              <w:rPr>
                <w:rFonts w:ascii="方正书宋_GBK" w:eastAsia="方正书宋_GBK"/>
                <w:b/>
              </w:rPr>
            </w:pPr>
            <w:r>
              <w:rPr>
                <w:rFonts w:hint="eastAsia" w:ascii="方正书宋_GBK" w:eastAsia="方正书宋_GBK"/>
                <w:b/>
              </w:rPr>
              <w:t>中</w:t>
            </w:r>
          </w:p>
        </w:tc>
        <w:tc>
          <w:tcPr>
            <w:tcW w:w="897" w:type="dxa"/>
            <w:vAlign w:val="center"/>
          </w:tcPr>
          <w:p>
            <w:pPr>
              <w:spacing w:line="300" w:lineRule="exact"/>
              <w:jc w:val="center"/>
              <w:rPr>
                <w:rFonts w:ascii="方正书宋_GBK" w:eastAsia="方正书宋_GBK"/>
                <w:b/>
              </w:rPr>
            </w:pPr>
            <w:r>
              <w:rPr>
                <w:rFonts w:hint="eastAsia" w:ascii="方正书宋_GBK" w:eastAsia="方正书宋_GBK"/>
                <w:b/>
              </w:rPr>
              <w:t>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pPr>
              <w:spacing w:line="300" w:lineRule="exact"/>
              <w:jc w:val="left"/>
              <w:rPr>
                <w:rFonts w:ascii="方正书宋_GBK" w:eastAsia="方正书宋_GBK"/>
                <w:b/>
              </w:rPr>
            </w:pPr>
            <w:r>
              <w:rPr>
                <w:rFonts w:hint="eastAsia" w:ascii="方正书宋_GBK" w:eastAsia="方正书宋_GBK"/>
                <w:b/>
              </w:rPr>
              <w:t>维护职工合法权益</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0</w:t>
            </w:r>
          </w:p>
        </w:tc>
        <w:tc>
          <w:tcPr>
            <w:tcW w:w="2976" w:type="dxa"/>
            <w:vAlign w:val="center"/>
          </w:tcPr>
          <w:p>
            <w:pPr>
              <w:spacing w:line="300" w:lineRule="exact"/>
              <w:jc w:val="left"/>
              <w:rPr>
                <w:rFonts w:ascii="方正书宋_GBK" w:eastAsia="方正书宋_GBK"/>
              </w:rPr>
            </w:pPr>
            <w:r>
              <w:rPr>
                <w:rFonts w:hint="eastAsia" w:ascii="方正书宋_GBK" w:eastAsia="方正书宋_GBK"/>
              </w:rPr>
              <w:t>指导全县各级组织职工开展民主选举、民主决策、民主管理和民主监督工作；推动基层工会建立集体合同制度、工资集体协商和监督保证机制；参与职工安全生产保护工作；为工会组织、干部、职工提供维权渠道。</w:t>
            </w:r>
          </w:p>
        </w:tc>
        <w:tc>
          <w:tcPr>
            <w:tcW w:w="2976" w:type="dxa"/>
            <w:vAlign w:val="center"/>
          </w:tcPr>
          <w:p>
            <w:pPr>
              <w:spacing w:line="300" w:lineRule="exact"/>
              <w:jc w:val="left"/>
              <w:rPr>
                <w:rFonts w:ascii="方正书宋_GBK" w:eastAsia="方正书宋_GBK"/>
              </w:rPr>
            </w:pPr>
            <w:r>
              <w:rPr>
                <w:rFonts w:hint="eastAsia" w:ascii="方正书宋_GBK" w:eastAsia="方正书宋_GBK"/>
              </w:rPr>
              <w:t>确保职工合法权益得到有效保障，改善困难劳模生活困境，提升广大职工技术技能素质。</w:t>
            </w:r>
          </w:p>
        </w:tc>
        <w:tc>
          <w:tcPr>
            <w:tcW w:w="1198" w:type="dxa"/>
            <w:vAlign w:val="center"/>
          </w:tcPr>
          <w:p>
            <w:pPr>
              <w:spacing w:line="300" w:lineRule="exact"/>
              <w:jc w:val="left"/>
              <w:rPr>
                <w:rFonts w:ascii="方正书宋_GBK" w:eastAsia="方正书宋_GBK"/>
              </w:rPr>
            </w:pPr>
          </w:p>
        </w:tc>
        <w:tc>
          <w:tcPr>
            <w:tcW w:w="850" w:type="dxa"/>
            <w:vAlign w:val="center"/>
          </w:tcPr>
          <w:p>
            <w:pPr>
              <w:spacing w:line="300" w:lineRule="exact"/>
              <w:jc w:val="center"/>
              <w:rPr>
                <w:rFonts w:ascii="方正书宋_GBK" w:eastAsia="方正书宋_GBK"/>
              </w:rPr>
            </w:pPr>
            <w:r>
              <w:rPr>
                <w:rFonts w:hint="eastAsia" w:ascii="宋体" w:hAnsi="宋体" w:eastAsia="宋体"/>
              </w:rPr>
              <w:t>≥</w:t>
            </w:r>
            <w:r>
              <w:rPr>
                <w:rFonts w:hint="eastAsia" w:ascii="方正书宋_GBK" w:eastAsia="方正书宋_GBK"/>
              </w:rPr>
              <w:t>95%</w:t>
            </w:r>
          </w:p>
        </w:tc>
        <w:tc>
          <w:tcPr>
            <w:tcW w:w="851" w:type="dxa"/>
            <w:vAlign w:val="center"/>
          </w:tcPr>
          <w:p>
            <w:pPr>
              <w:spacing w:line="300" w:lineRule="exact"/>
              <w:jc w:val="center"/>
              <w:rPr>
                <w:rFonts w:ascii="方正书宋_GBK" w:eastAsia="方正书宋_GBK"/>
              </w:rPr>
            </w:pPr>
            <w:r>
              <w:rPr>
                <w:rFonts w:hint="eastAsia" w:ascii="宋体" w:hAnsi="宋体" w:eastAsia="宋体"/>
              </w:rPr>
              <w:t>≥</w:t>
            </w:r>
            <w:r>
              <w:rPr>
                <w:rFonts w:hint="eastAsia" w:ascii="方正书宋_GBK" w:eastAsia="方正书宋_GBK"/>
              </w:rPr>
              <w:t>93%</w:t>
            </w:r>
          </w:p>
        </w:tc>
        <w:tc>
          <w:tcPr>
            <w:tcW w:w="850" w:type="dxa"/>
            <w:vAlign w:val="center"/>
          </w:tcPr>
          <w:p>
            <w:pPr>
              <w:spacing w:line="300" w:lineRule="exact"/>
              <w:jc w:val="center"/>
              <w:rPr>
                <w:rFonts w:ascii="方正书宋_GBK" w:eastAsia="方正书宋_GBK"/>
              </w:rPr>
            </w:pPr>
            <w:r>
              <w:rPr>
                <w:rFonts w:hint="eastAsia" w:ascii="宋体" w:hAnsi="宋体" w:eastAsia="宋体"/>
              </w:rPr>
              <w:t>≥</w:t>
            </w:r>
            <w:r>
              <w:rPr>
                <w:rFonts w:hint="eastAsia" w:ascii="方正书宋_GBK" w:eastAsia="方正书宋_GBK"/>
              </w:rPr>
              <w:t>90%</w:t>
            </w:r>
          </w:p>
        </w:tc>
        <w:tc>
          <w:tcPr>
            <w:tcW w:w="897" w:type="dxa"/>
            <w:vAlign w:val="center"/>
          </w:tcPr>
          <w:p>
            <w:pPr>
              <w:spacing w:line="300" w:lineRule="exact"/>
              <w:jc w:val="center"/>
              <w:rPr>
                <w:rFonts w:ascii="方正书宋_GBK" w:eastAsia="方正书宋_GBK"/>
              </w:rPr>
            </w:pPr>
            <w:r>
              <w:rPr>
                <w:rFonts w:hint="eastAsia" w:ascii="宋体" w:hAnsi="宋体" w:eastAsia="宋体"/>
              </w:rPr>
              <w:t>＜</w:t>
            </w:r>
            <w:r>
              <w:rPr>
                <w:rFonts w:hint="eastAsia" w:ascii="方正书宋_GBK" w:eastAsia="方正书宋_GBK"/>
              </w:rPr>
              <w:t>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pPr>
              <w:spacing w:line="300" w:lineRule="exact"/>
              <w:jc w:val="left"/>
              <w:rPr>
                <w:rFonts w:ascii="方正书宋_GBK" w:eastAsia="方正书宋_GBK"/>
                <w:b/>
              </w:rPr>
            </w:pPr>
            <w:r>
              <w:rPr>
                <w:rFonts w:hint="eastAsia" w:ascii="方正书宋_GBK" w:eastAsia="方正书宋_GBK"/>
                <w:b/>
              </w:rPr>
              <w:t>提升职工技能及创新水平</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0</w:t>
            </w:r>
          </w:p>
        </w:tc>
        <w:tc>
          <w:tcPr>
            <w:tcW w:w="2976" w:type="dxa"/>
            <w:vAlign w:val="center"/>
          </w:tcPr>
          <w:p>
            <w:pPr>
              <w:spacing w:line="300" w:lineRule="exact"/>
              <w:jc w:val="left"/>
              <w:rPr>
                <w:rFonts w:ascii="方正书宋_GBK" w:eastAsia="方正书宋_GBK"/>
              </w:rPr>
            </w:pPr>
            <w:r>
              <w:rPr>
                <w:rFonts w:hint="eastAsia" w:ascii="方正书宋_GBK" w:eastAsia="方正书宋_GBK"/>
              </w:rPr>
              <w:t>围绕县委、县政府提出的重点工程、重点项目和重点领域，组织全县职工开展劳动竞赛，大力推进实施职工经济技术创新工程。</w:t>
            </w:r>
          </w:p>
        </w:tc>
        <w:tc>
          <w:tcPr>
            <w:tcW w:w="2976" w:type="dxa"/>
            <w:vAlign w:val="center"/>
          </w:tcPr>
          <w:p>
            <w:pPr>
              <w:spacing w:line="300" w:lineRule="exact"/>
              <w:jc w:val="left"/>
              <w:rPr>
                <w:rFonts w:ascii="方正书宋_GBK" w:eastAsia="方正书宋_GBK"/>
              </w:rPr>
            </w:pPr>
            <w:r>
              <w:rPr>
                <w:rFonts w:hint="eastAsia" w:ascii="方正书宋_GBK" w:eastAsia="方正书宋_GBK"/>
              </w:rPr>
              <w:t>有效促进全县重点工程、重点项目和重点领域的建设，为全县经济社会持续健康发展建功立业。</w:t>
            </w:r>
          </w:p>
        </w:tc>
        <w:tc>
          <w:tcPr>
            <w:tcW w:w="1198" w:type="dxa"/>
            <w:vAlign w:val="center"/>
          </w:tcPr>
          <w:p>
            <w:pPr>
              <w:spacing w:line="300" w:lineRule="exact"/>
              <w:jc w:val="left"/>
              <w:rPr>
                <w:rFonts w:ascii="方正书宋_GBK" w:eastAsia="方正书宋_GBK"/>
              </w:rPr>
            </w:pPr>
          </w:p>
        </w:tc>
        <w:tc>
          <w:tcPr>
            <w:tcW w:w="850" w:type="dxa"/>
            <w:vAlign w:val="center"/>
          </w:tcPr>
          <w:p>
            <w:pPr>
              <w:spacing w:line="300" w:lineRule="exact"/>
              <w:jc w:val="center"/>
              <w:rPr>
                <w:rFonts w:ascii="方正书宋_GBK" w:eastAsia="方正书宋_GBK"/>
              </w:rPr>
            </w:pPr>
            <w:r>
              <w:rPr>
                <w:rFonts w:hint="eastAsia" w:ascii="宋体" w:hAnsi="宋体" w:eastAsia="宋体"/>
              </w:rPr>
              <w:t>≥</w:t>
            </w:r>
            <w:r>
              <w:rPr>
                <w:rFonts w:hint="eastAsia" w:ascii="方正书宋_GBK" w:eastAsia="方正书宋_GBK"/>
              </w:rPr>
              <w:t>95%</w:t>
            </w:r>
          </w:p>
        </w:tc>
        <w:tc>
          <w:tcPr>
            <w:tcW w:w="851" w:type="dxa"/>
            <w:vAlign w:val="center"/>
          </w:tcPr>
          <w:p>
            <w:pPr>
              <w:spacing w:line="300" w:lineRule="exact"/>
              <w:jc w:val="center"/>
              <w:rPr>
                <w:rFonts w:ascii="方正书宋_GBK" w:eastAsia="方正书宋_GBK"/>
              </w:rPr>
            </w:pPr>
            <w:r>
              <w:rPr>
                <w:rFonts w:hint="eastAsia" w:ascii="宋体" w:hAnsi="宋体" w:eastAsia="宋体"/>
              </w:rPr>
              <w:t>≥</w:t>
            </w:r>
            <w:r>
              <w:rPr>
                <w:rFonts w:hint="eastAsia" w:ascii="方正书宋_GBK" w:eastAsia="方正书宋_GBK"/>
              </w:rPr>
              <w:t>93%</w:t>
            </w:r>
          </w:p>
        </w:tc>
        <w:tc>
          <w:tcPr>
            <w:tcW w:w="850" w:type="dxa"/>
            <w:vAlign w:val="center"/>
          </w:tcPr>
          <w:p>
            <w:pPr>
              <w:spacing w:line="300" w:lineRule="exact"/>
              <w:jc w:val="center"/>
              <w:rPr>
                <w:rFonts w:ascii="方正书宋_GBK" w:eastAsia="方正书宋_GBK"/>
              </w:rPr>
            </w:pPr>
            <w:r>
              <w:rPr>
                <w:rFonts w:hint="eastAsia" w:ascii="宋体" w:hAnsi="宋体" w:eastAsia="宋体"/>
              </w:rPr>
              <w:t>≥</w:t>
            </w:r>
            <w:r>
              <w:rPr>
                <w:rFonts w:hint="eastAsia" w:ascii="方正书宋_GBK" w:eastAsia="方正书宋_GBK"/>
              </w:rPr>
              <w:t>90%</w:t>
            </w:r>
          </w:p>
        </w:tc>
        <w:tc>
          <w:tcPr>
            <w:tcW w:w="897" w:type="dxa"/>
            <w:vAlign w:val="center"/>
          </w:tcPr>
          <w:p>
            <w:pPr>
              <w:spacing w:line="300" w:lineRule="exact"/>
              <w:jc w:val="center"/>
              <w:rPr>
                <w:rFonts w:ascii="方正书宋_GBK" w:eastAsia="方正书宋_GBK"/>
              </w:rPr>
            </w:pPr>
            <w:r>
              <w:rPr>
                <w:rFonts w:hint="eastAsia" w:ascii="宋体" w:hAnsi="宋体" w:eastAsia="宋体"/>
              </w:rPr>
              <w:t>＜</w:t>
            </w:r>
            <w:r>
              <w:rPr>
                <w:rFonts w:hint="eastAsia" w:ascii="方正书宋_GBK" w:eastAsia="方正书宋_GBK"/>
              </w:rPr>
              <w:t>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pPr>
              <w:spacing w:line="300" w:lineRule="exact"/>
              <w:jc w:val="left"/>
              <w:rPr>
                <w:rFonts w:ascii="方正书宋_GBK" w:eastAsia="方正书宋_GBK"/>
                <w:b/>
              </w:rPr>
            </w:pPr>
            <w:r>
              <w:rPr>
                <w:rFonts w:hint="eastAsia" w:ascii="方正书宋_GBK" w:eastAsia="方正书宋_GBK"/>
                <w:b/>
              </w:rPr>
              <w:t>工会事务管理</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8</w:t>
            </w:r>
          </w:p>
        </w:tc>
        <w:tc>
          <w:tcPr>
            <w:tcW w:w="2976" w:type="dxa"/>
            <w:vAlign w:val="center"/>
          </w:tcPr>
          <w:p>
            <w:pPr>
              <w:spacing w:line="300" w:lineRule="exact"/>
              <w:jc w:val="left"/>
              <w:rPr>
                <w:rFonts w:ascii="方正书宋_GBK" w:eastAsia="方正书宋_GBK"/>
              </w:rPr>
            </w:pPr>
            <w:r>
              <w:rPr>
                <w:rFonts w:hint="eastAsia" w:ascii="方正书宋_GBK" w:eastAsia="方正书宋_GBK"/>
              </w:rPr>
              <w:t>研究指导全县工会自身建设；承担县委、县政府及全国总工会交办的其他事项。</w:t>
            </w:r>
          </w:p>
        </w:tc>
        <w:tc>
          <w:tcPr>
            <w:tcW w:w="2976" w:type="dxa"/>
            <w:vAlign w:val="center"/>
          </w:tcPr>
          <w:p>
            <w:pPr>
              <w:spacing w:line="300" w:lineRule="exact"/>
              <w:jc w:val="left"/>
              <w:rPr>
                <w:rFonts w:ascii="方正书宋_GBK" w:eastAsia="方正书宋_GBK"/>
              </w:rPr>
            </w:pPr>
            <w:r>
              <w:rPr>
                <w:rFonts w:hint="eastAsia" w:ascii="方正书宋_GBK" w:eastAsia="方正书宋_GBK"/>
              </w:rPr>
              <w:t>加强组织和干部队伍建设，提高干部业务素质和大型企事业单位工会领导干部水平，促进工会事业发展。</w:t>
            </w:r>
          </w:p>
        </w:tc>
        <w:tc>
          <w:tcPr>
            <w:tcW w:w="1198" w:type="dxa"/>
            <w:vAlign w:val="center"/>
          </w:tcPr>
          <w:p>
            <w:pPr>
              <w:spacing w:line="300" w:lineRule="exact"/>
              <w:jc w:val="left"/>
              <w:rPr>
                <w:rFonts w:ascii="方正书宋_GBK" w:eastAsia="方正书宋_GBK"/>
              </w:rPr>
            </w:pPr>
          </w:p>
        </w:tc>
        <w:tc>
          <w:tcPr>
            <w:tcW w:w="850" w:type="dxa"/>
            <w:vAlign w:val="center"/>
          </w:tcPr>
          <w:p>
            <w:pPr>
              <w:spacing w:line="300" w:lineRule="exact"/>
              <w:jc w:val="center"/>
              <w:rPr>
                <w:rFonts w:ascii="方正书宋_GBK" w:eastAsia="方正书宋_GBK"/>
              </w:rPr>
            </w:pPr>
            <w:r>
              <w:rPr>
                <w:rFonts w:hint="eastAsia" w:ascii="宋体" w:hAnsi="宋体" w:eastAsia="宋体"/>
              </w:rPr>
              <w:t>≥</w:t>
            </w:r>
            <w:r>
              <w:rPr>
                <w:rFonts w:hint="eastAsia" w:ascii="方正书宋_GBK" w:eastAsia="方正书宋_GBK"/>
              </w:rPr>
              <w:t>95%</w:t>
            </w:r>
          </w:p>
        </w:tc>
        <w:tc>
          <w:tcPr>
            <w:tcW w:w="851" w:type="dxa"/>
            <w:vAlign w:val="center"/>
          </w:tcPr>
          <w:p>
            <w:pPr>
              <w:spacing w:line="300" w:lineRule="exact"/>
              <w:jc w:val="center"/>
              <w:rPr>
                <w:rFonts w:ascii="方正书宋_GBK" w:eastAsia="方正书宋_GBK"/>
              </w:rPr>
            </w:pPr>
            <w:r>
              <w:rPr>
                <w:rFonts w:hint="eastAsia" w:ascii="宋体" w:hAnsi="宋体" w:eastAsia="宋体"/>
              </w:rPr>
              <w:t>≥</w:t>
            </w:r>
            <w:r>
              <w:rPr>
                <w:rFonts w:hint="eastAsia" w:ascii="方正书宋_GBK" w:eastAsia="方正书宋_GBK"/>
              </w:rPr>
              <w:t>93%</w:t>
            </w:r>
          </w:p>
        </w:tc>
        <w:tc>
          <w:tcPr>
            <w:tcW w:w="850" w:type="dxa"/>
            <w:vAlign w:val="center"/>
          </w:tcPr>
          <w:p>
            <w:pPr>
              <w:spacing w:line="300" w:lineRule="exact"/>
              <w:jc w:val="center"/>
              <w:rPr>
                <w:rFonts w:ascii="方正书宋_GBK" w:eastAsia="方正书宋_GBK"/>
              </w:rPr>
            </w:pPr>
            <w:r>
              <w:rPr>
                <w:rFonts w:hint="eastAsia" w:ascii="宋体" w:hAnsi="宋体" w:eastAsia="宋体"/>
              </w:rPr>
              <w:t>≥</w:t>
            </w:r>
            <w:r>
              <w:rPr>
                <w:rFonts w:hint="eastAsia" w:ascii="方正书宋_GBK" w:eastAsia="方正书宋_GBK"/>
              </w:rPr>
              <w:t>90%</w:t>
            </w:r>
          </w:p>
        </w:tc>
        <w:tc>
          <w:tcPr>
            <w:tcW w:w="897" w:type="dxa"/>
            <w:vAlign w:val="center"/>
          </w:tcPr>
          <w:p>
            <w:pPr>
              <w:spacing w:line="300" w:lineRule="exact"/>
              <w:jc w:val="center"/>
              <w:rPr>
                <w:rFonts w:ascii="方正书宋_GBK" w:eastAsia="方正书宋_GBK"/>
              </w:rPr>
            </w:pPr>
            <w:r>
              <w:rPr>
                <w:rFonts w:hint="eastAsia" w:ascii="宋体" w:hAnsi="宋体" w:eastAsia="宋体"/>
              </w:rPr>
              <w:t>＜</w:t>
            </w:r>
            <w:r>
              <w:rPr>
                <w:rFonts w:hint="eastAsia" w:ascii="方正书宋_GBK" w:eastAsia="方正书宋_GBK"/>
              </w:rPr>
              <w:t>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pPr>
              <w:spacing w:line="300" w:lineRule="exact"/>
              <w:jc w:val="left"/>
              <w:rPr>
                <w:rFonts w:ascii="方正书宋_GBK" w:eastAsia="方正书宋_GBK"/>
                <w:b/>
              </w:rPr>
            </w:pPr>
            <w:r>
              <w:rPr>
                <w:rFonts w:hint="eastAsia" w:ascii="方正书宋_GBK" w:eastAsia="方正书宋_GBK"/>
                <w:b/>
              </w:rPr>
              <w:t>　　综合事务管理</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8</w:t>
            </w:r>
          </w:p>
        </w:tc>
        <w:tc>
          <w:tcPr>
            <w:tcW w:w="2976" w:type="dxa"/>
            <w:vAlign w:val="center"/>
          </w:tcPr>
          <w:p>
            <w:pPr>
              <w:spacing w:line="300" w:lineRule="exact"/>
              <w:jc w:val="left"/>
              <w:rPr>
                <w:rFonts w:ascii="方正书宋_GBK" w:eastAsia="方正书宋_GBK"/>
              </w:rPr>
            </w:pPr>
            <w:r>
              <w:rPr>
                <w:rFonts w:hint="eastAsia" w:ascii="方正书宋_GBK" w:eastAsia="方正书宋_GBK"/>
              </w:rPr>
              <w:t>研究指导全县工会自身改革和建设；负责工会干部管理制度和培训规划制定以及培训工作；承担县委、县政府及全国总工会交办的其他事项。</w:t>
            </w:r>
          </w:p>
        </w:tc>
        <w:tc>
          <w:tcPr>
            <w:tcW w:w="2976" w:type="dxa"/>
            <w:vAlign w:val="center"/>
          </w:tcPr>
          <w:p>
            <w:pPr>
              <w:spacing w:line="300" w:lineRule="exact"/>
              <w:jc w:val="left"/>
              <w:rPr>
                <w:rFonts w:ascii="方正书宋_GBK" w:eastAsia="方正书宋_GBK"/>
              </w:rPr>
            </w:pPr>
            <w:r>
              <w:rPr>
                <w:rFonts w:hint="eastAsia" w:ascii="方正书宋_GBK" w:eastAsia="方正书宋_GBK"/>
              </w:rPr>
              <w:t>切实提高工会综合事务管理水平，保障单位的正常运转</w:t>
            </w:r>
          </w:p>
        </w:tc>
        <w:tc>
          <w:tcPr>
            <w:tcW w:w="1198" w:type="dxa"/>
            <w:vAlign w:val="center"/>
          </w:tcPr>
          <w:p>
            <w:pPr>
              <w:spacing w:line="300" w:lineRule="exact"/>
              <w:jc w:val="left"/>
              <w:rPr>
                <w:rFonts w:ascii="方正书宋_GBK" w:eastAsia="方正书宋_GBK"/>
              </w:rPr>
            </w:pPr>
            <w:r>
              <w:rPr>
                <w:rFonts w:hint="eastAsia" w:ascii="方正书宋_GBK" w:eastAsia="方正书宋_GBK"/>
              </w:rPr>
              <w:t>综合事务保障率</w:t>
            </w:r>
          </w:p>
        </w:tc>
        <w:tc>
          <w:tcPr>
            <w:tcW w:w="850" w:type="dxa"/>
            <w:vAlign w:val="center"/>
          </w:tcPr>
          <w:p>
            <w:pPr>
              <w:spacing w:line="300" w:lineRule="exact"/>
              <w:jc w:val="center"/>
              <w:rPr>
                <w:rFonts w:ascii="方正书宋_GBK" w:eastAsia="方正书宋_GBK"/>
              </w:rPr>
            </w:pPr>
            <w:r>
              <w:rPr>
                <w:rFonts w:hint="eastAsia" w:ascii="宋体" w:hAnsi="宋体" w:eastAsia="宋体"/>
              </w:rPr>
              <w:t>≥</w:t>
            </w:r>
            <w:r>
              <w:rPr>
                <w:rFonts w:hint="eastAsia" w:ascii="方正书宋_GBK" w:eastAsia="方正书宋_GBK"/>
              </w:rPr>
              <w:t>95%</w:t>
            </w:r>
          </w:p>
        </w:tc>
        <w:tc>
          <w:tcPr>
            <w:tcW w:w="851" w:type="dxa"/>
            <w:vAlign w:val="center"/>
          </w:tcPr>
          <w:p>
            <w:pPr>
              <w:spacing w:line="300" w:lineRule="exact"/>
              <w:jc w:val="center"/>
              <w:rPr>
                <w:rFonts w:ascii="方正书宋_GBK" w:eastAsia="方正书宋_GBK"/>
              </w:rPr>
            </w:pPr>
            <w:r>
              <w:rPr>
                <w:rFonts w:hint="eastAsia" w:ascii="宋体" w:hAnsi="宋体" w:eastAsia="宋体"/>
              </w:rPr>
              <w:t>≥</w:t>
            </w:r>
            <w:r>
              <w:rPr>
                <w:rFonts w:ascii="方正书宋_GBK" w:eastAsia="方正书宋_GBK"/>
              </w:rPr>
              <w:t>9</w:t>
            </w:r>
            <w:r>
              <w:rPr>
                <w:rFonts w:hint="eastAsia" w:ascii="方正书宋_GBK" w:eastAsia="方正书宋_GBK"/>
              </w:rPr>
              <w:t>3%</w:t>
            </w:r>
          </w:p>
        </w:tc>
        <w:tc>
          <w:tcPr>
            <w:tcW w:w="850" w:type="dxa"/>
            <w:vAlign w:val="center"/>
          </w:tcPr>
          <w:p>
            <w:pPr>
              <w:spacing w:line="300" w:lineRule="exact"/>
              <w:jc w:val="center"/>
              <w:rPr>
                <w:rFonts w:ascii="方正书宋_GBK" w:eastAsia="方正书宋_GBK"/>
              </w:rPr>
            </w:pPr>
            <w:r>
              <w:rPr>
                <w:rFonts w:hint="eastAsia" w:ascii="宋体" w:hAnsi="宋体" w:eastAsia="宋体"/>
              </w:rPr>
              <w:t>≥</w:t>
            </w:r>
            <w:r>
              <w:rPr>
                <w:rFonts w:hint="eastAsia" w:ascii="方正书宋_GBK" w:eastAsia="方正书宋_GBK"/>
              </w:rPr>
              <w:t>90%</w:t>
            </w:r>
          </w:p>
        </w:tc>
        <w:tc>
          <w:tcPr>
            <w:tcW w:w="897" w:type="dxa"/>
            <w:vAlign w:val="center"/>
          </w:tcPr>
          <w:p>
            <w:pPr>
              <w:spacing w:line="300" w:lineRule="exact"/>
              <w:jc w:val="center"/>
              <w:rPr>
                <w:rFonts w:ascii="方正书宋_GBK" w:eastAsia="方正书宋_GBK"/>
              </w:rPr>
            </w:pPr>
            <w:r>
              <w:rPr>
                <w:rFonts w:hint="eastAsia" w:ascii="宋体" w:hAnsi="宋体" w:eastAsia="宋体"/>
              </w:rPr>
              <w:t>＜</w:t>
            </w:r>
            <w:r>
              <w:rPr>
                <w:rFonts w:hint="eastAsia" w:ascii="方正书宋_GBK" w:eastAsia="方正书宋_GBK"/>
              </w:rPr>
              <w:t>90%</w:t>
            </w:r>
          </w:p>
        </w:tc>
      </w:tr>
    </w:tbl>
    <w:p>
      <w:pPr>
        <w:widowControl/>
        <w:spacing w:line="360" w:lineRule="auto"/>
        <w:jc w:val="left"/>
        <w:rPr>
          <w:rFonts w:ascii="Calibri" w:hAnsi="Calibri" w:eastAsia="仿宋_GB2312" w:cs="Calibri"/>
          <w:b/>
          <w:kern w:val="0"/>
          <w:sz w:val="32"/>
          <w:szCs w:val="32"/>
        </w:rPr>
        <w:sectPr>
          <w:pgSz w:w="16839" w:h="11907" w:orient="landscape"/>
          <w:pgMar w:top="1134" w:right="1020" w:bottom="1134" w:left="1020" w:header="851" w:footer="992" w:gutter="0"/>
          <w:cols w:space="0" w:num="1"/>
          <w:docGrid w:type="lines" w:linePitch="321" w:charSpace="0"/>
        </w:sectPr>
      </w:pPr>
    </w:p>
    <w:p>
      <w:pPr>
        <w:pStyle w:val="10"/>
        <w:widowControl/>
        <w:numPr>
          <w:ilvl w:val="0"/>
          <w:numId w:val="2"/>
        </w:numPr>
        <w:spacing w:line="360" w:lineRule="auto"/>
        <w:ind w:firstLineChars="0"/>
        <w:jc w:val="left"/>
        <w:rPr>
          <w:rFonts w:ascii="Calibri" w:hAnsi="Calibri" w:eastAsia="仿宋_GB2312" w:cs="Calibri"/>
          <w:b/>
          <w:kern w:val="0"/>
          <w:sz w:val="32"/>
          <w:szCs w:val="32"/>
        </w:rPr>
      </w:pPr>
      <w:r>
        <w:rPr>
          <w:rFonts w:hint="eastAsia" w:ascii="Calibri" w:hAnsi="Calibri" w:eastAsia="仿宋_GB2312" w:cs="Calibri"/>
          <w:b/>
          <w:kern w:val="0"/>
          <w:sz w:val="32"/>
          <w:szCs w:val="32"/>
        </w:rPr>
        <w:t>政府采购预算情况</w:t>
      </w:r>
    </w:p>
    <w:p>
      <w:pPr>
        <w:widowControl/>
        <w:spacing w:line="360" w:lineRule="auto"/>
        <w:ind w:left="638" w:leftChars="304" w:firstLine="640"/>
        <w:jc w:val="left"/>
        <w:rPr>
          <w:rFonts w:ascii="仿宋_GB2312" w:hAnsi="微软雅黑" w:eastAsia="仿宋_GB2312" w:cs="仿宋_GB2312"/>
          <w:kern w:val="0"/>
          <w:sz w:val="32"/>
          <w:szCs w:val="32"/>
        </w:rPr>
      </w:pPr>
      <w:r>
        <w:rPr>
          <w:rFonts w:ascii="仿宋_GB2312" w:hAnsi="微软雅黑" w:eastAsia="仿宋_GB2312" w:cs="仿宋_GB2312"/>
          <w:kern w:val="0"/>
          <w:sz w:val="32"/>
          <w:szCs w:val="32"/>
        </w:rPr>
        <w:t>政府采购指国家机关、事业单位和社会团体组织，使用财政性资金，购买集中采购目录以内的或者采购限额标准以上的货物、工程或服务的行为。政府采购应遵循公开透明、公平竞争、公正和诚实信用的原则。凡使用纳入预算管理的资金采购符合《河北省政府采购集中采购目录和限额标准》（冀财采[2015]11号）要求的货物、工程或服务的项目，采购人均应编入政府采购预算。按照政府采购相关法律法规要求，结合我</w:t>
      </w:r>
      <w:r>
        <w:rPr>
          <w:rFonts w:hint="eastAsia" w:ascii="仿宋_GB2312" w:hAnsi="微软雅黑" w:eastAsia="仿宋_GB2312" w:cs="仿宋_GB2312"/>
          <w:kern w:val="0"/>
          <w:sz w:val="32"/>
          <w:szCs w:val="32"/>
        </w:rPr>
        <w:t>单位</w:t>
      </w:r>
      <w:r>
        <w:rPr>
          <w:rFonts w:ascii="仿宋_GB2312" w:hAnsi="微软雅黑" w:eastAsia="仿宋_GB2312" w:cs="仿宋_GB2312"/>
          <w:kern w:val="0"/>
          <w:sz w:val="32"/>
          <w:szCs w:val="32"/>
        </w:rPr>
        <w:t>实际，</w:t>
      </w:r>
      <w:r>
        <w:rPr>
          <w:rFonts w:hint="eastAsia" w:ascii="仿宋_GB2312" w:hAnsi="微软雅黑" w:eastAsia="仿宋_GB2312" w:cs="仿宋_GB2312"/>
          <w:kern w:val="0"/>
          <w:sz w:val="32"/>
          <w:szCs w:val="32"/>
        </w:rPr>
        <w:t>2019</w:t>
      </w:r>
      <w:r>
        <w:rPr>
          <w:rFonts w:ascii="仿宋_GB2312" w:hAnsi="微软雅黑" w:eastAsia="仿宋_GB2312" w:cs="仿宋_GB2312"/>
          <w:kern w:val="0"/>
          <w:sz w:val="32"/>
          <w:szCs w:val="32"/>
        </w:rPr>
        <w:t>年我</w:t>
      </w:r>
      <w:r>
        <w:rPr>
          <w:rFonts w:hint="eastAsia" w:ascii="仿宋_GB2312" w:hAnsi="微软雅黑" w:eastAsia="仿宋_GB2312" w:cs="仿宋_GB2312"/>
          <w:kern w:val="0"/>
          <w:sz w:val="32"/>
          <w:szCs w:val="32"/>
        </w:rPr>
        <w:t>单位</w:t>
      </w:r>
      <w:r>
        <w:rPr>
          <w:rFonts w:ascii="仿宋_GB2312" w:hAnsi="微软雅黑" w:eastAsia="仿宋_GB2312" w:cs="仿宋_GB2312"/>
          <w:kern w:val="0"/>
          <w:sz w:val="32"/>
          <w:szCs w:val="32"/>
        </w:rPr>
        <w:t>政府采购事项</w:t>
      </w:r>
      <w:r>
        <w:rPr>
          <w:rFonts w:hint="eastAsia" w:ascii="仿宋_GB2312" w:hAnsi="微软雅黑" w:eastAsia="仿宋_GB2312" w:cs="仿宋_GB2312"/>
          <w:kern w:val="0"/>
          <w:sz w:val="32"/>
          <w:szCs w:val="32"/>
        </w:rPr>
        <w:t>0.58万元，拟购置政府采购0.58万元，其中：电脑1台，单价0.58万元。</w:t>
      </w:r>
    </w:p>
    <w:p>
      <w:pPr>
        <w:widowControl/>
        <w:spacing w:line="360" w:lineRule="auto"/>
        <w:ind w:left="638" w:leftChars="304" w:firstLine="640"/>
        <w:jc w:val="left"/>
        <w:rPr>
          <w:rFonts w:ascii="仿宋_GB2312" w:hAnsi="微软雅黑" w:eastAsia="仿宋_GB2312" w:cs="仿宋_GB2312"/>
          <w:kern w:val="0"/>
          <w:sz w:val="32"/>
          <w:szCs w:val="32"/>
        </w:rPr>
      </w:pPr>
    </w:p>
    <w:p>
      <w:pPr>
        <w:widowControl/>
        <w:spacing w:line="360" w:lineRule="auto"/>
        <w:ind w:left="638" w:leftChars="304" w:firstLine="640"/>
        <w:jc w:val="left"/>
        <w:rPr>
          <w:rFonts w:ascii="仿宋_GB2312" w:hAnsi="微软雅黑" w:eastAsia="仿宋_GB2312" w:cs="仿宋_GB2312"/>
          <w:kern w:val="0"/>
          <w:sz w:val="32"/>
          <w:szCs w:val="32"/>
        </w:rPr>
      </w:pPr>
    </w:p>
    <w:p>
      <w:pPr>
        <w:widowControl/>
        <w:spacing w:line="360" w:lineRule="auto"/>
        <w:ind w:left="638" w:leftChars="304" w:firstLine="640"/>
        <w:jc w:val="left"/>
        <w:rPr>
          <w:rFonts w:ascii="仿宋_GB2312" w:hAnsi="微软雅黑" w:eastAsia="仿宋_GB2312" w:cs="仿宋_GB2312"/>
          <w:kern w:val="0"/>
          <w:sz w:val="32"/>
          <w:szCs w:val="32"/>
        </w:rPr>
      </w:pPr>
    </w:p>
    <w:p>
      <w:pPr>
        <w:widowControl/>
        <w:spacing w:line="360" w:lineRule="auto"/>
        <w:ind w:left="638" w:leftChars="304" w:firstLine="640"/>
        <w:jc w:val="left"/>
        <w:rPr>
          <w:rFonts w:ascii="仿宋_GB2312" w:hAnsi="微软雅黑" w:eastAsia="仿宋_GB2312" w:cs="仿宋_GB2312"/>
          <w:kern w:val="0"/>
          <w:sz w:val="32"/>
          <w:szCs w:val="32"/>
        </w:rPr>
      </w:pPr>
    </w:p>
    <w:p>
      <w:pPr>
        <w:widowControl/>
        <w:spacing w:line="360" w:lineRule="auto"/>
        <w:ind w:left="638" w:leftChars="304" w:firstLine="640"/>
        <w:jc w:val="left"/>
        <w:rPr>
          <w:rFonts w:ascii="仿宋_GB2312" w:hAnsi="微软雅黑" w:eastAsia="仿宋_GB2312" w:cs="仿宋_GB2312"/>
          <w:kern w:val="0"/>
          <w:sz w:val="32"/>
          <w:szCs w:val="32"/>
        </w:rPr>
      </w:pPr>
    </w:p>
    <w:p>
      <w:pPr>
        <w:widowControl/>
        <w:spacing w:line="360" w:lineRule="auto"/>
        <w:ind w:left="638" w:leftChars="304" w:firstLine="640"/>
        <w:jc w:val="left"/>
        <w:rPr>
          <w:rFonts w:ascii="仿宋_GB2312" w:hAnsi="微软雅黑" w:eastAsia="仿宋_GB2312" w:cs="仿宋_GB2312"/>
          <w:kern w:val="0"/>
          <w:sz w:val="32"/>
          <w:szCs w:val="32"/>
        </w:rPr>
      </w:pPr>
    </w:p>
    <w:p>
      <w:pPr>
        <w:widowControl/>
        <w:spacing w:line="360" w:lineRule="auto"/>
        <w:ind w:left="638" w:leftChars="304" w:firstLine="640"/>
        <w:jc w:val="left"/>
        <w:rPr>
          <w:rFonts w:ascii="仿宋_GB2312" w:hAnsi="微软雅黑" w:eastAsia="仿宋_GB2312" w:cs="仿宋_GB2312"/>
          <w:kern w:val="0"/>
          <w:sz w:val="32"/>
          <w:szCs w:val="32"/>
        </w:rPr>
      </w:pPr>
    </w:p>
    <w:p>
      <w:pPr>
        <w:widowControl/>
        <w:spacing w:line="360" w:lineRule="auto"/>
        <w:ind w:left="638" w:leftChars="304" w:firstLine="640"/>
        <w:jc w:val="left"/>
        <w:rPr>
          <w:rFonts w:ascii="仿宋_GB2312" w:hAnsi="微软雅黑" w:eastAsia="仿宋_GB2312" w:cs="仿宋_GB2312"/>
          <w:kern w:val="0"/>
          <w:sz w:val="32"/>
          <w:szCs w:val="32"/>
        </w:rPr>
      </w:pPr>
    </w:p>
    <w:p>
      <w:pPr>
        <w:widowControl/>
        <w:spacing w:line="360" w:lineRule="auto"/>
        <w:ind w:left="638" w:leftChars="304" w:firstLine="640"/>
        <w:jc w:val="left"/>
        <w:rPr>
          <w:rFonts w:ascii="仿宋_GB2312" w:hAnsi="微软雅黑" w:eastAsia="仿宋_GB2312" w:cs="仿宋_GB2312"/>
          <w:kern w:val="0"/>
          <w:sz w:val="32"/>
          <w:szCs w:val="32"/>
        </w:rPr>
      </w:pPr>
    </w:p>
    <w:p>
      <w:pPr>
        <w:widowControl/>
        <w:spacing w:line="360" w:lineRule="auto"/>
        <w:ind w:left="638" w:leftChars="304" w:firstLine="640"/>
        <w:jc w:val="left"/>
        <w:rPr>
          <w:rFonts w:ascii="仿宋_GB2312" w:hAnsi="微软雅黑" w:eastAsia="仿宋_GB2312" w:cs="仿宋_GB2312"/>
          <w:kern w:val="0"/>
          <w:sz w:val="32"/>
          <w:szCs w:val="32"/>
        </w:rPr>
      </w:pPr>
    </w:p>
    <w:p>
      <w:pPr>
        <w:widowControl/>
        <w:spacing w:line="360" w:lineRule="auto"/>
        <w:ind w:left="638" w:leftChars="304" w:firstLine="640"/>
        <w:jc w:val="left"/>
        <w:rPr>
          <w:rFonts w:ascii="仿宋_GB2312" w:hAnsi="微软雅黑" w:eastAsia="仿宋_GB2312" w:cs="仿宋_GB2312"/>
          <w:kern w:val="0"/>
          <w:sz w:val="32"/>
          <w:szCs w:val="32"/>
        </w:rPr>
      </w:pPr>
    </w:p>
    <w:p>
      <w:pPr>
        <w:widowControl/>
        <w:spacing w:line="360" w:lineRule="auto"/>
        <w:ind w:left="638" w:leftChars="304" w:firstLine="640"/>
        <w:jc w:val="left"/>
        <w:rPr>
          <w:rFonts w:ascii="仿宋_GB2312" w:hAnsi="微软雅黑" w:eastAsia="仿宋_GB2312" w:cs="仿宋_GB2312"/>
          <w:kern w:val="0"/>
          <w:sz w:val="32"/>
          <w:szCs w:val="32"/>
        </w:rPr>
      </w:pPr>
    </w:p>
    <w:p>
      <w:pPr>
        <w:widowControl/>
        <w:spacing w:line="360" w:lineRule="auto"/>
        <w:ind w:left="638" w:leftChars="304" w:firstLine="640"/>
        <w:jc w:val="left"/>
        <w:rPr>
          <w:rFonts w:ascii="仿宋_GB2312" w:hAnsi="微软雅黑" w:eastAsia="仿宋_GB2312" w:cs="仿宋_GB2312"/>
          <w:kern w:val="0"/>
          <w:sz w:val="32"/>
          <w:szCs w:val="32"/>
        </w:rPr>
      </w:pPr>
    </w:p>
    <w:p>
      <w:pPr>
        <w:spacing w:line="560" w:lineRule="exact"/>
        <w:jc w:val="center"/>
        <w:outlineLvl w:val="0"/>
        <w:rPr>
          <w:rFonts w:ascii="宋体" w:hAnsi="宋体" w:eastAsia="宋体" w:cs="Times New Roman"/>
          <w:sz w:val="32"/>
          <w:szCs w:val="32"/>
        </w:rPr>
      </w:pPr>
      <w:r>
        <w:rPr>
          <w:rFonts w:hint="eastAsia" w:ascii="宋体" w:hAnsi="宋体" w:eastAsia="宋体" w:cs="方正小标宋_GBK"/>
          <w:sz w:val="32"/>
          <w:szCs w:val="32"/>
        </w:rPr>
        <w:t>部门政府采购预算</w:t>
      </w:r>
    </w:p>
    <w:tbl>
      <w:tblPr>
        <w:tblStyle w:val="6"/>
        <w:tblW w:w="962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84"/>
        <w:gridCol w:w="708"/>
        <w:gridCol w:w="1134"/>
        <w:gridCol w:w="851"/>
        <w:gridCol w:w="425"/>
        <w:gridCol w:w="567"/>
        <w:gridCol w:w="709"/>
        <w:gridCol w:w="709"/>
        <w:gridCol w:w="843"/>
        <w:gridCol w:w="562"/>
        <w:gridCol w:w="511"/>
        <w:gridCol w:w="551"/>
        <w:gridCol w:w="503"/>
        <w:gridCol w:w="48"/>
        <w:gridCol w:w="51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After w:val="2"/>
          <w:wAfter w:w="564" w:type="dxa"/>
          <w:tblHeader/>
          <w:jc w:val="center"/>
        </w:trPr>
        <w:tc>
          <w:tcPr>
            <w:tcW w:w="4669" w:type="dxa"/>
            <w:gridSpan w:val="6"/>
            <w:tcBorders>
              <w:top w:val="single" w:color="FFFFFF" w:sz="6" w:space="0"/>
              <w:left w:val="single" w:color="FFFFFF" w:sz="6" w:space="0"/>
              <w:right w:val="single" w:color="FFFFFF" w:sz="6" w:space="0"/>
            </w:tcBorders>
            <w:vAlign w:val="center"/>
          </w:tcPr>
          <w:p>
            <w:pPr>
              <w:spacing w:line="560" w:lineRule="exact"/>
              <w:jc w:val="left"/>
              <w:rPr>
                <w:rFonts w:ascii="宋体" w:hAnsi="宋体" w:eastAsia="宋体" w:cs="Times New Roman"/>
                <w:sz w:val="24"/>
                <w:szCs w:val="24"/>
              </w:rPr>
            </w:pPr>
            <w:r>
              <w:rPr>
                <w:rFonts w:hint="eastAsia" w:ascii="宋体" w:hAnsi="宋体" w:eastAsia="宋体" w:cs="方正小标宋_GBK"/>
                <w:sz w:val="24"/>
                <w:szCs w:val="24"/>
              </w:rPr>
              <w:t>部门（单位）名称：成安县总工会</w:t>
            </w:r>
          </w:p>
        </w:tc>
        <w:tc>
          <w:tcPr>
            <w:tcW w:w="4388" w:type="dxa"/>
            <w:gridSpan w:val="7"/>
            <w:tcBorders>
              <w:top w:val="single" w:color="FFFFFF" w:sz="6" w:space="0"/>
              <w:left w:val="single" w:color="FFFFFF" w:sz="6" w:space="0"/>
              <w:right w:val="single" w:color="FFFFFF" w:sz="6" w:space="0"/>
            </w:tcBorders>
            <w:vAlign w:val="center"/>
          </w:tcPr>
          <w:p>
            <w:pPr>
              <w:spacing w:line="560" w:lineRule="exact"/>
              <w:jc w:val="right"/>
              <w:rPr>
                <w:rFonts w:ascii="宋体" w:hAnsi="宋体" w:eastAsia="宋体" w:cs="Times New Roman"/>
                <w:sz w:val="24"/>
                <w:szCs w:val="24"/>
              </w:rPr>
            </w:pPr>
            <w:r>
              <w:rPr>
                <w:rFonts w:hint="eastAsia" w:ascii="宋体" w:hAnsi="宋体" w:eastAsia="宋体" w:cs="方正书宋_GBK"/>
                <w:sz w:val="24"/>
                <w:szCs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692" w:type="dxa"/>
            <w:gridSpan w:val="2"/>
            <w:vAlign w:val="center"/>
          </w:tcPr>
          <w:p>
            <w:pPr>
              <w:spacing w:line="280" w:lineRule="exact"/>
              <w:jc w:val="center"/>
              <w:rPr>
                <w:rFonts w:ascii="宋体" w:hAnsi="宋体" w:eastAsia="宋体" w:cs="Times New Roman"/>
                <w:b/>
                <w:bCs/>
              </w:rPr>
            </w:pPr>
            <w:r>
              <w:rPr>
                <w:rFonts w:hint="eastAsia" w:ascii="宋体" w:hAnsi="宋体" w:eastAsia="宋体" w:cs="方正书宋_GBK"/>
                <w:b/>
                <w:bCs/>
              </w:rPr>
              <w:t>政府采购项目来源</w:t>
            </w:r>
          </w:p>
        </w:tc>
        <w:tc>
          <w:tcPr>
            <w:tcW w:w="1134" w:type="dxa"/>
            <w:vMerge w:val="restart"/>
            <w:vAlign w:val="center"/>
          </w:tcPr>
          <w:p>
            <w:pPr>
              <w:spacing w:line="560" w:lineRule="exact"/>
              <w:jc w:val="center"/>
              <w:rPr>
                <w:rFonts w:ascii="宋体" w:hAnsi="宋体" w:eastAsia="宋体" w:cs="Times New Roman"/>
                <w:b/>
                <w:bCs/>
              </w:rPr>
            </w:pPr>
            <w:r>
              <w:rPr>
                <w:rFonts w:hint="eastAsia" w:ascii="宋体" w:hAnsi="宋体" w:eastAsia="宋体" w:cs="方正书宋_GBK"/>
                <w:b/>
                <w:bCs/>
              </w:rPr>
              <w:t>采购物品名称</w:t>
            </w:r>
          </w:p>
        </w:tc>
        <w:tc>
          <w:tcPr>
            <w:tcW w:w="851" w:type="dxa"/>
            <w:vMerge w:val="restart"/>
            <w:vAlign w:val="center"/>
          </w:tcPr>
          <w:p>
            <w:pPr>
              <w:spacing w:line="560" w:lineRule="exact"/>
              <w:jc w:val="center"/>
              <w:rPr>
                <w:rFonts w:ascii="宋体" w:hAnsi="宋体" w:eastAsia="宋体" w:cs="Times New Roman"/>
                <w:b/>
                <w:bCs/>
              </w:rPr>
            </w:pPr>
            <w:r>
              <w:rPr>
                <w:rFonts w:hint="eastAsia" w:ascii="宋体" w:hAnsi="宋体" w:eastAsia="宋体" w:cs="方正书宋_GBK"/>
                <w:b/>
                <w:bCs/>
              </w:rPr>
              <w:t>政府采购目录序号</w:t>
            </w:r>
          </w:p>
        </w:tc>
        <w:tc>
          <w:tcPr>
            <w:tcW w:w="425" w:type="dxa"/>
            <w:vMerge w:val="restart"/>
            <w:vAlign w:val="center"/>
          </w:tcPr>
          <w:p>
            <w:pPr>
              <w:spacing w:line="560" w:lineRule="exact"/>
              <w:jc w:val="center"/>
              <w:rPr>
                <w:rFonts w:ascii="宋体" w:hAnsi="宋体" w:eastAsia="宋体" w:cs="Times New Roman"/>
                <w:b/>
                <w:bCs/>
              </w:rPr>
            </w:pPr>
            <w:r>
              <w:rPr>
                <w:rFonts w:hint="eastAsia" w:ascii="宋体" w:hAnsi="宋体" w:eastAsia="宋体" w:cs="方正书宋_GBK"/>
                <w:b/>
                <w:bCs/>
              </w:rPr>
              <w:t>数量单位</w:t>
            </w:r>
          </w:p>
        </w:tc>
        <w:tc>
          <w:tcPr>
            <w:tcW w:w="567" w:type="dxa"/>
            <w:vMerge w:val="restart"/>
            <w:vAlign w:val="center"/>
          </w:tcPr>
          <w:p>
            <w:pPr>
              <w:spacing w:line="560" w:lineRule="exact"/>
              <w:jc w:val="center"/>
              <w:rPr>
                <w:rFonts w:ascii="宋体" w:hAnsi="宋体" w:eastAsia="宋体" w:cs="Times New Roman"/>
                <w:b/>
                <w:bCs/>
              </w:rPr>
            </w:pPr>
            <w:r>
              <w:rPr>
                <w:rFonts w:hint="eastAsia" w:ascii="宋体" w:hAnsi="宋体" w:eastAsia="宋体" w:cs="方正书宋_GBK"/>
                <w:b/>
                <w:bCs/>
              </w:rPr>
              <w:t>数量</w:t>
            </w:r>
          </w:p>
        </w:tc>
        <w:tc>
          <w:tcPr>
            <w:tcW w:w="709" w:type="dxa"/>
            <w:vMerge w:val="restart"/>
            <w:vAlign w:val="center"/>
          </w:tcPr>
          <w:p>
            <w:pPr>
              <w:spacing w:line="560" w:lineRule="exact"/>
              <w:jc w:val="center"/>
              <w:rPr>
                <w:rFonts w:ascii="宋体" w:hAnsi="宋体" w:eastAsia="宋体" w:cs="Times New Roman"/>
                <w:b/>
                <w:bCs/>
              </w:rPr>
            </w:pPr>
            <w:r>
              <w:rPr>
                <w:rFonts w:hint="eastAsia" w:ascii="宋体" w:hAnsi="宋体" w:eastAsia="宋体" w:cs="方正书宋_GBK"/>
                <w:b/>
                <w:bCs/>
              </w:rPr>
              <w:t>单价</w:t>
            </w:r>
          </w:p>
        </w:tc>
        <w:tc>
          <w:tcPr>
            <w:tcW w:w="4243" w:type="dxa"/>
            <w:gridSpan w:val="8"/>
            <w:vAlign w:val="center"/>
          </w:tcPr>
          <w:p>
            <w:pPr>
              <w:spacing w:line="560" w:lineRule="exact"/>
              <w:jc w:val="center"/>
              <w:rPr>
                <w:rFonts w:ascii="宋体" w:hAnsi="宋体" w:eastAsia="宋体" w:cs="Times New Roman"/>
                <w:b/>
                <w:bCs/>
              </w:rPr>
            </w:pPr>
            <w:r>
              <w:rPr>
                <w:rFonts w:hint="eastAsia" w:ascii="宋体" w:hAnsi="宋体" w:eastAsia="宋体" w:cs="方正书宋_GBK"/>
                <w:b/>
                <w:bCs/>
              </w:rPr>
              <w:t>政府采购金额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984" w:type="dxa"/>
            <w:vMerge w:val="restart"/>
            <w:vAlign w:val="center"/>
          </w:tcPr>
          <w:p>
            <w:pPr>
              <w:spacing w:line="280" w:lineRule="exact"/>
              <w:jc w:val="center"/>
              <w:rPr>
                <w:rFonts w:ascii="宋体" w:hAnsi="宋体" w:eastAsia="宋体" w:cs="Times New Roman"/>
                <w:b/>
                <w:bCs/>
              </w:rPr>
            </w:pPr>
            <w:r>
              <w:rPr>
                <w:rFonts w:hint="eastAsia" w:ascii="宋体" w:hAnsi="宋体" w:eastAsia="宋体" w:cs="方正书宋_GBK"/>
                <w:b/>
                <w:bCs/>
              </w:rPr>
              <w:t>项目名称</w:t>
            </w:r>
          </w:p>
        </w:tc>
        <w:tc>
          <w:tcPr>
            <w:tcW w:w="708" w:type="dxa"/>
            <w:vMerge w:val="restart"/>
            <w:vAlign w:val="center"/>
          </w:tcPr>
          <w:p>
            <w:pPr>
              <w:spacing w:line="280" w:lineRule="exact"/>
              <w:jc w:val="center"/>
              <w:rPr>
                <w:rFonts w:ascii="宋体" w:hAnsi="宋体" w:eastAsia="宋体" w:cs="Times New Roman"/>
                <w:b/>
                <w:bCs/>
              </w:rPr>
            </w:pPr>
            <w:r>
              <w:rPr>
                <w:rFonts w:hint="eastAsia" w:ascii="宋体" w:hAnsi="宋体" w:eastAsia="宋体" w:cs="方正书宋_GBK"/>
                <w:b/>
                <w:bCs/>
              </w:rPr>
              <w:t>预算资金</w:t>
            </w:r>
          </w:p>
        </w:tc>
        <w:tc>
          <w:tcPr>
            <w:tcW w:w="1134" w:type="dxa"/>
            <w:vMerge w:val="continue"/>
            <w:vAlign w:val="center"/>
          </w:tcPr>
          <w:p>
            <w:pPr>
              <w:spacing w:line="560" w:lineRule="exact"/>
              <w:jc w:val="left"/>
              <w:outlineLvl w:val="0"/>
              <w:rPr>
                <w:rFonts w:ascii="宋体" w:hAnsi="宋体" w:eastAsia="宋体" w:cs="Times New Roman"/>
              </w:rPr>
            </w:pPr>
          </w:p>
        </w:tc>
        <w:tc>
          <w:tcPr>
            <w:tcW w:w="851" w:type="dxa"/>
            <w:vMerge w:val="continue"/>
            <w:vAlign w:val="center"/>
          </w:tcPr>
          <w:p>
            <w:pPr>
              <w:spacing w:line="560" w:lineRule="exact"/>
              <w:jc w:val="left"/>
              <w:outlineLvl w:val="0"/>
              <w:rPr>
                <w:rFonts w:ascii="宋体" w:hAnsi="宋体" w:eastAsia="宋体" w:cs="Times New Roman"/>
              </w:rPr>
            </w:pPr>
          </w:p>
        </w:tc>
        <w:tc>
          <w:tcPr>
            <w:tcW w:w="425" w:type="dxa"/>
            <w:vMerge w:val="continue"/>
            <w:vAlign w:val="center"/>
          </w:tcPr>
          <w:p>
            <w:pPr>
              <w:spacing w:line="560" w:lineRule="exact"/>
              <w:jc w:val="left"/>
              <w:outlineLvl w:val="0"/>
              <w:rPr>
                <w:rFonts w:ascii="宋体" w:hAnsi="宋体" w:eastAsia="宋体" w:cs="Times New Roman"/>
              </w:rPr>
            </w:pPr>
          </w:p>
        </w:tc>
        <w:tc>
          <w:tcPr>
            <w:tcW w:w="567" w:type="dxa"/>
            <w:vMerge w:val="continue"/>
            <w:vAlign w:val="center"/>
          </w:tcPr>
          <w:p>
            <w:pPr>
              <w:spacing w:line="560" w:lineRule="exact"/>
              <w:jc w:val="left"/>
              <w:outlineLvl w:val="0"/>
              <w:rPr>
                <w:rFonts w:ascii="宋体" w:hAnsi="宋体" w:eastAsia="宋体" w:cs="Times New Roman"/>
              </w:rPr>
            </w:pPr>
          </w:p>
        </w:tc>
        <w:tc>
          <w:tcPr>
            <w:tcW w:w="709" w:type="dxa"/>
            <w:vMerge w:val="continue"/>
            <w:vAlign w:val="center"/>
          </w:tcPr>
          <w:p>
            <w:pPr>
              <w:spacing w:line="560" w:lineRule="exact"/>
              <w:jc w:val="left"/>
              <w:outlineLvl w:val="0"/>
              <w:rPr>
                <w:rFonts w:ascii="宋体" w:hAnsi="宋体" w:eastAsia="宋体" w:cs="Times New Roman"/>
              </w:rPr>
            </w:pPr>
          </w:p>
        </w:tc>
        <w:tc>
          <w:tcPr>
            <w:tcW w:w="709" w:type="dxa"/>
            <w:vMerge w:val="restart"/>
            <w:vAlign w:val="center"/>
          </w:tcPr>
          <w:p>
            <w:pPr>
              <w:spacing w:line="560" w:lineRule="exact"/>
              <w:jc w:val="center"/>
              <w:rPr>
                <w:rFonts w:ascii="宋体" w:hAnsi="宋体" w:eastAsia="宋体" w:cs="Times New Roman"/>
                <w:b/>
                <w:bCs/>
              </w:rPr>
            </w:pPr>
            <w:r>
              <w:rPr>
                <w:rFonts w:hint="eastAsia" w:ascii="宋体" w:hAnsi="宋体" w:eastAsia="宋体" w:cs="方正书宋_GBK"/>
                <w:b/>
                <w:bCs/>
              </w:rPr>
              <w:t>总计</w:t>
            </w:r>
          </w:p>
        </w:tc>
        <w:tc>
          <w:tcPr>
            <w:tcW w:w="3018" w:type="dxa"/>
            <w:gridSpan w:val="6"/>
            <w:vAlign w:val="center"/>
          </w:tcPr>
          <w:p>
            <w:pPr>
              <w:spacing w:line="280" w:lineRule="exact"/>
              <w:jc w:val="center"/>
              <w:rPr>
                <w:rFonts w:ascii="宋体" w:hAnsi="宋体" w:eastAsia="宋体" w:cs="Times New Roman"/>
                <w:b/>
                <w:bCs/>
              </w:rPr>
            </w:pPr>
            <w:r>
              <w:rPr>
                <w:rFonts w:hint="eastAsia" w:ascii="宋体" w:hAnsi="宋体" w:eastAsia="宋体" w:cs="方正书宋_GBK"/>
                <w:b/>
                <w:bCs/>
              </w:rPr>
              <w:t>当年部门预算安排资金</w:t>
            </w:r>
          </w:p>
        </w:tc>
        <w:tc>
          <w:tcPr>
            <w:tcW w:w="516" w:type="dxa"/>
            <w:vMerge w:val="restart"/>
            <w:vAlign w:val="center"/>
          </w:tcPr>
          <w:p>
            <w:pPr>
              <w:spacing w:line="280" w:lineRule="exact"/>
              <w:jc w:val="center"/>
              <w:rPr>
                <w:rFonts w:ascii="宋体" w:hAnsi="宋体" w:eastAsia="宋体" w:cs="Times New Roman"/>
                <w:b/>
                <w:bCs/>
              </w:rPr>
            </w:pPr>
            <w:r>
              <w:rPr>
                <w:rFonts w:hint="eastAsia" w:ascii="宋体" w:hAnsi="宋体" w:eastAsia="宋体" w:cs="方正书宋_GBK"/>
                <w:b/>
                <w:bCs/>
              </w:rPr>
              <w:t>其他渠道资金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984" w:type="dxa"/>
            <w:vMerge w:val="continue"/>
            <w:vAlign w:val="center"/>
          </w:tcPr>
          <w:p>
            <w:pPr>
              <w:spacing w:line="560" w:lineRule="exact"/>
              <w:jc w:val="left"/>
              <w:outlineLvl w:val="0"/>
              <w:rPr>
                <w:rFonts w:ascii="宋体" w:hAnsi="宋体" w:eastAsia="宋体" w:cs="Times New Roman"/>
              </w:rPr>
            </w:pPr>
          </w:p>
        </w:tc>
        <w:tc>
          <w:tcPr>
            <w:tcW w:w="708" w:type="dxa"/>
            <w:vMerge w:val="continue"/>
            <w:vAlign w:val="center"/>
          </w:tcPr>
          <w:p>
            <w:pPr>
              <w:spacing w:line="560" w:lineRule="exact"/>
              <w:jc w:val="left"/>
              <w:outlineLvl w:val="0"/>
              <w:rPr>
                <w:rFonts w:ascii="宋体" w:hAnsi="宋体" w:eastAsia="宋体" w:cs="Times New Roman"/>
              </w:rPr>
            </w:pPr>
          </w:p>
        </w:tc>
        <w:tc>
          <w:tcPr>
            <w:tcW w:w="1134" w:type="dxa"/>
            <w:vMerge w:val="continue"/>
            <w:vAlign w:val="center"/>
          </w:tcPr>
          <w:p>
            <w:pPr>
              <w:spacing w:line="560" w:lineRule="exact"/>
              <w:jc w:val="left"/>
              <w:outlineLvl w:val="0"/>
              <w:rPr>
                <w:rFonts w:ascii="宋体" w:hAnsi="宋体" w:eastAsia="宋体" w:cs="Times New Roman"/>
              </w:rPr>
            </w:pPr>
          </w:p>
        </w:tc>
        <w:tc>
          <w:tcPr>
            <w:tcW w:w="851" w:type="dxa"/>
            <w:vMerge w:val="continue"/>
            <w:vAlign w:val="center"/>
          </w:tcPr>
          <w:p>
            <w:pPr>
              <w:spacing w:line="560" w:lineRule="exact"/>
              <w:jc w:val="left"/>
              <w:outlineLvl w:val="0"/>
              <w:rPr>
                <w:rFonts w:ascii="宋体" w:hAnsi="宋体" w:eastAsia="宋体" w:cs="Times New Roman"/>
              </w:rPr>
            </w:pPr>
          </w:p>
        </w:tc>
        <w:tc>
          <w:tcPr>
            <w:tcW w:w="425" w:type="dxa"/>
            <w:vMerge w:val="continue"/>
            <w:vAlign w:val="center"/>
          </w:tcPr>
          <w:p>
            <w:pPr>
              <w:spacing w:line="560" w:lineRule="exact"/>
              <w:jc w:val="left"/>
              <w:outlineLvl w:val="0"/>
              <w:rPr>
                <w:rFonts w:ascii="宋体" w:hAnsi="宋体" w:eastAsia="宋体" w:cs="Times New Roman"/>
              </w:rPr>
            </w:pPr>
          </w:p>
        </w:tc>
        <w:tc>
          <w:tcPr>
            <w:tcW w:w="567" w:type="dxa"/>
            <w:vMerge w:val="continue"/>
            <w:vAlign w:val="center"/>
          </w:tcPr>
          <w:p>
            <w:pPr>
              <w:spacing w:line="560" w:lineRule="exact"/>
              <w:jc w:val="left"/>
              <w:outlineLvl w:val="0"/>
              <w:rPr>
                <w:rFonts w:ascii="宋体" w:hAnsi="宋体" w:eastAsia="宋体" w:cs="Times New Roman"/>
              </w:rPr>
            </w:pPr>
          </w:p>
        </w:tc>
        <w:tc>
          <w:tcPr>
            <w:tcW w:w="709" w:type="dxa"/>
            <w:vMerge w:val="continue"/>
            <w:vAlign w:val="center"/>
          </w:tcPr>
          <w:p>
            <w:pPr>
              <w:spacing w:line="560" w:lineRule="exact"/>
              <w:jc w:val="left"/>
              <w:outlineLvl w:val="0"/>
              <w:rPr>
                <w:rFonts w:ascii="宋体" w:hAnsi="宋体" w:eastAsia="宋体" w:cs="Times New Roman"/>
              </w:rPr>
            </w:pPr>
          </w:p>
        </w:tc>
        <w:tc>
          <w:tcPr>
            <w:tcW w:w="709" w:type="dxa"/>
            <w:vMerge w:val="continue"/>
            <w:vAlign w:val="center"/>
          </w:tcPr>
          <w:p>
            <w:pPr>
              <w:spacing w:line="560" w:lineRule="exact"/>
              <w:jc w:val="left"/>
              <w:outlineLvl w:val="0"/>
              <w:rPr>
                <w:rFonts w:ascii="宋体" w:hAnsi="宋体" w:eastAsia="宋体" w:cs="Times New Roman"/>
              </w:rPr>
            </w:pPr>
          </w:p>
        </w:tc>
        <w:tc>
          <w:tcPr>
            <w:tcW w:w="843" w:type="dxa"/>
            <w:vAlign w:val="center"/>
          </w:tcPr>
          <w:p>
            <w:pPr>
              <w:spacing w:line="560" w:lineRule="exact"/>
              <w:jc w:val="center"/>
              <w:rPr>
                <w:rFonts w:ascii="宋体" w:hAnsi="宋体" w:eastAsia="宋体" w:cs="Times New Roman"/>
                <w:b/>
                <w:bCs/>
              </w:rPr>
            </w:pPr>
            <w:r>
              <w:rPr>
                <w:rFonts w:hint="eastAsia" w:ascii="宋体" w:hAnsi="宋体" w:eastAsia="宋体" w:cs="方正书宋_GBK"/>
                <w:b/>
                <w:bCs/>
              </w:rPr>
              <w:t>合计</w:t>
            </w:r>
          </w:p>
        </w:tc>
        <w:tc>
          <w:tcPr>
            <w:tcW w:w="562" w:type="dxa"/>
            <w:vAlign w:val="center"/>
          </w:tcPr>
          <w:p>
            <w:pPr>
              <w:spacing w:line="280" w:lineRule="exact"/>
              <w:jc w:val="center"/>
              <w:rPr>
                <w:rFonts w:ascii="宋体" w:hAnsi="宋体" w:eastAsia="宋体" w:cs="Times New Roman"/>
                <w:b/>
                <w:bCs/>
              </w:rPr>
            </w:pPr>
            <w:r>
              <w:rPr>
                <w:rFonts w:hint="eastAsia" w:ascii="宋体" w:hAnsi="宋体" w:eastAsia="宋体" w:cs="方正书宋_GBK"/>
                <w:b/>
                <w:bCs/>
              </w:rPr>
              <w:t>一般公共预算拨款</w:t>
            </w:r>
          </w:p>
        </w:tc>
        <w:tc>
          <w:tcPr>
            <w:tcW w:w="511" w:type="dxa"/>
            <w:vAlign w:val="center"/>
          </w:tcPr>
          <w:p>
            <w:pPr>
              <w:spacing w:line="280" w:lineRule="exact"/>
              <w:jc w:val="center"/>
              <w:rPr>
                <w:rFonts w:ascii="宋体" w:hAnsi="宋体" w:eastAsia="宋体" w:cs="Times New Roman"/>
                <w:b/>
                <w:bCs/>
              </w:rPr>
            </w:pPr>
            <w:r>
              <w:rPr>
                <w:rFonts w:hint="eastAsia" w:ascii="宋体" w:hAnsi="宋体" w:eastAsia="宋体" w:cs="方正书宋_GBK"/>
                <w:b/>
                <w:bCs/>
              </w:rPr>
              <w:t>基金预算拨款</w:t>
            </w:r>
          </w:p>
        </w:tc>
        <w:tc>
          <w:tcPr>
            <w:tcW w:w="551" w:type="dxa"/>
            <w:vAlign w:val="center"/>
          </w:tcPr>
          <w:p>
            <w:pPr>
              <w:spacing w:line="280" w:lineRule="exact"/>
              <w:jc w:val="center"/>
              <w:rPr>
                <w:rFonts w:ascii="宋体" w:hAnsi="宋体" w:eastAsia="宋体" w:cs="Times New Roman"/>
                <w:b/>
                <w:bCs/>
              </w:rPr>
            </w:pPr>
            <w:r>
              <w:rPr>
                <w:rFonts w:hint="eastAsia" w:ascii="宋体" w:hAnsi="宋体" w:eastAsia="宋体" w:cs="方正书宋_GBK"/>
                <w:b/>
                <w:bCs/>
              </w:rPr>
              <w:t>财政专户核拨</w:t>
            </w:r>
          </w:p>
        </w:tc>
        <w:tc>
          <w:tcPr>
            <w:tcW w:w="551" w:type="dxa"/>
            <w:gridSpan w:val="2"/>
            <w:vAlign w:val="center"/>
          </w:tcPr>
          <w:p>
            <w:pPr>
              <w:spacing w:line="280" w:lineRule="exact"/>
              <w:jc w:val="center"/>
              <w:rPr>
                <w:rFonts w:ascii="宋体" w:hAnsi="宋体" w:eastAsia="宋体" w:cs="Times New Roman"/>
                <w:b/>
                <w:bCs/>
              </w:rPr>
            </w:pPr>
            <w:r>
              <w:rPr>
                <w:rFonts w:hint="eastAsia" w:ascii="宋体" w:hAnsi="宋体" w:eastAsia="宋体" w:cs="方正书宋_GBK"/>
                <w:b/>
                <w:bCs/>
              </w:rPr>
              <w:t>其他来源收入</w:t>
            </w:r>
          </w:p>
        </w:tc>
        <w:tc>
          <w:tcPr>
            <w:tcW w:w="516" w:type="dxa"/>
            <w:vMerge w:val="continue"/>
            <w:vAlign w:val="center"/>
          </w:tcPr>
          <w:p>
            <w:pPr>
              <w:spacing w:line="280" w:lineRule="exact"/>
              <w:jc w:val="left"/>
              <w:outlineLvl w:val="0"/>
              <w:rPr>
                <w:rFonts w:ascii="宋体" w:hAnsi="宋体" w:eastAsia="宋体"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84" w:type="dxa"/>
            <w:vAlign w:val="center"/>
          </w:tcPr>
          <w:p>
            <w:pPr>
              <w:spacing w:line="560" w:lineRule="exact"/>
              <w:jc w:val="center"/>
              <w:rPr>
                <w:rFonts w:ascii="宋体" w:hAnsi="宋体" w:eastAsia="宋体" w:cs="Times New Roman"/>
                <w:b/>
                <w:bCs/>
              </w:rPr>
            </w:pPr>
            <w:r>
              <w:rPr>
                <w:rFonts w:hint="eastAsia" w:ascii="宋体" w:hAnsi="宋体" w:eastAsia="宋体" w:cs="方正书宋_GBK"/>
                <w:b/>
                <w:bCs/>
              </w:rPr>
              <w:t>合　计</w:t>
            </w:r>
          </w:p>
        </w:tc>
        <w:tc>
          <w:tcPr>
            <w:tcW w:w="708" w:type="dxa"/>
            <w:vAlign w:val="center"/>
          </w:tcPr>
          <w:p>
            <w:pPr>
              <w:spacing w:line="560" w:lineRule="exact"/>
              <w:jc w:val="right"/>
              <w:rPr>
                <w:rFonts w:ascii="宋体" w:hAnsi="宋体" w:eastAsia="宋体" w:cs="Times New Roman"/>
                <w:b/>
                <w:bCs/>
              </w:rPr>
            </w:pPr>
          </w:p>
        </w:tc>
        <w:tc>
          <w:tcPr>
            <w:tcW w:w="1134" w:type="dxa"/>
            <w:vAlign w:val="center"/>
          </w:tcPr>
          <w:p>
            <w:pPr>
              <w:spacing w:line="560" w:lineRule="exact"/>
              <w:jc w:val="left"/>
              <w:rPr>
                <w:rFonts w:ascii="宋体" w:hAnsi="宋体" w:eastAsia="宋体" w:cs="Times New Roman"/>
                <w:b/>
                <w:bCs/>
              </w:rPr>
            </w:pPr>
          </w:p>
        </w:tc>
        <w:tc>
          <w:tcPr>
            <w:tcW w:w="851" w:type="dxa"/>
            <w:vAlign w:val="center"/>
          </w:tcPr>
          <w:p>
            <w:pPr>
              <w:spacing w:line="560" w:lineRule="exact"/>
              <w:jc w:val="left"/>
              <w:rPr>
                <w:rFonts w:ascii="宋体" w:hAnsi="宋体" w:eastAsia="宋体" w:cs="Times New Roman"/>
                <w:b/>
                <w:bCs/>
              </w:rPr>
            </w:pPr>
          </w:p>
        </w:tc>
        <w:tc>
          <w:tcPr>
            <w:tcW w:w="425" w:type="dxa"/>
            <w:vAlign w:val="center"/>
          </w:tcPr>
          <w:p>
            <w:pPr>
              <w:spacing w:line="560" w:lineRule="exact"/>
              <w:jc w:val="left"/>
              <w:rPr>
                <w:rFonts w:ascii="宋体" w:hAnsi="宋体" w:eastAsia="宋体" w:cs="Times New Roman"/>
                <w:b/>
                <w:bCs/>
              </w:rPr>
            </w:pPr>
          </w:p>
        </w:tc>
        <w:tc>
          <w:tcPr>
            <w:tcW w:w="567" w:type="dxa"/>
            <w:vAlign w:val="center"/>
          </w:tcPr>
          <w:p>
            <w:pPr>
              <w:spacing w:line="560" w:lineRule="exact"/>
              <w:jc w:val="right"/>
              <w:rPr>
                <w:rFonts w:ascii="宋体" w:hAnsi="宋体" w:eastAsia="宋体" w:cs="Times New Roman"/>
                <w:b/>
                <w:bCs/>
              </w:rPr>
            </w:pPr>
          </w:p>
        </w:tc>
        <w:tc>
          <w:tcPr>
            <w:tcW w:w="709" w:type="dxa"/>
            <w:vAlign w:val="center"/>
          </w:tcPr>
          <w:p>
            <w:pPr>
              <w:spacing w:line="560" w:lineRule="exact"/>
              <w:jc w:val="right"/>
              <w:rPr>
                <w:rFonts w:ascii="宋体" w:hAnsi="宋体" w:eastAsia="宋体" w:cs="Times New Roman"/>
                <w:b/>
                <w:bCs/>
              </w:rPr>
            </w:pPr>
          </w:p>
        </w:tc>
        <w:tc>
          <w:tcPr>
            <w:tcW w:w="709" w:type="dxa"/>
            <w:vAlign w:val="center"/>
          </w:tcPr>
          <w:p>
            <w:pPr>
              <w:spacing w:line="560" w:lineRule="exact"/>
              <w:jc w:val="right"/>
              <w:rPr>
                <w:rFonts w:ascii="宋体" w:hAnsi="宋体" w:eastAsia="宋体" w:cs="Times New Roman"/>
                <w:b/>
                <w:bCs/>
              </w:rPr>
            </w:pPr>
            <w:r>
              <w:rPr>
                <w:rFonts w:hint="eastAsia" w:ascii="宋体" w:hAnsi="宋体" w:eastAsia="宋体" w:cs="Times New Roman"/>
                <w:b/>
                <w:bCs/>
              </w:rPr>
              <w:t>0.58</w:t>
            </w:r>
          </w:p>
        </w:tc>
        <w:tc>
          <w:tcPr>
            <w:tcW w:w="843" w:type="dxa"/>
            <w:vAlign w:val="center"/>
          </w:tcPr>
          <w:p>
            <w:pPr>
              <w:spacing w:line="560" w:lineRule="exact"/>
              <w:jc w:val="right"/>
              <w:rPr>
                <w:rFonts w:ascii="宋体" w:hAnsi="宋体" w:eastAsia="宋体" w:cs="Times New Roman"/>
                <w:b/>
                <w:bCs/>
              </w:rPr>
            </w:pPr>
            <w:r>
              <w:rPr>
                <w:rFonts w:hint="eastAsia" w:ascii="宋体" w:hAnsi="宋体" w:eastAsia="宋体" w:cs="Times New Roman"/>
                <w:b/>
                <w:bCs/>
              </w:rPr>
              <w:t>0.58</w:t>
            </w:r>
          </w:p>
        </w:tc>
        <w:tc>
          <w:tcPr>
            <w:tcW w:w="562" w:type="dxa"/>
            <w:vAlign w:val="center"/>
          </w:tcPr>
          <w:p>
            <w:pPr>
              <w:spacing w:line="560" w:lineRule="exact"/>
              <w:jc w:val="right"/>
              <w:rPr>
                <w:rFonts w:ascii="宋体" w:hAnsi="宋体" w:eastAsia="宋体" w:cs="Times New Roman"/>
                <w:b/>
                <w:bCs/>
              </w:rPr>
            </w:pPr>
          </w:p>
        </w:tc>
        <w:tc>
          <w:tcPr>
            <w:tcW w:w="511" w:type="dxa"/>
            <w:vAlign w:val="center"/>
          </w:tcPr>
          <w:p>
            <w:pPr>
              <w:spacing w:line="560" w:lineRule="exact"/>
              <w:jc w:val="right"/>
              <w:rPr>
                <w:rFonts w:ascii="宋体" w:hAnsi="宋体" w:eastAsia="宋体" w:cs="Times New Roman"/>
                <w:b/>
                <w:bCs/>
              </w:rPr>
            </w:pPr>
          </w:p>
        </w:tc>
        <w:tc>
          <w:tcPr>
            <w:tcW w:w="551" w:type="dxa"/>
            <w:vAlign w:val="center"/>
          </w:tcPr>
          <w:p>
            <w:pPr>
              <w:spacing w:line="560" w:lineRule="exact"/>
              <w:jc w:val="right"/>
              <w:rPr>
                <w:rFonts w:ascii="宋体" w:hAnsi="宋体" w:eastAsia="宋体" w:cs="Times New Roman"/>
                <w:b/>
                <w:bCs/>
              </w:rPr>
            </w:pPr>
          </w:p>
        </w:tc>
        <w:tc>
          <w:tcPr>
            <w:tcW w:w="551" w:type="dxa"/>
            <w:gridSpan w:val="2"/>
            <w:vAlign w:val="center"/>
          </w:tcPr>
          <w:p>
            <w:pPr>
              <w:spacing w:line="560" w:lineRule="exact"/>
              <w:jc w:val="right"/>
              <w:rPr>
                <w:rFonts w:ascii="宋体" w:hAnsi="宋体" w:eastAsia="宋体" w:cs="Times New Roman"/>
                <w:b/>
                <w:bCs/>
              </w:rPr>
            </w:pPr>
          </w:p>
        </w:tc>
        <w:tc>
          <w:tcPr>
            <w:tcW w:w="516" w:type="dxa"/>
            <w:vAlign w:val="center"/>
          </w:tcPr>
          <w:p>
            <w:pPr>
              <w:spacing w:line="560" w:lineRule="exact"/>
              <w:jc w:val="right"/>
              <w:rPr>
                <w:rFonts w:ascii="宋体" w:hAnsi="宋体" w:eastAsia="宋体" w:cs="Times New Roman"/>
                <w:b/>
                <w:bC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84" w:type="dxa"/>
            <w:vAlign w:val="center"/>
          </w:tcPr>
          <w:p>
            <w:pPr>
              <w:spacing w:line="560" w:lineRule="exact"/>
              <w:jc w:val="center"/>
              <w:rPr>
                <w:rFonts w:ascii="宋体" w:hAnsi="宋体" w:eastAsia="宋体" w:cs="Times New Roman"/>
                <w:b/>
                <w:bCs/>
              </w:rPr>
            </w:pPr>
            <w:r>
              <w:rPr>
                <w:rFonts w:hint="eastAsia" w:ascii="宋体" w:hAnsi="宋体" w:eastAsia="宋体" w:cs="Times New Roman"/>
                <w:b/>
                <w:bCs/>
              </w:rPr>
              <w:t>日常公用经费</w:t>
            </w:r>
          </w:p>
        </w:tc>
        <w:tc>
          <w:tcPr>
            <w:tcW w:w="708" w:type="dxa"/>
            <w:vAlign w:val="center"/>
          </w:tcPr>
          <w:p>
            <w:pPr>
              <w:spacing w:line="560" w:lineRule="exact"/>
              <w:jc w:val="right"/>
              <w:rPr>
                <w:rFonts w:ascii="宋体" w:hAnsi="宋体" w:eastAsia="宋体" w:cs="Times New Roman"/>
                <w:b/>
                <w:bCs/>
              </w:rPr>
            </w:pPr>
            <w:r>
              <w:rPr>
                <w:rFonts w:hint="eastAsia" w:ascii="宋体" w:hAnsi="宋体" w:eastAsia="宋体" w:cs="Times New Roman"/>
                <w:b/>
                <w:bCs/>
              </w:rPr>
              <w:t>0.58</w:t>
            </w:r>
          </w:p>
        </w:tc>
        <w:tc>
          <w:tcPr>
            <w:tcW w:w="1134" w:type="dxa"/>
            <w:vAlign w:val="center"/>
          </w:tcPr>
          <w:p>
            <w:pPr>
              <w:spacing w:line="560" w:lineRule="exact"/>
              <w:jc w:val="left"/>
              <w:rPr>
                <w:rFonts w:ascii="宋体" w:hAnsi="宋体" w:eastAsia="宋体" w:cs="Times New Roman"/>
                <w:b/>
                <w:bCs/>
              </w:rPr>
            </w:pPr>
            <w:r>
              <w:rPr>
                <w:rFonts w:hint="eastAsia" w:ascii="宋体" w:hAnsi="宋体" w:eastAsia="宋体" w:cs="Times New Roman"/>
                <w:b/>
                <w:bCs/>
              </w:rPr>
              <w:t>电脑</w:t>
            </w:r>
          </w:p>
        </w:tc>
        <w:tc>
          <w:tcPr>
            <w:tcW w:w="851" w:type="dxa"/>
            <w:vAlign w:val="center"/>
          </w:tcPr>
          <w:p>
            <w:pPr>
              <w:spacing w:line="560" w:lineRule="exact"/>
              <w:jc w:val="left"/>
              <w:rPr>
                <w:rFonts w:ascii="宋体" w:hAnsi="宋体" w:eastAsia="宋体" w:cs="Times New Roman"/>
                <w:b/>
                <w:bCs/>
              </w:rPr>
            </w:pPr>
            <w:r>
              <w:rPr>
                <w:rFonts w:hint="eastAsia" w:ascii="宋体" w:hAnsi="宋体" w:eastAsia="宋体" w:cs="Times New Roman"/>
                <w:b/>
                <w:bCs/>
              </w:rPr>
              <w:t>A020199</w:t>
            </w:r>
          </w:p>
        </w:tc>
        <w:tc>
          <w:tcPr>
            <w:tcW w:w="425" w:type="dxa"/>
            <w:vAlign w:val="center"/>
          </w:tcPr>
          <w:p>
            <w:pPr>
              <w:spacing w:line="560" w:lineRule="exact"/>
              <w:jc w:val="left"/>
              <w:rPr>
                <w:rFonts w:ascii="宋体" w:hAnsi="宋体" w:eastAsia="宋体" w:cs="Times New Roman"/>
                <w:b/>
                <w:bCs/>
              </w:rPr>
            </w:pPr>
            <w:r>
              <w:rPr>
                <w:rFonts w:hint="eastAsia" w:ascii="宋体" w:hAnsi="宋体" w:eastAsia="宋体" w:cs="Times New Roman"/>
                <w:b/>
                <w:bCs/>
              </w:rPr>
              <w:t>台</w:t>
            </w:r>
          </w:p>
        </w:tc>
        <w:tc>
          <w:tcPr>
            <w:tcW w:w="567" w:type="dxa"/>
            <w:vAlign w:val="center"/>
          </w:tcPr>
          <w:p>
            <w:pPr>
              <w:spacing w:line="560" w:lineRule="exact"/>
              <w:jc w:val="right"/>
              <w:rPr>
                <w:rFonts w:ascii="宋体" w:hAnsi="宋体" w:eastAsia="宋体" w:cs="Times New Roman"/>
                <w:b/>
                <w:bCs/>
              </w:rPr>
            </w:pPr>
            <w:r>
              <w:rPr>
                <w:rFonts w:hint="eastAsia" w:ascii="宋体" w:hAnsi="宋体" w:eastAsia="宋体" w:cs="Times New Roman"/>
                <w:b/>
                <w:bCs/>
              </w:rPr>
              <w:t>1</w:t>
            </w:r>
          </w:p>
        </w:tc>
        <w:tc>
          <w:tcPr>
            <w:tcW w:w="709" w:type="dxa"/>
            <w:vAlign w:val="center"/>
          </w:tcPr>
          <w:p>
            <w:pPr>
              <w:spacing w:line="560" w:lineRule="exact"/>
              <w:jc w:val="right"/>
              <w:rPr>
                <w:rFonts w:ascii="宋体" w:hAnsi="宋体" w:eastAsia="宋体" w:cs="Times New Roman"/>
                <w:b/>
                <w:bCs/>
              </w:rPr>
            </w:pPr>
            <w:r>
              <w:rPr>
                <w:rFonts w:hint="eastAsia" w:ascii="宋体" w:hAnsi="宋体" w:eastAsia="宋体" w:cs="Times New Roman"/>
                <w:b/>
                <w:bCs/>
              </w:rPr>
              <w:t>0.58</w:t>
            </w:r>
          </w:p>
        </w:tc>
        <w:tc>
          <w:tcPr>
            <w:tcW w:w="709" w:type="dxa"/>
            <w:vAlign w:val="center"/>
          </w:tcPr>
          <w:p>
            <w:pPr>
              <w:spacing w:line="560" w:lineRule="exact"/>
              <w:jc w:val="right"/>
              <w:rPr>
                <w:rFonts w:ascii="宋体" w:hAnsi="宋体" w:eastAsia="宋体" w:cs="Times New Roman"/>
                <w:b/>
                <w:bCs/>
              </w:rPr>
            </w:pPr>
            <w:r>
              <w:rPr>
                <w:rFonts w:hint="eastAsia" w:ascii="宋体" w:hAnsi="宋体" w:eastAsia="宋体" w:cs="Times New Roman"/>
                <w:b/>
                <w:bCs/>
              </w:rPr>
              <w:t>0.58</w:t>
            </w:r>
          </w:p>
        </w:tc>
        <w:tc>
          <w:tcPr>
            <w:tcW w:w="843" w:type="dxa"/>
            <w:vAlign w:val="center"/>
          </w:tcPr>
          <w:p>
            <w:pPr>
              <w:spacing w:line="560" w:lineRule="exact"/>
              <w:jc w:val="right"/>
              <w:rPr>
                <w:rFonts w:ascii="宋体" w:hAnsi="宋体" w:eastAsia="宋体" w:cs="Times New Roman"/>
                <w:b/>
                <w:bCs/>
              </w:rPr>
            </w:pPr>
            <w:r>
              <w:rPr>
                <w:rFonts w:hint="eastAsia" w:ascii="宋体" w:hAnsi="宋体" w:eastAsia="宋体" w:cs="Times New Roman"/>
                <w:b/>
                <w:bCs/>
              </w:rPr>
              <w:t>0.58</w:t>
            </w:r>
          </w:p>
        </w:tc>
        <w:tc>
          <w:tcPr>
            <w:tcW w:w="562" w:type="dxa"/>
            <w:vAlign w:val="center"/>
          </w:tcPr>
          <w:p>
            <w:pPr>
              <w:spacing w:line="560" w:lineRule="exact"/>
              <w:jc w:val="right"/>
              <w:rPr>
                <w:rFonts w:ascii="宋体" w:hAnsi="宋体" w:eastAsia="宋体" w:cs="Times New Roman"/>
                <w:b/>
                <w:bCs/>
              </w:rPr>
            </w:pPr>
          </w:p>
        </w:tc>
        <w:tc>
          <w:tcPr>
            <w:tcW w:w="511" w:type="dxa"/>
            <w:vAlign w:val="center"/>
          </w:tcPr>
          <w:p>
            <w:pPr>
              <w:spacing w:line="560" w:lineRule="exact"/>
              <w:jc w:val="right"/>
              <w:rPr>
                <w:rFonts w:ascii="宋体" w:hAnsi="宋体" w:eastAsia="宋体" w:cs="Times New Roman"/>
                <w:b/>
                <w:bCs/>
              </w:rPr>
            </w:pPr>
          </w:p>
        </w:tc>
        <w:tc>
          <w:tcPr>
            <w:tcW w:w="551" w:type="dxa"/>
            <w:vAlign w:val="center"/>
          </w:tcPr>
          <w:p>
            <w:pPr>
              <w:spacing w:line="560" w:lineRule="exact"/>
              <w:jc w:val="right"/>
              <w:rPr>
                <w:rFonts w:ascii="宋体" w:hAnsi="宋体" w:eastAsia="宋体" w:cs="Times New Roman"/>
                <w:b/>
                <w:bCs/>
              </w:rPr>
            </w:pPr>
          </w:p>
        </w:tc>
        <w:tc>
          <w:tcPr>
            <w:tcW w:w="551" w:type="dxa"/>
            <w:gridSpan w:val="2"/>
            <w:vAlign w:val="center"/>
          </w:tcPr>
          <w:p>
            <w:pPr>
              <w:spacing w:line="560" w:lineRule="exact"/>
              <w:jc w:val="right"/>
              <w:rPr>
                <w:rFonts w:ascii="宋体" w:hAnsi="宋体" w:eastAsia="宋体" w:cs="Times New Roman"/>
                <w:b/>
                <w:bCs/>
              </w:rPr>
            </w:pPr>
          </w:p>
        </w:tc>
        <w:tc>
          <w:tcPr>
            <w:tcW w:w="516" w:type="dxa"/>
            <w:vAlign w:val="center"/>
          </w:tcPr>
          <w:p>
            <w:pPr>
              <w:spacing w:line="560" w:lineRule="exact"/>
              <w:jc w:val="right"/>
              <w:rPr>
                <w:rFonts w:ascii="宋体" w:hAnsi="宋体" w:eastAsia="宋体" w:cs="Times New Roman"/>
                <w:b/>
                <w:bCs/>
              </w:rPr>
            </w:pPr>
          </w:p>
        </w:tc>
      </w:tr>
    </w:tbl>
    <w:p>
      <w:pPr>
        <w:widowControl/>
        <w:spacing w:line="360" w:lineRule="auto"/>
        <w:ind w:firstLine="977" w:firstLineChars="304"/>
        <w:jc w:val="left"/>
        <w:rPr>
          <w:rFonts w:ascii="Calibri" w:hAnsi="Calibri" w:eastAsia="仿宋_GB2312" w:cs="Calibri"/>
          <w:b/>
          <w:kern w:val="0"/>
          <w:sz w:val="32"/>
          <w:szCs w:val="32"/>
        </w:rPr>
      </w:pPr>
      <w:r>
        <w:rPr>
          <w:rFonts w:hint="eastAsia" w:ascii="Calibri" w:hAnsi="Calibri" w:eastAsia="仿宋_GB2312" w:cs="Calibri"/>
          <w:b/>
          <w:kern w:val="0"/>
          <w:sz w:val="32"/>
          <w:szCs w:val="32"/>
        </w:rPr>
        <w:t>七、国有资产情况的说明</w:t>
      </w:r>
    </w:p>
    <w:p>
      <w:pPr>
        <w:widowControl/>
        <w:spacing w:line="360" w:lineRule="auto"/>
        <w:ind w:firstLine="972" w:firstLineChars="304"/>
        <w:jc w:val="left"/>
        <w:rPr>
          <w:rFonts w:ascii="仿宋_GB2312" w:hAnsi="Calibri" w:eastAsia="仿宋_GB2312" w:cs="仿宋_GB2312"/>
          <w:kern w:val="0"/>
          <w:sz w:val="32"/>
          <w:szCs w:val="32"/>
        </w:rPr>
      </w:pPr>
      <w:r>
        <w:rPr>
          <w:rFonts w:ascii="仿宋_GB2312" w:hAnsi="宋体" w:eastAsia="仿宋_GB2312" w:cs="宋体"/>
          <w:color w:val="333333"/>
          <w:kern w:val="0"/>
          <w:sz w:val="32"/>
          <w:szCs w:val="32"/>
        </w:rPr>
        <w:t>截止上年</w:t>
      </w:r>
      <w:r>
        <w:rPr>
          <w:rFonts w:ascii="仿宋_GB2312" w:hAnsi="Calibri" w:eastAsia="仿宋_GB2312" w:cs="仿宋_GB2312"/>
          <w:kern w:val="0"/>
          <w:sz w:val="32"/>
          <w:szCs w:val="32"/>
        </w:rPr>
        <w:t>末固定资产帐面结余</w:t>
      </w:r>
      <w:r>
        <w:rPr>
          <w:rFonts w:hint="eastAsia" w:ascii="仿宋_GB2312" w:hAnsi="Calibri" w:eastAsia="仿宋_GB2312" w:cs="仿宋_GB2312"/>
          <w:kern w:val="0"/>
          <w:sz w:val="32"/>
          <w:szCs w:val="32"/>
        </w:rPr>
        <w:t>155.76</w:t>
      </w:r>
      <w:r>
        <w:rPr>
          <w:rFonts w:ascii="仿宋_GB2312" w:hAnsi="Calibri" w:eastAsia="仿宋_GB2312" w:cs="仿宋_GB2312"/>
          <w:kern w:val="0"/>
          <w:sz w:val="32"/>
          <w:szCs w:val="32"/>
        </w:rPr>
        <w:t>万元。</w:t>
      </w:r>
      <w:r>
        <w:rPr>
          <w:rFonts w:hint="eastAsia" w:ascii="仿宋_GB2312" w:hAnsi="Calibri" w:eastAsia="仿宋_GB2312" w:cs="仿宋_GB2312"/>
          <w:kern w:val="0"/>
          <w:sz w:val="32"/>
          <w:szCs w:val="32"/>
        </w:rPr>
        <w:t>其他固定资产包括打印机2台，电脑5台，办公桌椅15个等。2019年我单位拟购置0.58万元。</w:t>
      </w:r>
    </w:p>
    <w:tbl>
      <w:tblPr>
        <w:tblStyle w:val="6"/>
        <w:tblW w:w="9060" w:type="dxa"/>
        <w:tblInd w:w="-106" w:type="dxa"/>
        <w:tblLayout w:type="fixed"/>
        <w:tblCellMar>
          <w:top w:w="0" w:type="dxa"/>
          <w:left w:w="108" w:type="dxa"/>
          <w:bottom w:w="0" w:type="dxa"/>
          <w:right w:w="108" w:type="dxa"/>
        </w:tblCellMar>
      </w:tblPr>
      <w:tblGrid>
        <w:gridCol w:w="4139"/>
        <w:gridCol w:w="855"/>
        <w:gridCol w:w="4066"/>
      </w:tblGrid>
      <w:tr>
        <w:tblPrEx>
          <w:tblCellMar>
            <w:top w:w="0" w:type="dxa"/>
            <w:left w:w="108" w:type="dxa"/>
            <w:bottom w:w="0" w:type="dxa"/>
            <w:right w:w="108" w:type="dxa"/>
          </w:tblCellMar>
        </w:tblPrEx>
        <w:trPr>
          <w:trHeight w:val="705" w:hRule="atLeast"/>
        </w:trPr>
        <w:tc>
          <w:tcPr>
            <w:tcW w:w="9060" w:type="dxa"/>
            <w:gridSpan w:val="3"/>
            <w:tcBorders>
              <w:top w:val="nil"/>
              <w:left w:val="nil"/>
              <w:bottom w:val="nil"/>
              <w:right w:val="nil"/>
            </w:tcBorders>
            <w:vAlign w:val="center"/>
          </w:tcPr>
          <w:p>
            <w:pPr>
              <w:widowControl/>
              <w:jc w:val="center"/>
              <w:rPr>
                <w:rFonts w:ascii="宋体" w:hAnsi="宋体" w:eastAsia="宋体" w:cs="Times New Roman"/>
                <w:b/>
                <w:bCs/>
                <w:kern w:val="0"/>
                <w:sz w:val="32"/>
                <w:szCs w:val="32"/>
              </w:rPr>
            </w:pPr>
            <w:r>
              <w:rPr>
                <w:rFonts w:hint="eastAsia" w:ascii="宋体" w:hAnsi="宋体" w:eastAsia="宋体" w:cs="宋体"/>
                <w:b/>
                <w:bCs/>
                <w:kern w:val="0"/>
                <w:sz w:val="32"/>
                <w:szCs w:val="32"/>
              </w:rPr>
              <w:t>部门固定资产占用情况表</w:t>
            </w:r>
          </w:p>
        </w:tc>
      </w:tr>
      <w:tr>
        <w:tblPrEx>
          <w:tblCellMar>
            <w:top w:w="0" w:type="dxa"/>
            <w:left w:w="108" w:type="dxa"/>
            <w:bottom w:w="0" w:type="dxa"/>
            <w:right w:w="108" w:type="dxa"/>
          </w:tblCellMar>
        </w:tblPrEx>
        <w:trPr>
          <w:trHeight w:val="510" w:hRule="atLeast"/>
        </w:trPr>
        <w:tc>
          <w:tcPr>
            <w:tcW w:w="4994" w:type="dxa"/>
            <w:gridSpan w:val="2"/>
            <w:tcBorders>
              <w:top w:val="nil"/>
              <w:left w:val="nil"/>
              <w:bottom w:val="nil"/>
              <w:right w:val="nil"/>
            </w:tcBorders>
            <w:vAlign w:val="center"/>
          </w:tcPr>
          <w:p>
            <w:pPr>
              <w:widowControl/>
              <w:jc w:val="left"/>
              <w:rPr>
                <w:rFonts w:ascii="宋体" w:hAnsi="宋体" w:eastAsia="宋体" w:cs="Times New Roman"/>
                <w:kern w:val="0"/>
                <w:sz w:val="22"/>
              </w:rPr>
            </w:pPr>
            <w:r>
              <w:rPr>
                <w:rFonts w:hint="eastAsia" w:ascii="宋体" w:hAnsi="宋体" w:eastAsia="宋体" w:cs="宋体"/>
                <w:kern w:val="0"/>
                <w:sz w:val="22"/>
              </w:rPr>
              <w:t>编制部门：</w:t>
            </w:r>
            <w:r>
              <w:rPr>
                <w:rFonts w:hint="eastAsia" w:ascii="宋体" w:hAnsi="宋体" w:eastAsia="宋体" w:cs="方正小标宋_GBK"/>
                <w:sz w:val="24"/>
                <w:szCs w:val="24"/>
              </w:rPr>
              <w:t>成安县总工会</w:t>
            </w:r>
          </w:p>
        </w:tc>
        <w:tc>
          <w:tcPr>
            <w:tcW w:w="4066" w:type="dxa"/>
            <w:tcBorders>
              <w:top w:val="nil"/>
              <w:left w:val="nil"/>
              <w:bottom w:val="nil"/>
              <w:right w:val="nil"/>
            </w:tcBorders>
            <w:vAlign w:val="center"/>
          </w:tcPr>
          <w:p>
            <w:pPr>
              <w:widowControl/>
              <w:ind w:firstLine="550" w:firstLineChars="250"/>
              <w:jc w:val="left"/>
              <w:rPr>
                <w:rFonts w:ascii="宋体" w:hAnsi="宋体" w:eastAsia="宋体" w:cs="宋体"/>
                <w:kern w:val="0"/>
                <w:sz w:val="22"/>
              </w:rPr>
            </w:pPr>
            <w:r>
              <w:rPr>
                <w:rFonts w:hint="eastAsia" w:ascii="宋体" w:hAnsi="宋体" w:eastAsia="宋体" w:cs="宋体"/>
                <w:kern w:val="0"/>
                <w:sz w:val="22"/>
              </w:rPr>
              <w:t>截止时间：2018年</w:t>
            </w:r>
            <w:r>
              <w:rPr>
                <w:rFonts w:ascii="宋体" w:hAnsi="宋体" w:eastAsia="宋体" w:cs="宋体"/>
                <w:kern w:val="0"/>
                <w:sz w:val="22"/>
              </w:rPr>
              <w:t>12</w:t>
            </w:r>
            <w:r>
              <w:rPr>
                <w:rFonts w:hint="eastAsia" w:ascii="宋体" w:hAnsi="宋体" w:eastAsia="宋体" w:cs="宋体"/>
                <w:kern w:val="0"/>
                <w:sz w:val="22"/>
              </w:rPr>
              <w:t>月</w:t>
            </w:r>
            <w:r>
              <w:rPr>
                <w:rFonts w:ascii="宋体" w:hAnsi="宋体" w:eastAsia="宋体" w:cs="宋体"/>
                <w:kern w:val="0"/>
                <w:sz w:val="22"/>
              </w:rPr>
              <w:t>31</w:t>
            </w:r>
            <w:r>
              <w:rPr>
                <w:rFonts w:hint="eastAsia" w:ascii="宋体" w:hAnsi="宋体" w:eastAsia="宋体" w:cs="宋体"/>
                <w:kern w:val="0"/>
                <w:sz w:val="22"/>
              </w:rPr>
              <w:t>日</w:t>
            </w:r>
          </w:p>
        </w:tc>
      </w:tr>
      <w:tr>
        <w:tblPrEx>
          <w:tblCellMar>
            <w:top w:w="0" w:type="dxa"/>
            <w:left w:w="108" w:type="dxa"/>
            <w:bottom w:w="0" w:type="dxa"/>
            <w:right w:w="108" w:type="dxa"/>
          </w:tblCellMar>
        </w:tblPrEx>
        <w:trPr>
          <w:trHeight w:val="645" w:hRule="atLeast"/>
        </w:trPr>
        <w:tc>
          <w:tcPr>
            <w:tcW w:w="413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Times New Roman"/>
                <w:b/>
                <w:bCs/>
                <w:kern w:val="0"/>
                <w:sz w:val="22"/>
              </w:rPr>
            </w:pPr>
            <w:r>
              <w:rPr>
                <w:rFonts w:hint="eastAsia" w:ascii="宋体" w:hAnsi="宋体" w:eastAsia="宋体" w:cs="宋体"/>
                <w:b/>
                <w:bCs/>
                <w:kern w:val="0"/>
                <w:sz w:val="22"/>
              </w:rPr>
              <w:t>项目</w:t>
            </w:r>
          </w:p>
        </w:tc>
        <w:tc>
          <w:tcPr>
            <w:tcW w:w="855"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b/>
                <w:bCs/>
                <w:kern w:val="0"/>
                <w:sz w:val="22"/>
              </w:rPr>
            </w:pPr>
            <w:r>
              <w:rPr>
                <w:rFonts w:hint="eastAsia" w:ascii="宋体" w:hAnsi="宋体" w:eastAsia="宋体" w:cs="宋体"/>
                <w:b/>
                <w:bCs/>
                <w:kern w:val="0"/>
                <w:sz w:val="22"/>
              </w:rPr>
              <w:t>数量</w:t>
            </w:r>
          </w:p>
        </w:tc>
        <w:tc>
          <w:tcPr>
            <w:tcW w:w="4066"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b/>
                <w:bCs/>
                <w:kern w:val="0"/>
                <w:sz w:val="22"/>
              </w:rPr>
            </w:pPr>
            <w:r>
              <w:rPr>
                <w:rFonts w:hint="eastAsia" w:ascii="宋体" w:hAnsi="宋体" w:eastAsia="宋体" w:cs="宋体"/>
                <w:b/>
                <w:bCs/>
                <w:kern w:val="0"/>
                <w:sz w:val="22"/>
              </w:rPr>
              <w:t>价值（金额单位：万元）</w:t>
            </w:r>
          </w:p>
        </w:tc>
      </w:tr>
      <w:tr>
        <w:tblPrEx>
          <w:tblCellMar>
            <w:top w:w="0" w:type="dxa"/>
            <w:left w:w="108" w:type="dxa"/>
            <w:bottom w:w="0" w:type="dxa"/>
            <w:right w:w="108" w:type="dxa"/>
          </w:tblCellMar>
        </w:tblPrEx>
        <w:trPr>
          <w:trHeight w:val="645" w:hRule="atLeast"/>
        </w:trPr>
        <w:tc>
          <w:tcPr>
            <w:tcW w:w="4139" w:type="dxa"/>
            <w:tcBorders>
              <w:top w:val="nil"/>
              <w:left w:val="single" w:color="auto" w:sz="4" w:space="0"/>
              <w:bottom w:val="single" w:color="auto" w:sz="4" w:space="0"/>
              <w:right w:val="single" w:color="auto" w:sz="4" w:space="0"/>
            </w:tcBorders>
            <w:vAlign w:val="center"/>
          </w:tcPr>
          <w:p>
            <w:pPr>
              <w:widowControl/>
              <w:jc w:val="center"/>
              <w:rPr>
                <w:rFonts w:ascii="宋体" w:hAnsi="宋体" w:eastAsia="宋体" w:cs="Times New Roman"/>
                <w:kern w:val="0"/>
                <w:sz w:val="22"/>
              </w:rPr>
            </w:pPr>
            <w:r>
              <w:rPr>
                <w:rFonts w:hint="eastAsia" w:ascii="宋体" w:hAnsi="宋体" w:eastAsia="宋体" w:cs="宋体"/>
                <w:kern w:val="0"/>
                <w:sz w:val="22"/>
              </w:rPr>
              <w:t>资产总额</w:t>
            </w:r>
          </w:p>
        </w:tc>
        <w:tc>
          <w:tcPr>
            <w:tcW w:w="855" w:type="dxa"/>
            <w:tcBorders>
              <w:top w:val="nil"/>
              <w:left w:val="nil"/>
              <w:bottom w:val="single" w:color="auto" w:sz="4" w:space="0"/>
              <w:right w:val="single" w:color="auto" w:sz="4" w:space="0"/>
            </w:tcBorders>
            <w:vAlign w:val="center"/>
          </w:tcPr>
          <w:p>
            <w:pPr>
              <w:widowControl/>
              <w:jc w:val="center"/>
              <w:rPr>
                <w:rFonts w:ascii="宋体" w:hAnsi="宋体" w:eastAsia="宋体" w:cs="宋体"/>
                <w:kern w:val="0"/>
                <w:sz w:val="22"/>
              </w:rPr>
            </w:pPr>
            <w:r>
              <w:rPr>
                <w:rFonts w:ascii="宋体" w:hAnsi="宋体" w:eastAsia="宋体" w:cs="宋体"/>
                <w:kern w:val="0"/>
                <w:sz w:val="22"/>
              </w:rPr>
              <w:t>——</w:t>
            </w:r>
          </w:p>
        </w:tc>
        <w:tc>
          <w:tcPr>
            <w:tcW w:w="4066" w:type="dxa"/>
            <w:tcBorders>
              <w:top w:val="nil"/>
              <w:left w:val="nil"/>
              <w:bottom w:val="single" w:color="auto" w:sz="4" w:space="0"/>
              <w:right w:val="single" w:color="auto" w:sz="4" w:space="0"/>
            </w:tcBorders>
            <w:vAlign w:val="center"/>
          </w:tcPr>
          <w:p>
            <w:pPr>
              <w:widowControl/>
              <w:jc w:val="center"/>
              <w:rPr>
                <w:rFonts w:ascii="宋体" w:hAnsi="宋体" w:eastAsia="宋体" w:cs="宋体"/>
                <w:kern w:val="0"/>
                <w:sz w:val="22"/>
              </w:rPr>
            </w:pPr>
            <w:r>
              <w:rPr>
                <w:rFonts w:hint="eastAsia" w:ascii="宋体" w:hAnsi="宋体" w:eastAsia="宋体" w:cs="宋体"/>
                <w:kern w:val="0"/>
                <w:sz w:val="22"/>
              </w:rPr>
              <w:t>155.76</w:t>
            </w:r>
          </w:p>
        </w:tc>
      </w:tr>
      <w:tr>
        <w:tblPrEx>
          <w:tblCellMar>
            <w:top w:w="0" w:type="dxa"/>
            <w:left w:w="108" w:type="dxa"/>
            <w:bottom w:w="0" w:type="dxa"/>
            <w:right w:w="108" w:type="dxa"/>
          </w:tblCellMar>
        </w:tblPrEx>
        <w:trPr>
          <w:trHeight w:val="645" w:hRule="atLeast"/>
        </w:trPr>
        <w:tc>
          <w:tcPr>
            <w:tcW w:w="4139" w:type="dxa"/>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Times New Roman"/>
                <w:kern w:val="0"/>
                <w:sz w:val="22"/>
              </w:rPr>
            </w:pPr>
            <w:r>
              <w:rPr>
                <w:rFonts w:ascii="宋体" w:hAnsi="宋体" w:eastAsia="宋体" w:cs="宋体"/>
                <w:kern w:val="0"/>
                <w:sz w:val="22"/>
              </w:rPr>
              <w:t>1</w:t>
            </w:r>
            <w:r>
              <w:rPr>
                <w:rFonts w:hint="eastAsia" w:ascii="宋体" w:hAnsi="宋体" w:eastAsia="宋体" w:cs="宋体"/>
                <w:kern w:val="0"/>
                <w:sz w:val="22"/>
              </w:rPr>
              <w:t>、房屋（平方米）</w:t>
            </w:r>
          </w:p>
        </w:tc>
        <w:tc>
          <w:tcPr>
            <w:tcW w:w="855" w:type="dxa"/>
            <w:tcBorders>
              <w:top w:val="nil"/>
              <w:left w:val="nil"/>
              <w:bottom w:val="single" w:color="auto" w:sz="4" w:space="0"/>
              <w:right w:val="single" w:color="auto" w:sz="4" w:space="0"/>
            </w:tcBorders>
            <w:vAlign w:val="center"/>
          </w:tcPr>
          <w:p>
            <w:pPr>
              <w:widowControl/>
              <w:jc w:val="center"/>
              <w:rPr>
                <w:rFonts w:ascii="宋体" w:hAnsi="宋体" w:eastAsia="宋体" w:cs="Times New Roman"/>
                <w:kern w:val="0"/>
                <w:sz w:val="22"/>
              </w:rPr>
            </w:pPr>
          </w:p>
        </w:tc>
        <w:tc>
          <w:tcPr>
            <w:tcW w:w="4066" w:type="dxa"/>
            <w:tcBorders>
              <w:top w:val="nil"/>
              <w:left w:val="nil"/>
              <w:bottom w:val="single" w:color="auto" w:sz="4" w:space="0"/>
              <w:right w:val="single" w:color="auto" w:sz="4" w:space="0"/>
            </w:tcBorders>
            <w:vAlign w:val="center"/>
          </w:tcPr>
          <w:p>
            <w:pPr>
              <w:widowControl/>
              <w:jc w:val="center"/>
              <w:rPr>
                <w:rFonts w:ascii="宋体" w:hAnsi="宋体" w:eastAsia="宋体" w:cs="Times New Roman"/>
                <w:kern w:val="0"/>
                <w:sz w:val="22"/>
              </w:rPr>
            </w:pPr>
          </w:p>
        </w:tc>
      </w:tr>
      <w:tr>
        <w:tblPrEx>
          <w:tblCellMar>
            <w:top w:w="0" w:type="dxa"/>
            <w:left w:w="108" w:type="dxa"/>
            <w:bottom w:w="0" w:type="dxa"/>
            <w:right w:w="108" w:type="dxa"/>
          </w:tblCellMar>
        </w:tblPrEx>
        <w:trPr>
          <w:trHeight w:val="645" w:hRule="atLeast"/>
        </w:trPr>
        <w:tc>
          <w:tcPr>
            <w:tcW w:w="4139" w:type="dxa"/>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Times New Roman"/>
                <w:kern w:val="0"/>
                <w:sz w:val="22"/>
              </w:rPr>
            </w:pPr>
            <w:r>
              <w:rPr>
                <w:rFonts w:hint="eastAsia" w:ascii="宋体" w:hAnsi="宋体" w:eastAsia="宋体" w:cs="宋体"/>
                <w:kern w:val="0"/>
                <w:sz w:val="22"/>
              </w:rPr>
              <w:t>其中：办公用房（平方米）</w:t>
            </w:r>
          </w:p>
        </w:tc>
        <w:tc>
          <w:tcPr>
            <w:tcW w:w="855" w:type="dxa"/>
            <w:tcBorders>
              <w:top w:val="nil"/>
              <w:left w:val="nil"/>
              <w:bottom w:val="single" w:color="auto" w:sz="4" w:space="0"/>
              <w:right w:val="single" w:color="auto" w:sz="4" w:space="0"/>
            </w:tcBorders>
            <w:vAlign w:val="center"/>
          </w:tcPr>
          <w:p>
            <w:pPr>
              <w:widowControl/>
              <w:jc w:val="center"/>
              <w:rPr>
                <w:rFonts w:ascii="宋体" w:hAnsi="宋体" w:eastAsia="宋体" w:cs="Times New Roman"/>
                <w:kern w:val="0"/>
                <w:sz w:val="22"/>
              </w:rPr>
            </w:pPr>
            <w:r>
              <w:rPr>
                <w:rFonts w:hint="eastAsia" w:ascii="宋体" w:hAnsi="宋体" w:eastAsia="宋体" w:cs="Times New Roman"/>
                <w:kern w:val="0"/>
                <w:sz w:val="22"/>
              </w:rPr>
              <w:t>960</w:t>
            </w:r>
          </w:p>
        </w:tc>
        <w:tc>
          <w:tcPr>
            <w:tcW w:w="4066" w:type="dxa"/>
            <w:tcBorders>
              <w:top w:val="nil"/>
              <w:left w:val="nil"/>
              <w:bottom w:val="single" w:color="auto" w:sz="4" w:space="0"/>
              <w:right w:val="single" w:color="auto" w:sz="4" w:space="0"/>
            </w:tcBorders>
            <w:vAlign w:val="center"/>
          </w:tcPr>
          <w:p>
            <w:pPr>
              <w:widowControl/>
              <w:jc w:val="center"/>
              <w:rPr>
                <w:rFonts w:ascii="宋体" w:hAnsi="宋体" w:eastAsia="宋体" w:cs="Times New Roman"/>
                <w:kern w:val="0"/>
                <w:sz w:val="22"/>
              </w:rPr>
            </w:pPr>
            <w:r>
              <w:rPr>
                <w:rFonts w:hint="eastAsia" w:ascii="宋体" w:hAnsi="宋体" w:eastAsia="宋体" w:cs="Times New Roman"/>
                <w:kern w:val="0"/>
                <w:sz w:val="22"/>
              </w:rPr>
              <w:t>98.8</w:t>
            </w:r>
          </w:p>
        </w:tc>
      </w:tr>
      <w:tr>
        <w:tblPrEx>
          <w:tblCellMar>
            <w:top w:w="0" w:type="dxa"/>
            <w:left w:w="108" w:type="dxa"/>
            <w:bottom w:w="0" w:type="dxa"/>
            <w:right w:w="108" w:type="dxa"/>
          </w:tblCellMar>
        </w:tblPrEx>
        <w:trPr>
          <w:trHeight w:val="645" w:hRule="atLeast"/>
        </w:trPr>
        <w:tc>
          <w:tcPr>
            <w:tcW w:w="4139" w:type="dxa"/>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Times New Roman"/>
                <w:kern w:val="0"/>
                <w:sz w:val="22"/>
              </w:rPr>
            </w:pPr>
            <w:r>
              <w:rPr>
                <w:rFonts w:ascii="宋体" w:hAnsi="宋体" w:eastAsia="宋体" w:cs="宋体"/>
                <w:kern w:val="0"/>
                <w:sz w:val="22"/>
              </w:rPr>
              <w:t>2</w:t>
            </w:r>
            <w:r>
              <w:rPr>
                <w:rFonts w:hint="eastAsia" w:ascii="宋体" w:hAnsi="宋体" w:eastAsia="宋体" w:cs="宋体"/>
                <w:kern w:val="0"/>
                <w:sz w:val="22"/>
              </w:rPr>
              <w:t>、车辆（台、辆）</w:t>
            </w:r>
          </w:p>
        </w:tc>
        <w:tc>
          <w:tcPr>
            <w:tcW w:w="855" w:type="dxa"/>
            <w:tcBorders>
              <w:top w:val="nil"/>
              <w:left w:val="nil"/>
              <w:bottom w:val="single" w:color="auto" w:sz="4" w:space="0"/>
              <w:right w:val="single" w:color="auto" w:sz="4" w:space="0"/>
            </w:tcBorders>
            <w:vAlign w:val="center"/>
          </w:tcPr>
          <w:p>
            <w:pPr>
              <w:widowControl/>
              <w:jc w:val="center"/>
              <w:rPr>
                <w:rFonts w:ascii="宋体" w:hAnsi="宋体" w:eastAsia="宋体" w:cs="Times New Roman"/>
                <w:kern w:val="0"/>
                <w:sz w:val="22"/>
              </w:rPr>
            </w:pPr>
          </w:p>
        </w:tc>
        <w:tc>
          <w:tcPr>
            <w:tcW w:w="4066" w:type="dxa"/>
            <w:tcBorders>
              <w:top w:val="nil"/>
              <w:left w:val="nil"/>
              <w:bottom w:val="single" w:color="auto" w:sz="4" w:space="0"/>
              <w:right w:val="single" w:color="auto" w:sz="4" w:space="0"/>
            </w:tcBorders>
            <w:vAlign w:val="center"/>
          </w:tcPr>
          <w:p>
            <w:pPr>
              <w:widowControl/>
              <w:jc w:val="center"/>
              <w:rPr>
                <w:rFonts w:ascii="宋体" w:hAnsi="宋体" w:eastAsia="宋体" w:cs="Times New Roman"/>
                <w:kern w:val="0"/>
                <w:sz w:val="22"/>
              </w:rPr>
            </w:pPr>
          </w:p>
        </w:tc>
      </w:tr>
      <w:tr>
        <w:tblPrEx>
          <w:tblCellMar>
            <w:top w:w="0" w:type="dxa"/>
            <w:left w:w="108" w:type="dxa"/>
            <w:bottom w:w="0" w:type="dxa"/>
            <w:right w:w="108" w:type="dxa"/>
          </w:tblCellMar>
        </w:tblPrEx>
        <w:trPr>
          <w:trHeight w:val="645" w:hRule="atLeast"/>
        </w:trPr>
        <w:tc>
          <w:tcPr>
            <w:tcW w:w="4139" w:type="dxa"/>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Times New Roman"/>
                <w:kern w:val="0"/>
                <w:sz w:val="22"/>
              </w:rPr>
            </w:pPr>
            <w:r>
              <w:rPr>
                <w:rFonts w:ascii="宋体" w:hAnsi="宋体" w:eastAsia="宋体" w:cs="宋体"/>
                <w:kern w:val="0"/>
                <w:sz w:val="22"/>
              </w:rPr>
              <w:t>3</w:t>
            </w:r>
            <w:r>
              <w:rPr>
                <w:rFonts w:hint="eastAsia" w:ascii="宋体" w:hAnsi="宋体" w:eastAsia="宋体" w:cs="宋体"/>
                <w:kern w:val="0"/>
                <w:sz w:val="22"/>
              </w:rPr>
              <w:t>、单价在</w:t>
            </w:r>
            <w:r>
              <w:rPr>
                <w:rFonts w:ascii="宋体" w:hAnsi="宋体" w:eastAsia="宋体" w:cs="宋体"/>
                <w:kern w:val="0"/>
                <w:sz w:val="22"/>
              </w:rPr>
              <w:t>50</w:t>
            </w:r>
            <w:r>
              <w:rPr>
                <w:rFonts w:hint="eastAsia" w:ascii="宋体" w:hAnsi="宋体" w:eastAsia="宋体" w:cs="宋体"/>
                <w:kern w:val="0"/>
                <w:sz w:val="22"/>
              </w:rPr>
              <w:t>万元以上的设备</w:t>
            </w:r>
          </w:p>
        </w:tc>
        <w:tc>
          <w:tcPr>
            <w:tcW w:w="855" w:type="dxa"/>
            <w:tcBorders>
              <w:top w:val="nil"/>
              <w:left w:val="nil"/>
              <w:bottom w:val="single" w:color="auto" w:sz="4" w:space="0"/>
              <w:right w:val="single" w:color="auto" w:sz="4" w:space="0"/>
            </w:tcBorders>
            <w:vAlign w:val="center"/>
          </w:tcPr>
          <w:p>
            <w:pPr>
              <w:widowControl/>
              <w:jc w:val="center"/>
              <w:rPr>
                <w:rFonts w:ascii="宋体" w:hAnsi="宋体" w:eastAsia="宋体" w:cs="Times New Roman"/>
                <w:kern w:val="0"/>
                <w:sz w:val="22"/>
              </w:rPr>
            </w:pPr>
          </w:p>
        </w:tc>
        <w:tc>
          <w:tcPr>
            <w:tcW w:w="4066" w:type="dxa"/>
            <w:tcBorders>
              <w:top w:val="nil"/>
              <w:left w:val="nil"/>
              <w:bottom w:val="single" w:color="auto" w:sz="4" w:space="0"/>
              <w:right w:val="single" w:color="auto" w:sz="4" w:space="0"/>
            </w:tcBorders>
            <w:vAlign w:val="center"/>
          </w:tcPr>
          <w:p>
            <w:pPr>
              <w:widowControl/>
              <w:jc w:val="center"/>
              <w:rPr>
                <w:rFonts w:ascii="宋体" w:hAnsi="宋体" w:eastAsia="宋体" w:cs="Times New Roman"/>
                <w:kern w:val="0"/>
                <w:sz w:val="22"/>
              </w:rPr>
            </w:pPr>
          </w:p>
        </w:tc>
      </w:tr>
      <w:tr>
        <w:tblPrEx>
          <w:tblCellMar>
            <w:top w:w="0" w:type="dxa"/>
            <w:left w:w="108" w:type="dxa"/>
            <w:bottom w:w="0" w:type="dxa"/>
            <w:right w:w="108" w:type="dxa"/>
          </w:tblCellMar>
        </w:tblPrEx>
        <w:trPr>
          <w:trHeight w:val="645" w:hRule="atLeast"/>
        </w:trPr>
        <w:tc>
          <w:tcPr>
            <w:tcW w:w="4139" w:type="dxa"/>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Times New Roman"/>
                <w:kern w:val="0"/>
                <w:sz w:val="22"/>
              </w:rPr>
            </w:pPr>
            <w:r>
              <w:rPr>
                <w:rFonts w:ascii="宋体" w:hAnsi="宋体" w:eastAsia="宋体" w:cs="宋体"/>
                <w:kern w:val="0"/>
                <w:sz w:val="22"/>
              </w:rPr>
              <w:t>4</w:t>
            </w:r>
            <w:r>
              <w:rPr>
                <w:rFonts w:hint="eastAsia" w:ascii="宋体" w:hAnsi="宋体" w:eastAsia="宋体" w:cs="宋体"/>
                <w:kern w:val="0"/>
                <w:sz w:val="22"/>
              </w:rPr>
              <w:t>、其他固定资产</w:t>
            </w:r>
          </w:p>
        </w:tc>
        <w:tc>
          <w:tcPr>
            <w:tcW w:w="855" w:type="dxa"/>
            <w:tcBorders>
              <w:top w:val="nil"/>
              <w:left w:val="nil"/>
              <w:bottom w:val="single" w:color="auto" w:sz="4" w:space="0"/>
              <w:right w:val="single" w:color="auto" w:sz="4" w:space="0"/>
            </w:tcBorders>
            <w:vAlign w:val="center"/>
          </w:tcPr>
          <w:p>
            <w:pPr>
              <w:widowControl/>
              <w:jc w:val="center"/>
              <w:rPr>
                <w:rFonts w:ascii="宋体" w:hAnsi="宋体" w:eastAsia="宋体" w:cs="Times New Roman"/>
                <w:kern w:val="0"/>
                <w:sz w:val="22"/>
              </w:rPr>
            </w:pPr>
            <w:r>
              <w:rPr>
                <w:rFonts w:hint="eastAsia" w:ascii="宋体" w:hAnsi="宋体" w:eastAsia="宋体" w:cs="Times New Roman"/>
                <w:kern w:val="0"/>
                <w:sz w:val="22"/>
              </w:rPr>
              <w:t>50</w:t>
            </w:r>
          </w:p>
        </w:tc>
        <w:tc>
          <w:tcPr>
            <w:tcW w:w="4066" w:type="dxa"/>
            <w:tcBorders>
              <w:top w:val="nil"/>
              <w:left w:val="nil"/>
              <w:bottom w:val="single" w:color="auto" w:sz="4" w:space="0"/>
              <w:right w:val="single" w:color="auto" w:sz="4" w:space="0"/>
            </w:tcBorders>
            <w:vAlign w:val="center"/>
          </w:tcPr>
          <w:p>
            <w:pPr>
              <w:widowControl/>
              <w:jc w:val="center"/>
              <w:rPr>
                <w:rFonts w:ascii="宋体" w:hAnsi="宋体" w:eastAsia="宋体" w:cs="Times New Roman"/>
                <w:kern w:val="0"/>
                <w:sz w:val="22"/>
              </w:rPr>
            </w:pPr>
            <w:r>
              <w:rPr>
                <w:rFonts w:hint="eastAsia" w:ascii="宋体" w:hAnsi="宋体" w:eastAsia="宋体" w:cs="Times New Roman"/>
                <w:kern w:val="0"/>
                <w:sz w:val="22"/>
              </w:rPr>
              <w:t>56.97</w:t>
            </w:r>
          </w:p>
        </w:tc>
      </w:tr>
    </w:tbl>
    <w:p>
      <w:pPr>
        <w:widowControl/>
        <w:spacing w:line="360" w:lineRule="auto"/>
        <w:ind w:firstLine="972" w:firstLineChars="304"/>
        <w:jc w:val="left"/>
        <w:rPr>
          <w:rFonts w:ascii="仿宋_GB2312" w:hAnsi="Calibri" w:eastAsia="仿宋_GB2312" w:cs="仿宋_GB2312"/>
          <w:kern w:val="0"/>
          <w:sz w:val="32"/>
          <w:szCs w:val="32"/>
        </w:rPr>
      </w:pPr>
    </w:p>
    <w:p>
      <w:pPr>
        <w:widowControl/>
        <w:spacing w:line="360" w:lineRule="auto"/>
        <w:jc w:val="left"/>
        <w:rPr>
          <w:rFonts w:ascii="仿宋" w:hAnsi="仿宋" w:eastAsia="仿宋" w:cs="仿宋"/>
          <w:kern w:val="0"/>
          <w:sz w:val="32"/>
          <w:szCs w:val="32"/>
        </w:rPr>
      </w:pPr>
      <w:r>
        <w:rPr>
          <w:rFonts w:hint="eastAsia" w:ascii="仿宋_GB2312" w:hAnsi="Calibri" w:eastAsia="仿宋_GB2312" w:cs="仿宋_GB2312"/>
          <w:b/>
          <w:kern w:val="0"/>
          <w:sz w:val="32"/>
          <w:szCs w:val="32"/>
        </w:rPr>
        <w:t>八、</w:t>
      </w:r>
      <w:r>
        <w:rPr>
          <w:rFonts w:hint="eastAsia" w:ascii="仿宋" w:hAnsi="仿宋" w:eastAsia="仿宋" w:cs="仿宋"/>
          <w:b/>
          <w:kern w:val="0"/>
          <w:sz w:val="32"/>
          <w:szCs w:val="32"/>
        </w:rPr>
        <w:t>名词解释</w:t>
      </w:r>
      <w:r>
        <w:rPr>
          <w:rFonts w:hint="eastAsia" w:ascii="仿宋" w:hAnsi="仿宋" w:eastAsia="仿宋" w:cs="仿宋"/>
          <w:kern w:val="0"/>
          <w:sz w:val="32"/>
          <w:szCs w:val="32"/>
        </w:rPr>
        <w:t> </w:t>
      </w:r>
    </w:p>
    <w:p>
      <w:pPr>
        <w:widowControl/>
        <w:numPr>
          <w:ilvl w:val="0"/>
          <w:numId w:val="3"/>
        </w:numPr>
        <w:spacing w:line="360" w:lineRule="auto"/>
        <w:jc w:val="left"/>
        <w:rPr>
          <w:rFonts w:ascii="仿宋" w:hAnsi="仿宋" w:eastAsia="仿宋" w:cs="仿宋"/>
          <w:kern w:val="0"/>
          <w:sz w:val="32"/>
          <w:szCs w:val="32"/>
        </w:rPr>
      </w:pPr>
      <w:r>
        <w:rPr>
          <w:rFonts w:hint="eastAsia" w:ascii="仿宋" w:hAnsi="仿宋" w:eastAsia="仿宋" w:cs="仿宋"/>
          <w:bCs/>
          <w:kern w:val="0"/>
          <w:sz w:val="32"/>
          <w:szCs w:val="32"/>
        </w:rPr>
        <w:t>财政拨款收入：指</w:t>
      </w:r>
      <w:r>
        <w:rPr>
          <w:rFonts w:hint="eastAsia" w:ascii="仿宋" w:hAnsi="仿宋" w:eastAsia="仿宋" w:cs="仿宋"/>
          <w:kern w:val="0"/>
          <w:sz w:val="32"/>
          <w:szCs w:val="32"/>
        </w:rPr>
        <w:t>财政当年拨付的资金。</w:t>
      </w:r>
    </w:p>
    <w:p>
      <w:pPr>
        <w:widowControl/>
        <w:spacing w:line="360" w:lineRule="auto"/>
        <w:jc w:val="left"/>
        <w:rPr>
          <w:rFonts w:ascii="Calibri" w:hAnsi="Calibri" w:eastAsia="仿宋_GB2312" w:cs="Calibri"/>
          <w:b/>
          <w:kern w:val="0"/>
          <w:sz w:val="32"/>
          <w:szCs w:val="32"/>
        </w:rPr>
      </w:pPr>
      <w:r>
        <w:rPr>
          <w:rFonts w:hint="eastAsia" w:ascii="仿宋" w:hAnsi="仿宋" w:eastAsia="仿宋" w:cs="仿宋"/>
          <w:kern w:val="0"/>
          <w:sz w:val="32"/>
          <w:szCs w:val="32"/>
        </w:rPr>
        <w:t>2、“三公”经费：包括因公出国（境）费、公务接待费和公务用车购置及运行费。因公出国（境）费，指单位工作人员公务出国（境）的住宿费、差旅费、伙食补助费、杂费、培训费等支出。公务接待费，指单位按规定开支的各类公务接待（含外宾接待）支出。公务用车购置及运行费，指单位公务用车购置费及租用费、燃料费、维修费、等支出，公务用车指用于履行公务的机动车辆，包括领导干部专车、一般公务用车和执法执勤等业务用车。</w:t>
      </w:r>
    </w:p>
    <w:p>
      <w:pPr>
        <w:widowControl/>
        <w:spacing w:line="360" w:lineRule="auto"/>
        <w:jc w:val="left"/>
        <w:rPr>
          <w:rFonts w:ascii="微软雅黑" w:hAnsi="微软雅黑" w:eastAsia="微软雅黑" w:cs="微软雅黑"/>
          <w:kern w:val="0"/>
          <w:sz w:val="24"/>
          <w:szCs w:val="24"/>
        </w:rPr>
      </w:pPr>
      <w:r>
        <w:rPr>
          <w:rFonts w:hint="eastAsia" w:ascii="微软雅黑" w:hAnsi="微软雅黑" w:eastAsia="微软雅黑" w:cs="微软雅黑"/>
          <w:kern w:val="0"/>
          <w:sz w:val="24"/>
          <w:szCs w:val="24"/>
        </w:rPr>
        <w:t xml:space="preserve"> 3</w:t>
      </w:r>
      <w:r>
        <w:rPr>
          <w:rFonts w:hint="eastAsia" w:ascii="仿宋" w:hAnsi="仿宋" w:eastAsia="仿宋" w:cs="仿宋"/>
          <w:b/>
          <w:kern w:val="0"/>
          <w:sz w:val="32"/>
          <w:szCs w:val="32"/>
        </w:rPr>
        <w:t>、年初结转和结余</w:t>
      </w:r>
      <w:r>
        <w:rPr>
          <w:rFonts w:hint="eastAsia" w:ascii="仿宋" w:hAnsi="仿宋" w:eastAsia="仿宋" w:cs="仿宋"/>
          <w:kern w:val="0"/>
          <w:sz w:val="32"/>
          <w:szCs w:val="32"/>
        </w:rPr>
        <w:t>：指以前年度尚未完成，结转到本年仍按照原规定用途继续使用的资金，或项目已完成等产生的结余资金。</w:t>
      </w:r>
    </w:p>
    <w:p>
      <w:pPr>
        <w:widowControl/>
        <w:spacing w:line="360" w:lineRule="auto"/>
        <w:jc w:val="left"/>
        <w:rPr>
          <w:rFonts w:ascii="仿宋" w:hAnsi="仿宋" w:eastAsia="仿宋" w:cs="仿宋"/>
          <w:kern w:val="0"/>
          <w:sz w:val="32"/>
          <w:szCs w:val="32"/>
        </w:rPr>
      </w:pPr>
      <w:r>
        <w:rPr>
          <w:rFonts w:hint="eastAsia" w:ascii="仿宋" w:hAnsi="仿宋" w:eastAsia="仿宋" w:cs="仿宋"/>
          <w:b/>
          <w:kern w:val="0"/>
          <w:sz w:val="32"/>
          <w:szCs w:val="32"/>
        </w:rPr>
        <w:t> 4、基本支出</w:t>
      </w:r>
      <w:r>
        <w:rPr>
          <w:rFonts w:hint="eastAsia" w:ascii="仿宋" w:hAnsi="仿宋" w:eastAsia="仿宋" w:cs="仿宋"/>
          <w:kern w:val="0"/>
          <w:sz w:val="32"/>
          <w:szCs w:val="32"/>
        </w:rPr>
        <w:t>：指单位为了保障其正常运转、完成日常工作任务而发生的人员支出和公用支出。</w:t>
      </w:r>
    </w:p>
    <w:p>
      <w:pPr>
        <w:widowControl/>
        <w:spacing w:line="360" w:lineRule="auto"/>
        <w:jc w:val="left"/>
        <w:rPr>
          <w:rFonts w:ascii="Calibri" w:hAnsi="Calibri" w:eastAsia="仿宋_GB2312" w:cs="Calibri"/>
          <w:b/>
          <w:kern w:val="0"/>
          <w:sz w:val="32"/>
          <w:szCs w:val="32"/>
        </w:rPr>
      </w:pPr>
      <w:r>
        <w:rPr>
          <w:rFonts w:hint="eastAsia" w:ascii="仿宋" w:hAnsi="仿宋" w:eastAsia="仿宋" w:cs="仿宋"/>
          <w:b/>
          <w:kern w:val="0"/>
          <w:sz w:val="32"/>
          <w:szCs w:val="32"/>
        </w:rPr>
        <w:t> 5、项目支出：</w:t>
      </w:r>
      <w:r>
        <w:rPr>
          <w:rFonts w:hint="eastAsia" w:ascii="仿宋" w:hAnsi="仿宋" w:eastAsia="仿宋" w:cs="仿宋"/>
          <w:kern w:val="0"/>
          <w:sz w:val="32"/>
          <w:szCs w:val="32"/>
        </w:rPr>
        <w:t>指单位为了特定的工作任务和事业发展目标，在基本支出之外所发生的支出。</w:t>
      </w:r>
    </w:p>
    <w:p>
      <w:pPr>
        <w:widowControl/>
        <w:spacing w:line="360" w:lineRule="auto"/>
        <w:ind w:firstLine="640" w:firstLineChars="200"/>
        <w:jc w:val="left"/>
        <w:rPr>
          <w:rFonts w:ascii="黑体" w:hAnsi="黑体" w:eastAsia="黑体" w:cs="仿宋"/>
          <w:kern w:val="0"/>
          <w:sz w:val="32"/>
          <w:szCs w:val="32"/>
        </w:rPr>
      </w:pPr>
      <w:r>
        <w:rPr>
          <w:rFonts w:hint="eastAsia" w:ascii="黑体" w:hAnsi="黑体" w:eastAsia="黑体" w:cs="仿宋"/>
          <w:kern w:val="0"/>
          <w:sz w:val="32"/>
          <w:szCs w:val="32"/>
        </w:rPr>
        <w:t>九、其他需要说明的事项</w:t>
      </w:r>
    </w:p>
    <w:p>
      <w:pPr>
        <w:widowControl/>
        <w:spacing w:line="360" w:lineRule="auto"/>
        <w:ind w:firstLine="640" w:firstLineChars="200"/>
        <w:jc w:val="left"/>
        <w:rPr>
          <w:rFonts w:ascii="仿宋" w:hAnsi="仿宋" w:eastAsia="仿宋" w:cs="仿宋"/>
          <w:szCs w:val="24"/>
        </w:rPr>
      </w:pPr>
      <w:r>
        <w:rPr>
          <w:rFonts w:hint="eastAsia" w:ascii="仿宋" w:hAnsi="仿宋" w:eastAsia="仿宋" w:cs="仿宋"/>
          <w:kern w:val="0"/>
          <w:sz w:val="32"/>
          <w:szCs w:val="32"/>
        </w:rPr>
        <w:t>无。</w:t>
      </w:r>
    </w:p>
    <w:p>
      <w:pPr>
        <w:widowControl/>
        <w:spacing w:line="360" w:lineRule="auto"/>
        <w:ind w:firstLine="420" w:firstLineChars="200"/>
        <w:jc w:val="left"/>
      </w:pPr>
    </w:p>
    <w:sectPr>
      <w:pgSz w:w="11907" w:h="16839"/>
      <w:pgMar w:top="1020" w:right="1134" w:bottom="1020" w:left="1134" w:header="851" w:footer="992" w:gutter="0"/>
      <w:cols w:space="0" w:num="1"/>
      <w:docGrid w:type="lines" w:linePitch="32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方正书宋_GBK">
    <w:altName w:val="宋体"/>
    <w:panose1 w:val="00000000000000000000"/>
    <w:charset w:val="86"/>
    <w:family w:val="roma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方正仿宋_GBK">
    <w:altName w:val="宋体"/>
    <w:panose1 w:val="00000000000000000000"/>
    <w:charset w:val="86"/>
    <w:family w:val="script"/>
    <w:pitch w:val="default"/>
    <w:sig w:usb0="00000000" w:usb1="00000000" w:usb2="00000010" w:usb3="00000000" w:csb0="00040000" w:csb1="00000000"/>
  </w:font>
  <w:font w:name="方正小标宋_GBK">
    <w:altName w:val="微软雅黑"/>
    <w:panose1 w:val="00000000000000000000"/>
    <w:charset w:val="86"/>
    <w:family w:val="roma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8BCCB38"/>
    <w:multiLevelType w:val="singleLevel"/>
    <w:tmpl w:val="58BCCB38"/>
    <w:lvl w:ilvl="0" w:tentative="0">
      <w:start w:val="1"/>
      <w:numFmt w:val="decimal"/>
      <w:suff w:val="nothing"/>
      <w:lvlText w:val="%1、"/>
      <w:lvlJc w:val="left"/>
    </w:lvl>
  </w:abstractNum>
  <w:abstractNum w:abstractNumId="1">
    <w:nsid w:val="5A0BB78E"/>
    <w:multiLevelType w:val="singleLevel"/>
    <w:tmpl w:val="5A0BB78E"/>
    <w:lvl w:ilvl="0" w:tentative="0">
      <w:start w:val="1"/>
      <w:numFmt w:val="decimal"/>
      <w:suff w:val="nothing"/>
      <w:lvlText w:val="%1、"/>
      <w:lvlJc w:val="left"/>
    </w:lvl>
  </w:abstractNum>
  <w:abstractNum w:abstractNumId="2">
    <w:nsid w:val="66163943"/>
    <w:multiLevelType w:val="multilevel"/>
    <w:tmpl w:val="66163943"/>
    <w:lvl w:ilvl="0" w:tentative="0">
      <w:start w:val="6"/>
      <w:numFmt w:val="japaneseCounting"/>
      <w:lvlText w:val="%1、"/>
      <w:lvlJc w:val="left"/>
      <w:pPr>
        <w:ind w:left="2138" w:hanging="720"/>
      </w:pPr>
      <w:rPr>
        <w:rFonts w:hint="default" w:ascii="仿宋" w:hAnsi="仿宋" w:eastAsia="仿宋" w:cs="仿宋"/>
        <w:b/>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bordersDoNotSurroundHeader w:val="1"/>
  <w:bordersDoNotSurroundFooter w:val="1"/>
  <w:documentProtection w:enforcement="0"/>
  <w:defaultTabStop w:val="420"/>
  <w:drawingGridVerticalSpacing w:val="16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ZDNkMWZjOTY0ZTQ2MTEyYzE5YmM5NjNhYTg3MTQyMzUifQ=="/>
  </w:docVars>
  <w:rsids>
    <w:rsidRoot w:val="00E810D6"/>
    <w:rsid w:val="000054B6"/>
    <w:rsid w:val="00012D24"/>
    <w:rsid w:val="000913EF"/>
    <w:rsid w:val="00093BE4"/>
    <w:rsid w:val="000A0877"/>
    <w:rsid w:val="000A75FA"/>
    <w:rsid w:val="000C2470"/>
    <w:rsid w:val="000D231C"/>
    <w:rsid w:val="000D2EB9"/>
    <w:rsid w:val="000F2D1E"/>
    <w:rsid w:val="001774CF"/>
    <w:rsid w:val="00194D6B"/>
    <w:rsid w:val="001D7F45"/>
    <w:rsid w:val="00236B7F"/>
    <w:rsid w:val="0024293E"/>
    <w:rsid w:val="002A0684"/>
    <w:rsid w:val="002C4EB8"/>
    <w:rsid w:val="002D43D8"/>
    <w:rsid w:val="002E3A95"/>
    <w:rsid w:val="002F418A"/>
    <w:rsid w:val="00355C43"/>
    <w:rsid w:val="003730D4"/>
    <w:rsid w:val="003D4B92"/>
    <w:rsid w:val="00480169"/>
    <w:rsid w:val="004A12F5"/>
    <w:rsid w:val="004C3904"/>
    <w:rsid w:val="00535949"/>
    <w:rsid w:val="00545E8E"/>
    <w:rsid w:val="005D136A"/>
    <w:rsid w:val="005E274B"/>
    <w:rsid w:val="00601E9C"/>
    <w:rsid w:val="0061371F"/>
    <w:rsid w:val="00616669"/>
    <w:rsid w:val="0062621A"/>
    <w:rsid w:val="006560E8"/>
    <w:rsid w:val="00657C7F"/>
    <w:rsid w:val="00685811"/>
    <w:rsid w:val="006D1C5B"/>
    <w:rsid w:val="006E52CB"/>
    <w:rsid w:val="00724FE1"/>
    <w:rsid w:val="00761CFC"/>
    <w:rsid w:val="0079360F"/>
    <w:rsid w:val="007A507B"/>
    <w:rsid w:val="007D6BF0"/>
    <w:rsid w:val="008058DC"/>
    <w:rsid w:val="008C7744"/>
    <w:rsid w:val="009A6C94"/>
    <w:rsid w:val="009E611A"/>
    <w:rsid w:val="00A07D70"/>
    <w:rsid w:val="00A1130B"/>
    <w:rsid w:val="00A35FC1"/>
    <w:rsid w:val="00A41E4B"/>
    <w:rsid w:val="00A61E29"/>
    <w:rsid w:val="00A6226E"/>
    <w:rsid w:val="00A80198"/>
    <w:rsid w:val="00AE29B6"/>
    <w:rsid w:val="00AE5112"/>
    <w:rsid w:val="00B27581"/>
    <w:rsid w:val="00B520FF"/>
    <w:rsid w:val="00B713EE"/>
    <w:rsid w:val="00BB3D9F"/>
    <w:rsid w:val="00C0352F"/>
    <w:rsid w:val="00CA1A46"/>
    <w:rsid w:val="00CB110A"/>
    <w:rsid w:val="00CC2644"/>
    <w:rsid w:val="00D945ED"/>
    <w:rsid w:val="00E47DAE"/>
    <w:rsid w:val="00E73D1B"/>
    <w:rsid w:val="00E810D6"/>
    <w:rsid w:val="00F37FAA"/>
    <w:rsid w:val="00F4740D"/>
    <w:rsid w:val="00F53FC9"/>
    <w:rsid w:val="013B67CD"/>
    <w:rsid w:val="016C22DD"/>
    <w:rsid w:val="01CA412B"/>
    <w:rsid w:val="037D399A"/>
    <w:rsid w:val="03B213E5"/>
    <w:rsid w:val="047F71D2"/>
    <w:rsid w:val="06096D52"/>
    <w:rsid w:val="063402B1"/>
    <w:rsid w:val="06550E5D"/>
    <w:rsid w:val="0726741C"/>
    <w:rsid w:val="078B752A"/>
    <w:rsid w:val="08D34D69"/>
    <w:rsid w:val="09E50DB9"/>
    <w:rsid w:val="0B6C587A"/>
    <w:rsid w:val="0BB759F9"/>
    <w:rsid w:val="0CBF7A43"/>
    <w:rsid w:val="0DD4180B"/>
    <w:rsid w:val="130B706D"/>
    <w:rsid w:val="13161153"/>
    <w:rsid w:val="139106CF"/>
    <w:rsid w:val="13DE0FA8"/>
    <w:rsid w:val="163506CD"/>
    <w:rsid w:val="17252863"/>
    <w:rsid w:val="175940C0"/>
    <w:rsid w:val="17C16AC9"/>
    <w:rsid w:val="180D78B9"/>
    <w:rsid w:val="1AEF7278"/>
    <w:rsid w:val="1B2A5EA4"/>
    <w:rsid w:val="1CC97251"/>
    <w:rsid w:val="1CEB0A1C"/>
    <w:rsid w:val="1D0F12B6"/>
    <w:rsid w:val="1E8167C1"/>
    <w:rsid w:val="1EAA0AE1"/>
    <w:rsid w:val="1FDE5432"/>
    <w:rsid w:val="21AA2D40"/>
    <w:rsid w:val="21B66276"/>
    <w:rsid w:val="228819EE"/>
    <w:rsid w:val="2716314B"/>
    <w:rsid w:val="288A4B30"/>
    <w:rsid w:val="28E516DB"/>
    <w:rsid w:val="299267B6"/>
    <w:rsid w:val="2AD57C75"/>
    <w:rsid w:val="2BAA47A7"/>
    <w:rsid w:val="2CC1056F"/>
    <w:rsid w:val="2DCE40BA"/>
    <w:rsid w:val="2E066AE5"/>
    <w:rsid w:val="2E2777CE"/>
    <w:rsid w:val="2EE04A84"/>
    <w:rsid w:val="2F887EEE"/>
    <w:rsid w:val="31D059F4"/>
    <w:rsid w:val="332A0BBD"/>
    <w:rsid w:val="3387759D"/>
    <w:rsid w:val="33D73BE2"/>
    <w:rsid w:val="351C5D1D"/>
    <w:rsid w:val="36DF5EE5"/>
    <w:rsid w:val="38963AA1"/>
    <w:rsid w:val="39461E7C"/>
    <w:rsid w:val="39A75722"/>
    <w:rsid w:val="3B6E7B6E"/>
    <w:rsid w:val="3C712CD5"/>
    <w:rsid w:val="3CEC5D53"/>
    <w:rsid w:val="3F2305E6"/>
    <w:rsid w:val="3F331926"/>
    <w:rsid w:val="441C57E9"/>
    <w:rsid w:val="44240E6E"/>
    <w:rsid w:val="44986D47"/>
    <w:rsid w:val="456A5D0D"/>
    <w:rsid w:val="457C0C14"/>
    <w:rsid w:val="45AF507C"/>
    <w:rsid w:val="45B90BF3"/>
    <w:rsid w:val="460143F1"/>
    <w:rsid w:val="475B18CD"/>
    <w:rsid w:val="49994B41"/>
    <w:rsid w:val="4A4F1F05"/>
    <w:rsid w:val="4B7040C7"/>
    <w:rsid w:val="4CA957E7"/>
    <w:rsid w:val="4D9730D4"/>
    <w:rsid w:val="4E4335D2"/>
    <w:rsid w:val="56783930"/>
    <w:rsid w:val="59AF56D7"/>
    <w:rsid w:val="5AA21FFC"/>
    <w:rsid w:val="5B2B3FCD"/>
    <w:rsid w:val="5BAE356C"/>
    <w:rsid w:val="5CB07A05"/>
    <w:rsid w:val="5ED17601"/>
    <w:rsid w:val="5F525C02"/>
    <w:rsid w:val="612F2391"/>
    <w:rsid w:val="61897173"/>
    <w:rsid w:val="63F21B1B"/>
    <w:rsid w:val="65493192"/>
    <w:rsid w:val="665451BF"/>
    <w:rsid w:val="666C26EF"/>
    <w:rsid w:val="68532F91"/>
    <w:rsid w:val="69C753B6"/>
    <w:rsid w:val="69DA4533"/>
    <w:rsid w:val="6A804B8A"/>
    <w:rsid w:val="6B1A4039"/>
    <w:rsid w:val="6B511389"/>
    <w:rsid w:val="6D036829"/>
    <w:rsid w:val="6D5763C1"/>
    <w:rsid w:val="6D81148F"/>
    <w:rsid w:val="6E8006EE"/>
    <w:rsid w:val="6ECC4D84"/>
    <w:rsid w:val="70BA2DA1"/>
    <w:rsid w:val="71B87B2B"/>
    <w:rsid w:val="729B4F6A"/>
    <w:rsid w:val="733E01F4"/>
    <w:rsid w:val="7424079F"/>
    <w:rsid w:val="74C9628B"/>
    <w:rsid w:val="74D4598A"/>
    <w:rsid w:val="763743A2"/>
    <w:rsid w:val="76FD3FC3"/>
    <w:rsid w:val="7AA5545A"/>
    <w:rsid w:val="7BAA5900"/>
    <w:rsid w:val="7D9A3104"/>
    <w:rsid w:val="7DB94919"/>
    <w:rsid w:val="7E215BF5"/>
    <w:rsid w:val="7EC03A0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autoRedefine/>
    <w:semiHidden/>
    <w:unhideWhenUsed/>
    <w:qFormat/>
    <w:uiPriority w:val="1"/>
  </w:style>
  <w:style w:type="table" w:default="1" w:styleId="6">
    <w:name w:val="Normal Table"/>
    <w:autoRedefine/>
    <w:semiHidden/>
    <w:unhideWhenUsed/>
    <w:qFormat/>
    <w:uiPriority w:val="99"/>
    <w:tblPr>
      <w:tblCellMar>
        <w:top w:w="0" w:type="dxa"/>
        <w:left w:w="108" w:type="dxa"/>
        <w:bottom w:w="0" w:type="dxa"/>
        <w:right w:w="108" w:type="dxa"/>
      </w:tblCellMar>
    </w:tblPr>
  </w:style>
  <w:style w:type="paragraph" w:styleId="2">
    <w:name w:val="footer"/>
    <w:basedOn w:val="1"/>
    <w:link w:val="9"/>
    <w:autoRedefine/>
    <w:unhideWhenUsed/>
    <w:qFormat/>
    <w:uiPriority w:val="99"/>
    <w:pPr>
      <w:tabs>
        <w:tab w:val="center" w:pos="4153"/>
        <w:tab w:val="right" w:pos="8306"/>
      </w:tabs>
      <w:snapToGrid w:val="0"/>
      <w:jc w:val="left"/>
    </w:pPr>
    <w:rPr>
      <w:sz w:val="18"/>
      <w:szCs w:val="18"/>
    </w:rPr>
  </w:style>
  <w:style w:type="paragraph" w:styleId="3">
    <w:name w:val="header"/>
    <w:basedOn w:val="1"/>
    <w:link w:val="8"/>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toc 1"/>
    <w:basedOn w:val="1"/>
    <w:next w:val="1"/>
    <w:autoRedefine/>
    <w:unhideWhenUsed/>
    <w:qFormat/>
    <w:uiPriority w:val="39"/>
  </w:style>
  <w:style w:type="paragraph" w:styleId="5">
    <w:name w:val="toc 2"/>
    <w:basedOn w:val="1"/>
    <w:next w:val="1"/>
    <w:autoRedefine/>
    <w:unhideWhenUsed/>
    <w:qFormat/>
    <w:uiPriority w:val="39"/>
    <w:pPr>
      <w:ind w:left="420" w:leftChars="200"/>
    </w:pPr>
  </w:style>
  <w:style w:type="character" w:customStyle="1" w:styleId="8">
    <w:name w:val="页眉 Char"/>
    <w:basedOn w:val="7"/>
    <w:link w:val="3"/>
    <w:autoRedefine/>
    <w:semiHidden/>
    <w:qFormat/>
    <w:uiPriority w:val="99"/>
    <w:rPr>
      <w:sz w:val="18"/>
      <w:szCs w:val="18"/>
    </w:rPr>
  </w:style>
  <w:style w:type="character" w:customStyle="1" w:styleId="9">
    <w:name w:val="页脚 Char"/>
    <w:basedOn w:val="7"/>
    <w:link w:val="2"/>
    <w:autoRedefine/>
    <w:semiHidden/>
    <w:qFormat/>
    <w:uiPriority w:val="99"/>
    <w:rPr>
      <w:sz w:val="18"/>
      <w:szCs w:val="18"/>
    </w:rPr>
  </w:style>
  <w:style w:type="paragraph" w:customStyle="1" w:styleId="10">
    <w:name w:val="列出段落1"/>
    <w:basedOn w:val="1"/>
    <w:autoRedefine/>
    <w:unhideWhenUsed/>
    <w:qFormat/>
    <w:uiPriority w:val="99"/>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09012B42-5830-47E9-A1CC-232F79224A1C}">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7</Pages>
  <Words>483</Words>
  <Characters>2754</Characters>
  <Lines>22</Lines>
  <Paragraphs>6</Paragraphs>
  <TotalTime>0</TotalTime>
  <ScaleCrop>false</ScaleCrop>
  <LinksUpToDate>false</LinksUpToDate>
  <CharactersWithSpaces>3231</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2016-04-01T02:15:00Z</dcterms:created>
  <dc:creator>lenovo</dc:creator>
  <cp:lastModifiedBy>smile</cp:lastModifiedBy>
  <cp:lastPrinted>2016-04-01T02:44:00Z</cp:lastPrinted>
  <dcterms:modified xsi:type="dcterms:W3CDTF">2024-01-18T03:07:44Z</dcterms:modified>
  <cp:revision>87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155FE6C3EB73416C9E74199FDD6F4B7F_12</vt:lpwstr>
  </property>
</Properties>
</file>