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0736A">
      <w:pPr>
        <w:widowControl/>
        <w:spacing w:line="360" w:lineRule="auto"/>
        <w:jc w:val="center"/>
        <w:rPr>
          <w:rFonts w:cs="仿宋_GB2312" w:asciiTheme="majorEastAsia" w:hAnsiTheme="majorEastAsia" w:eastAsiaTheme="majorEastAsia"/>
          <w:b/>
          <w:sz w:val="44"/>
          <w:szCs w:val="44"/>
        </w:rPr>
      </w:pPr>
    </w:p>
    <w:p w14:paraId="65A3F362">
      <w:pPr>
        <w:widowControl/>
        <w:spacing w:line="360" w:lineRule="auto"/>
        <w:jc w:val="center"/>
        <w:rPr>
          <w:rFonts w:cs="仿宋_GB2312" w:asciiTheme="majorEastAsia" w:hAnsiTheme="majorEastAsia" w:eastAsiaTheme="majorEastAsia"/>
          <w:b/>
          <w:sz w:val="44"/>
          <w:szCs w:val="44"/>
        </w:rPr>
      </w:pPr>
      <w:r>
        <w:rPr>
          <w:rFonts w:hint="eastAsia" w:cs="仿宋_GB2312" w:asciiTheme="majorEastAsia" w:hAnsiTheme="majorEastAsia" w:eastAsiaTheme="majorEastAsia"/>
          <w:b/>
          <w:sz w:val="44"/>
          <w:szCs w:val="44"/>
        </w:rPr>
        <w:t>成安县工商业联合会</w:t>
      </w:r>
    </w:p>
    <w:p w14:paraId="72C0C3CB">
      <w:pPr>
        <w:widowControl/>
        <w:spacing w:line="360" w:lineRule="auto"/>
        <w:jc w:val="center"/>
        <w:rPr>
          <w:rFonts w:cs="仿宋_GB2312" w:asciiTheme="majorEastAsia" w:hAnsiTheme="majorEastAsia" w:eastAsiaTheme="majorEastAsia"/>
          <w:b/>
          <w:sz w:val="44"/>
          <w:szCs w:val="44"/>
        </w:rPr>
      </w:pPr>
      <w:r>
        <w:rPr>
          <w:rFonts w:hint="eastAsia" w:cs="仿宋_GB2312" w:asciiTheme="majorEastAsia" w:hAnsiTheme="majorEastAsia" w:eastAsiaTheme="majorEastAsia"/>
          <w:b/>
          <w:sz w:val="44"/>
          <w:szCs w:val="44"/>
        </w:rPr>
        <w:t>2019年部门预算公开情况说明</w:t>
      </w:r>
    </w:p>
    <w:p w14:paraId="79F066EF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</w:p>
    <w:p w14:paraId="613BD166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按照《预算法》有关规定和</w:t>
      </w:r>
      <w:r>
        <w:rPr>
          <w:rFonts w:hint="eastAsia" w:ascii="仿宋_GB2312" w:hAnsi="宋体" w:eastAsia="仿宋_GB2312" w:cs="楷体_GB2312"/>
          <w:sz w:val="32"/>
          <w:szCs w:val="32"/>
        </w:rPr>
        <w:t>财政部关于印发《地方预决算公开操作规程》的通知，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现将成安县工商业联合会2019年部门预算公开如下：</w:t>
      </w:r>
    </w:p>
    <w:p w14:paraId="167FF505">
      <w:pPr>
        <w:widowControl/>
        <w:spacing w:line="360" w:lineRule="auto"/>
        <w:ind w:firstLine="643" w:firstLineChars="20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一、</w:t>
      </w: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部门职责及机构设置情况</w:t>
      </w:r>
    </w:p>
    <w:p w14:paraId="78803909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（一）加强和改进非公有制经济人士思想政治工作。</w:t>
      </w:r>
    </w:p>
    <w:p w14:paraId="12554F76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（二）参与政治协商，发挥民主监督作用，积极参政议政。</w:t>
      </w:r>
    </w:p>
    <w:p w14:paraId="48545D59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（三）协助政府管理和服务非公有制经济。</w:t>
      </w:r>
    </w:p>
    <w:p w14:paraId="0FFFA68A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（四）促进行业协会商会改革发展。</w:t>
      </w:r>
    </w:p>
    <w:p w14:paraId="4FD0B60B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（五）参与协调劳动关系，促进社会和谐稳定。</w:t>
      </w:r>
    </w:p>
    <w:p w14:paraId="5C95DA2D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（六）代表并维护会员的合法权益，反映会员的意见、要求和建议，参与经济纠纷的调解、仲裁。</w:t>
      </w:r>
    </w:p>
    <w:p w14:paraId="21DFE051">
      <w:pPr>
        <w:pStyle w:val="11"/>
        <w:widowControl/>
        <w:numPr>
          <w:ilvl w:val="0"/>
          <w:numId w:val="1"/>
        </w:numPr>
        <w:spacing w:line="360" w:lineRule="auto"/>
        <w:ind w:firstLineChars="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承办县委、县政府交办的其他事项。</w:t>
      </w:r>
    </w:p>
    <w:p w14:paraId="41EB768F">
      <w:pPr>
        <w:widowControl/>
        <w:spacing w:line="360" w:lineRule="auto"/>
        <w:ind w:left="640"/>
        <w:jc w:val="left"/>
        <w:rPr>
          <w:rFonts w:ascii="仿宋_GB2312" w:hAnsi="Calibri" w:eastAsia="仿宋_GB2312" w:cs="仿宋_GB2312"/>
          <w:b/>
          <w:kern w:val="0"/>
          <w:sz w:val="32"/>
          <w:szCs w:val="32"/>
        </w:rPr>
      </w:pPr>
      <w:r>
        <w:rPr>
          <w:rFonts w:hint="eastAsia" w:ascii="仿宋_GB2312" w:hAnsi="Calibri" w:eastAsia="仿宋_GB2312" w:cs="Calibri"/>
          <w:b/>
          <w:kern w:val="0"/>
          <w:sz w:val="32"/>
          <w:szCs w:val="32"/>
        </w:rPr>
        <w:t>内设机构及职责</w:t>
      </w:r>
    </w:p>
    <w:p w14:paraId="117E2637">
      <w:pPr>
        <w:widowControl/>
        <w:spacing w:line="360" w:lineRule="auto"/>
        <w:ind w:firstLine="640" w:firstLineChars="200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成安县工商联，预算编码是547，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包含一个二级预算单位：547002成安县工商联机关。</w:t>
      </w: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内设1个内部机构，办公室，负责接收发放通知，工商联工作。</w:t>
      </w:r>
    </w:p>
    <w:p w14:paraId="176C306A">
      <w:pPr>
        <w:widowControl/>
        <w:spacing w:line="360" w:lineRule="auto"/>
        <w:ind w:firstLine="640" w:firstLineChars="200"/>
        <w:jc w:val="left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Cs/>
          <w:kern w:val="0"/>
          <w:sz w:val="32"/>
          <w:szCs w:val="32"/>
        </w:rPr>
        <w:t>人员编制和领导职数</w:t>
      </w:r>
    </w:p>
    <w:p w14:paraId="4DDA31C9">
      <w:pPr>
        <w:widowControl/>
        <w:spacing w:line="360" w:lineRule="auto"/>
        <w:ind w:firstLine="640" w:firstLineChars="200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成安县工商联，人员编制2名，其中领导职数1个。</w:t>
      </w:r>
    </w:p>
    <w:p w14:paraId="4DBD04BF">
      <w:pPr>
        <w:jc w:val="center"/>
        <w:outlineLvl w:val="0"/>
        <w:rPr>
          <w:rFonts w:ascii="Times New Roman" w:hAnsi="Times New Roman" w:eastAsia="方正小标宋_GBK" w:cs="方正小标宋_GBK"/>
          <w:sz w:val="32"/>
          <w:szCs w:val="32"/>
        </w:rPr>
      </w:pPr>
    </w:p>
    <w:p w14:paraId="1CFFC994">
      <w:pPr>
        <w:jc w:val="center"/>
        <w:outlineLvl w:val="0"/>
        <w:rPr>
          <w:rFonts w:ascii="Times New Roman" w:hAnsi="Times New Roman" w:eastAsia="方正小标宋_GBK" w:cs="Times New Roman"/>
          <w:sz w:val="32"/>
          <w:szCs w:val="32"/>
        </w:rPr>
      </w:pPr>
      <w:r>
        <w:rPr>
          <w:rFonts w:hint="eastAsia" w:ascii="Times New Roman" w:hAnsi="Times New Roman" w:eastAsia="方正小标宋_GBK" w:cs="方正小标宋_GBK"/>
          <w:sz w:val="32"/>
          <w:szCs w:val="32"/>
        </w:rPr>
        <w:t>部门机构设置情况</w:t>
      </w:r>
    </w:p>
    <w:tbl>
      <w:tblPr>
        <w:tblStyle w:val="6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 w14:paraId="05DE1C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 w14:paraId="19C68F40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 w14:paraId="5FFFFF53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 w14:paraId="7F3D0FAC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 w14:paraId="55BCAC37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 w14:paraId="2008B9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 w14:paraId="6848D062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1B13751F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2F6974B5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 w14:paraId="584B314A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</w:tr>
      <w:tr w14:paraId="6AC0BE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575" w:hRule="atLeast"/>
          <w:jc w:val="center"/>
        </w:trPr>
        <w:tc>
          <w:tcPr>
            <w:tcW w:w="3317" w:type="dxa"/>
            <w:vAlign w:val="center"/>
          </w:tcPr>
          <w:p w14:paraId="4E7C1D97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成安县工商业联合会</w:t>
            </w:r>
          </w:p>
        </w:tc>
        <w:tc>
          <w:tcPr>
            <w:tcW w:w="1134" w:type="dxa"/>
            <w:vAlign w:val="center"/>
          </w:tcPr>
          <w:p w14:paraId="563A23A4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行政</w:t>
            </w:r>
          </w:p>
        </w:tc>
        <w:tc>
          <w:tcPr>
            <w:tcW w:w="1276" w:type="dxa"/>
            <w:vAlign w:val="center"/>
          </w:tcPr>
          <w:p w14:paraId="469441F0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正科级</w:t>
            </w:r>
          </w:p>
        </w:tc>
        <w:tc>
          <w:tcPr>
            <w:tcW w:w="2902" w:type="dxa"/>
            <w:vAlign w:val="center"/>
          </w:tcPr>
          <w:p w14:paraId="45949708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财政拨款（行政）</w:t>
            </w:r>
          </w:p>
        </w:tc>
      </w:tr>
    </w:tbl>
    <w:p w14:paraId="2D9788EE"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二、部门预算安排的总体情况</w:t>
      </w:r>
    </w:p>
    <w:p w14:paraId="6D4F28CE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按照预算管理有关规定，目前我部门预算的编制实行综合预算制度，即全部收入和支出都反映在预算中。</w:t>
      </w:r>
    </w:p>
    <w:p w14:paraId="6E1D59BA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 w14:paraId="31B617FB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</w:t>
      </w:r>
      <w:r>
        <w:rPr>
          <w:rFonts w:hint="eastAsia" w:ascii="仿宋" w:hAnsi="仿宋" w:eastAsia="仿宋" w:cs="Times New Roman"/>
          <w:sz w:val="32"/>
          <w:szCs w:val="32"/>
        </w:rPr>
        <w:t>9</w:t>
      </w:r>
      <w:r>
        <w:rPr>
          <w:rFonts w:hint="eastAsia" w:ascii="仿宋" w:hAnsi="仿宋" w:eastAsia="仿宋" w:cs="方正仿宋_GBK"/>
          <w:sz w:val="32"/>
          <w:szCs w:val="32"/>
        </w:rPr>
        <w:t>年预算收入38.21万元，其中：一般公共预算收入38.21万元，政府性基金收入0万元，国有资本经营收入0万元，事业收入0万元，其他收入0万元。</w:t>
      </w:r>
    </w:p>
    <w:p w14:paraId="369C982A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 w14:paraId="615C8F30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201</w:t>
      </w:r>
      <w:r>
        <w:rPr>
          <w:rFonts w:hint="eastAsia" w:ascii="仿宋" w:hAnsi="仿宋" w:eastAsia="仿宋" w:cs="Times New Roman"/>
          <w:sz w:val="32"/>
          <w:szCs w:val="32"/>
        </w:rPr>
        <w:t>9</w:t>
      </w:r>
      <w:r>
        <w:rPr>
          <w:rFonts w:hint="eastAsia" w:ascii="仿宋" w:hAnsi="仿宋" w:eastAsia="仿宋" w:cs="方正仿宋_GBK"/>
          <w:sz w:val="32"/>
          <w:szCs w:val="32"/>
        </w:rPr>
        <w:t>年支出预算38.21万元，其中基本支出38.21万元，包括人员经费和日常公用经费。</w:t>
      </w:r>
    </w:p>
    <w:p w14:paraId="051EA4DB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 w14:paraId="2E927146">
      <w:pPr>
        <w:widowControl/>
        <w:spacing w:line="360" w:lineRule="auto"/>
        <w:ind w:firstLine="627" w:firstLineChars="196"/>
        <w:jc w:val="left"/>
        <w:rPr>
          <w:rFonts w:ascii="仿宋" w:hAnsi="仿宋" w:eastAsia="仿宋" w:cs="仿宋_GB2312"/>
          <w:kern w:val="0"/>
          <w:sz w:val="30"/>
          <w:szCs w:val="30"/>
        </w:rPr>
      </w:pPr>
      <w:r>
        <w:rPr>
          <w:rFonts w:ascii="仿宋" w:hAnsi="仿宋" w:eastAsia="仿宋" w:cs="Times New Roman"/>
          <w:sz w:val="32"/>
          <w:szCs w:val="32"/>
        </w:rPr>
        <w:t>201</w:t>
      </w:r>
      <w:r>
        <w:rPr>
          <w:rFonts w:hint="eastAsia" w:ascii="仿宋" w:hAnsi="仿宋" w:eastAsia="仿宋" w:cs="Times New Roman"/>
          <w:sz w:val="32"/>
          <w:szCs w:val="32"/>
        </w:rPr>
        <w:t>9</w:t>
      </w:r>
      <w:r>
        <w:rPr>
          <w:rFonts w:hint="eastAsia" w:ascii="仿宋" w:hAnsi="仿宋" w:eastAsia="仿宋" w:cs="方正仿宋_GBK"/>
          <w:sz w:val="32"/>
          <w:szCs w:val="32"/>
        </w:rPr>
        <w:t>年预算收支安排38.21万元，较</w:t>
      </w:r>
      <w:r>
        <w:rPr>
          <w:rFonts w:ascii="仿宋" w:hAnsi="仿宋" w:eastAsia="仿宋" w:cs="Times New Roman"/>
          <w:sz w:val="32"/>
          <w:szCs w:val="32"/>
        </w:rPr>
        <w:t>201</w:t>
      </w:r>
      <w:r>
        <w:rPr>
          <w:rFonts w:hint="eastAsia" w:ascii="仿宋" w:hAnsi="仿宋" w:eastAsia="仿宋" w:cs="Times New Roman"/>
          <w:sz w:val="32"/>
          <w:szCs w:val="32"/>
        </w:rPr>
        <w:t>8</w:t>
      </w:r>
      <w:r>
        <w:rPr>
          <w:rFonts w:hint="eastAsia" w:ascii="仿宋" w:hAnsi="仿宋" w:eastAsia="仿宋" w:cs="方正仿宋_GBK"/>
          <w:sz w:val="32"/>
          <w:szCs w:val="32"/>
        </w:rPr>
        <w:t>年预算增加14.79万元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，主要是2019年对机关事业单位养老保险自2014年10月起进行清算，增加部分为单位20%部分养老保险清算资金。</w:t>
      </w:r>
    </w:p>
    <w:p w14:paraId="5F7E52D6">
      <w:pPr>
        <w:widowControl/>
        <w:spacing w:line="360" w:lineRule="auto"/>
        <w:jc w:val="left"/>
        <w:rPr>
          <w:rFonts w:ascii="黑体" w:hAnsi="黑体" w:eastAsia="黑体" w:cs="仿宋_GB2312"/>
          <w:bCs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bCs/>
          <w:kern w:val="0"/>
          <w:sz w:val="32"/>
          <w:szCs w:val="32"/>
        </w:rPr>
        <w:t xml:space="preserve">   三、机关运行经费情况</w:t>
      </w:r>
    </w:p>
    <w:p w14:paraId="41C43F3E">
      <w:pPr>
        <w:widowControl/>
        <w:spacing w:line="360" w:lineRule="auto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 xml:space="preserve">   日常公用经费安排2.84万元，包括：办公费、差旅费、水费、电费、会议费、招待费、转移支付，其他支出等。</w:t>
      </w:r>
    </w:p>
    <w:p w14:paraId="652F5AAC">
      <w:pPr>
        <w:widowControl/>
        <w:spacing w:line="360" w:lineRule="auto"/>
        <w:jc w:val="left"/>
        <w:rPr>
          <w:rFonts w:ascii="黑体" w:hAnsi="黑体" w:eastAsia="黑体" w:cs="仿宋_GB2312"/>
          <w:bCs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bCs/>
          <w:kern w:val="0"/>
          <w:sz w:val="32"/>
          <w:szCs w:val="32"/>
        </w:rPr>
        <w:t>　四、财政拨款“三公”经费预算情况及增减变化原因</w:t>
      </w:r>
    </w:p>
    <w:p w14:paraId="72774240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2019年度“三公”预算支出0万元，其中，因公出国（境）费0元，安排公务用车维护费0元，（其中</w:t>
      </w:r>
      <w:r>
        <w:rPr>
          <w:rFonts w:hint="eastAsia" w:ascii="仿宋_GB2312" w:hAnsi="Calibri" w:eastAsia="仿宋_GB2312" w:cs="仿宋_GB2312"/>
          <w:sz w:val="32"/>
          <w:szCs w:val="32"/>
        </w:rPr>
        <w:t>公务用车购置费0元，公务用车运行维护费0万元），公务接待费0万元，比2018年持平。</w:t>
      </w:r>
    </w:p>
    <w:p w14:paraId="465B9160">
      <w:pPr>
        <w:widowControl/>
        <w:spacing w:line="360" w:lineRule="auto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　  五、绩效预算情况</w:t>
      </w:r>
    </w:p>
    <w:p w14:paraId="409A31BB">
      <w:pPr>
        <w:ind w:firstLine="900" w:firstLineChars="280"/>
        <w:jc w:val="left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hint="eastAsia" w:ascii="楷体" w:hAnsi="楷体" w:eastAsia="楷体"/>
          <w:b/>
          <w:sz w:val="32"/>
          <w:szCs w:val="32"/>
        </w:rPr>
        <w:t>总体绩效目标：</w:t>
      </w:r>
    </w:p>
    <w:p w14:paraId="4F454631">
      <w:pPr>
        <w:ind w:left="178" w:leftChars="85" w:firstLine="720" w:firstLineChars="225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提升会员的参政议政水平，为邯郸民营经济发展和社会发展建言献策，帮助民营企业在困境中找到最优化的融资途径，解决企业运行中所遇到的问题和困难，促进企业家对口帮扶任务。</w:t>
      </w:r>
    </w:p>
    <w:p w14:paraId="6CDE4B4B">
      <w:pPr>
        <w:ind w:firstLine="900" w:firstLineChars="28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hint="eastAsia" w:ascii="仿宋" w:hAnsi="仿宋" w:eastAsia="仿宋"/>
          <w:b/>
          <w:sz w:val="32"/>
          <w:szCs w:val="32"/>
        </w:rPr>
        <w:t>分项</w:t>
      </w:r>
      <w:r>
        <w:rPr>
          <w:rFonts w:hint="eastAsia" w:ascii="楷体" w:hAnsi="楷体" w:eastAsia="楷体"/>
          <w:b/>
          <w:sz w:val="32"/>
          <w:szCs w:val="32"/>
        </w:rPr>
        <w:t>绩效目标：</w:t>
      </w:r>
    </w:p>
    <w:p w14:paraId="09563AA8">
      <w:pPr>
        <w:ind w:firstLine="899" w:firstLineChars="28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</w:t>
      </w:r>
      <w:r>
        <w:rPr>
          <w:rFonts w:ascii="仿宋" w:hAnsi="仿宋" w:eastAsia="仿宋"/>
          <w:sz w:val="32"/>
          <w:szCs w:val="32"/>
        </w:rPr>
        <w:t>社会服务</w:t>
      </w:r>
    </w:p>
    <w:p w14:paraId="21D73935">
      <w:pPr>
        <w:ind w:firstLine="9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</w:t>
      </w:r>
      <w:r>
        <w:rPr>
          <w:rFonts w:ascii="仿宋" w:hAnsi="仿宋" w:eastAsia="仿宋"/>
          <w:sz w:val="32"/>
          <w:szCs w:val="32"/>
        </w:rPr>
        <w:t>举办中小企业投融资管理培训班，培训民营企业家。</w:t>
      </w:r>
    </w:p>
    <w:p w14:paraId="26645947">
      <w:pPr>
        <w:ind w:firstLine="880" w:firstLineChars="27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3、</w:t>
      </w:r>
      <w:r>
        <w:rPr>
          <w:rFonts w:ascii="仿宋" w:hAnsi="仿宋" w:eastAsia="仿宋"/>
          <w:sz w:val="32"/>
          <w:szCs w:val="32"/>
        </w:rPr>
        <w:t>帮助企业参与赴外地考察招商工作。</w:t>
      </w:r>
    </w:p>
    <w:p w14:paraId="0D383024">
      <w:pPr>
        <w:jc w:val="left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 xml:space="preserve">    </w:t>
      </w:r>
      <w:r>
        <w:rPr>
          <w:rFonts w:hint="eastAsia" w:ascii="楷体" w:hAnsi="楷体" w:eastAsia="楷体"/>
          <w:b/>
          <w:sz w:val="32"/>
          <w:szCs w:val="32"/>
        </w:rPr>
        <w:t xml:space="preserve"> 3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hint="eastAsia" w:ascii="楷体" w:hAnsi="楷体" w:eastAsia="楷体"/>
          <w:b/>
          <w:sz w:val="32"/>
          <w:szCs w:val="32"/>
        </w:rPr>
        <w:t>工作保障措施:</w:t>
      </w:r>
    </w:p>
    <w:p w14:paraId="3A981BFB">
      <w:pPr>
        <w:ind w:firstLine="880" w:firstLineChars="275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1、成立市工商联招商引资活动领导小组和办公室，开展多批次招商引资活动。</w:t>
      </w:r>
    </w:p>
    <w:p w14:paraId="719A29A3">
      <w:pPr>
        <w:pStyle w:val="11"/>
        <w:widowControl/>
        <w:spacing w:line="360" w:lineRule="auto"/>
        <w:ind w:firstLineChars="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2、制定年度培训计划，针对企业当前遇到的问题和困难开展有针对性培训。</w:t>
      </w:r>
    </w:p>
    <w:p w14:paraId="50FA63D3">
      <w:pPr>
        <w:pStyle w:val="11"/>
        <w:widowControl/>
        <w:spacing w:line="360" w:lineRule="auto"/>
        <w:ind w:firstLineChars="0"/>
        <w:jc w:val="left"/>
        <w:rPr>
          <w:rFonts w:ascii="仿宋" w:hAnsi="仿宋" w:eastAsia="仿宋"/>
          <w:sz w:val="32"/>
          <w:szCs w:val="32"/>
        </w:rPr>
      </w:pPr>
    </w:p>
    <w:p w14:paraId="665D2CE9">
      <w:pPr>
        <w:pStyle w:val="11"/>
        <w:widowControl/>
        <w:spacing w:line="360" w:lineRule="auto"/>
        <w:ind w:firstLineChars="0"/>
        <w:jc w:val="left"/>
        <w:rPr>
          <w:rFonts w:ascii="仿宋" w:hAnsi="仿宋" w:eastAsia="仿宋"/>
          <w:sz w:val="32"/>
          <w:szCs w:val="32"/>
        </w:rPr>
      </w:pPr>
    </w:p>
    <w:p w14:paraId="5FD82AB6">
      <w:pPr>
        <w:pStyle w:val="11"/>
        <w:widowControl/>
        <w:spacing w:line="360" w:lineRule="auto"/>
        <w:ind w:firstLineChars="0"/>
        <w:jc w:val="left"/>
        <w:rPr>
          <w:rFonts w:ascii="仿宋" w:hAnsi="仿宋" w:eastAsia="仿宋"/>
          <w:sz w:val="32"/>
          <w:szCs w:val="32"/>
        </w:rPr>
      </w:pPr>
    </w:p>
    <w:p w14:paraId="68FDADB5">
      <w:pPr>
        <w:pStyle w:val="11"/>
        <w:widowControl/>
        <w:spacing w:line="360" w:lineRule="auto"/>
        <w:ind w:firstLineChars="0"/>
        <w:jc w:val="left"/>
        <w:rPr>
          <w:rFonts w:ascii="仿宋" w:hAnsi="仿宋" w:eastAsia="仿宋"/>
          <w:sz w:val="32"/>
          <w:szCs w:val="32"/>
        </w:rPr>
      </w:pPr>
    </w:p>
    <w:p w14:paraId="479DBFE1">
      <w:pPr>
        <w:pStyle w:val="11"/>
        <w:widowControl/>
        <w:spacing w:line="360" w:lineRule="auto"/>
        <w:ind w:firstLineChars="0"/>
        <w:jc w:val="center"/>
        <w:rPr>
          <w:rFonts w:ascii="黑体" w:hAnsi="黑体" w:eastAsia="黑体" w:cs="Calibri"/>
          <w:b/>
          <w:kern w:val="0"/>
          <w:sz w:val="32"/>
          <w:szCs w:val="32"/>
        </w:rPr>
      </w:pPr>
      <w:r>
        <w:rPr>
          <w:rFonts w:hint="eastAsia" w:ascii="方正小标宋_GBK" w:eastAsia="方正小标宋_GBK"/>
          <w:sz w:val="32"/>
        </w:rPr>
        <w:t>部门职责-工作活动绩效目标</w:t>
      </w:r>
    </w:p>
    <w:p w14:paraId="554A4C48">
      <w:pPr>
        <w:pStyle w:val="11"/>
        <w:widowControl/>
        <w:spacing w:line="360" w:lineRule="auto"/>
        <w:ind w:firstLine="0" w:firstLineChars="0"/>
        <w:jc w:val="left"/>
        <w:rPr>
          <w:rFonts w:ascii="黑体" w:hAnsi="黑体" w:eastAsia="黑体" w:cs="Calibri"/>
          <w:kern w:val="0"/>
          <w:sz w:val="32"/>
          <w:szCs w:val="32"/>
        </w:rPr>
        <w:sectPr>
          <w:headerReference r:id="rId3" w:type="default"/>
          <w:pgSz w:w="16839" w:h="11907" w:orient="landscape"/>
          <w:pgMar w:top="1418" w:right="1701" w:bottom="1418" w:left="1440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14:paraId="7267D9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02CA7E05">
            <w:pPr>
              <w:spacing w:line="300" w:lineRule="exact"/>
              <w:jc w:val="left"/>
              <w:rPr>
                <w:rFonts w:ascii="方正小标宋_GBK" w:hAnsi="Times New Roman" w:eastAsia="方正小标宋_GBK" w:cs="Times New Roman"/>
                <w:sz w:val="24"/>
                <w:szCs w:val="24"/>
              </w:rPr>
            </w:pPr>
            <w:r>
              <w:rPr>
                <w:rFonts w:ascii="方正小标宋_GBK" w:hAnsi="Times New Roman" w:eastAsia="方正小标宋_GBK" w:cs="Times New Roman"/>
                <w:sz w:val="24"/>
                <w:szCs w:val="24"/>
              </w:rPr>
              <w:t>547</w:t>
            </w:r>
            <w:r>
              <w:rPr>
                <w:rFonts w:hint="eastAsia" w:ascii="方正小标宋_GBK" w:hAnsi="Times New Roman" w:eastAsia="方正小标宋_GBK" w:cs="Times New Roman"/>
                <w:sz w:val="24"/>
                <w:szCs w:val="24"/>
              </w:rPr>
              <w:t>成安县工商联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 w14:paraId="7969EF1D">
            <w:pPr>
              <w:spacing w:line="300" w:lineRule="exact"/>
              <w:jc w:val="right"/>
              <w:rPr>
                <w:rFonts w:ascii="方正书宋_GBK" w:hAnsi="Times New Roman" w:eastAsia="方正书宋_GBK" w:cs="Times New Roman"/>
                <w:sz w:val="24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 w:val="24"/>
                <w:szCs w:val="24"/>
              </w:rPr>
              <w:t>单位：万元</w:t>
            </w:r>
          </w:p>
        </w:tc>
      </w:tr>
      <w:tr w14:paraId="127CE7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73664A8D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21E23C4A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0F79DCF1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69354247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86DC897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 w14:paraId="6E99B526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评价标准</w:t>
            </w:r>
          </w:p>
        </w:tc>
      </w:tr>
      <w:tr w14:paraId="2ACBB8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59BE5433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0D62D88F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7BB2B30C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1DC9BE47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 w14:paraId="6AE107E7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472C3DE8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032750D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FC96003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977096E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差</w:t>
            </w:r>
          </w:p>
        </w:tc>
      </w:tr>
      <w:tr w14:paraId="6DA396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570FC4C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参政议政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E1015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18D745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参政议政、社会服务等事项。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30C3A4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组织开展调研，向县政协提交大会发言和集体提案，反映社情民意，组织会员企业参与农村面貌改造提升行动、社会扶贫和公益事业。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2A509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6C98CA1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E7F1CD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D01AC4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7D5634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3B1151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441EF7A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参政议政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228E53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5888DA73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组织开展调研，向县政协提交大会发言和集体提案，反映社情民意。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363BE40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提升参政议政水平，为国家治理和社会发展建言献策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0258E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提交提案数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79885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E972F0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E97E54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FF4C48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3FC829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77F2A1C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349F875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3ACDF7B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59F16EF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F90D7D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反映社情民意数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6EE4F4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44ECD1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00B93E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FB8AF2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22C438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2C650F6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5D1120D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4D5D1A76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5A46764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3C0922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提交调研报告数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5677AE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3A0349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7CFC74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684E88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7A3D61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 w14:paraId="30B1047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社会服务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4F0276D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6A327726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积极搭建服务平台，举办招商会、银企对接会、招商引资，民企入县活动及法律维权、科技进民企活动。加强与国内知名企业、海外工商社团的合作交流。组织会员企业参与农村面貌改造提升行动、社会扶贫和公益事业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16967BA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助力</w:t>
            </w:r>
            <w:r>
              <w:rPr>
                <w:rFonts w:hint="cs" w:ascii="方正书宋_GBK" w:hAnsi="Times New Roman" w:eastAsia="方正书宋_GBK" w:cs="Times New Roman"/>
                <w:szCs w:val="24"/>
              </w:rPr>
              <w:t>“</w:t>
            </w:r>
            <w:r>
              <w:rPr>
                <w:rFonts w:hint="eastAsia" w:ascii="方正书宋_GBK" w:hAnsi="Times New Roman" w:eastAsia="方正书宋_GBK" w:cs="Times New Roman"/>
                <w:szCs w:val="24"/>
              </w:rPr>
              <w:t>京津冀</w:t>
            </w:r>
            <w:r>
              <w:rPr>
                <w:rFonts w:hint="cs" w:ascii="方正书宋_GBK" w:hAnsi="Times New Roman" w:eastAsia="方正书宋_GBK" w:cs="Times New Roman"/>
                <w:szCs w:val="24"/>
              </w:rPr>
              <w:t>”</w:t>
            </w:r>
            <w:r>
              <w:rPr>
                <w:rFonts w:hint="eastAsia" w:ascii="方正书宋_GBK" w:hAnsi="Times New Roman" w:eastAsia="方正书宋_GBK" w:cs="Times New Roman"/>
                <w:szCs w:val="24"/>
              </w:rPr>
              <w:t>三地民营企业经济协同发展及三地工商联工作协同化，引导会员积极承担社会职责，热心公益事业，投身光彩事业，加强与海外社团沟通交流，发挥工商联在政府管理和服务非公有制经济中的助手作用，助力河北经济发展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09ABF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招商引资活动数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D288A9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C3C597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AA4D45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6CF5C78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0BCCB5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6988A40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2FCC115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32199AA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2C65E0D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554157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合作与交流次数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D0519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96A05B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23CDA9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2E038C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26F605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6491962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678A413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3DA4FE5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60CF61F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A0427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法律维权次数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9B422A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FD204F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CA51D7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0EA057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661FE8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 w14:paraId="157A9BC2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 w14:paraId="22BF017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50340B3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 w14:paraId="24BB48E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84B76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帮扶任务完成率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16D93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2384964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0C767CB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22E7B5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7004E2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75CC164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组织建设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E0AF4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D519DF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发展工商联会员，指导基层工商联组织建设等各项工作。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A8DA80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贯彻全国工商联组织建设工作方针，指导全县工商联各级组织的建设，维护会员合法权益；组织换届，培训、思想政治和基层建设工作；对非公有制经济优秀进行宣传。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5EFDD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14:paraId="4C516C2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4D5C69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4BDE61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B191E3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236AA8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 w14:paraId="1956D48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组织建设及宣传教育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7D949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0.5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CE4650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贯彻全国工商联组织建设工作方针，指导全县各级组织的建设，维护会员合法权益，组织换届、培训、思想政治和基层建设工作，对非公有制经济优秀事迹进行宣传。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863D8E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提升民营企业家素质以及工商联、商会工作影响力。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17B7E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培训任务完成率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6A80D4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14989C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E0628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7C6BEC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</w:tbl>
    <w:p w14:paraId="7822BA25">
      <w:pPr>
        <w:widowControl/>
        <w:spacing w:line="360" w:lineRule="auto"/>
        <w:jc w:val="left"/>
        <w:rPr>
          <w:rFonts w:ascii="仿宋_GB2312" w:hAnsi="Calibri" w:eastAsia="仿宋_GB2312" w:cs="Calibri"/>
          <w:b/>
          <w:kern w:val="0"/>
          <w:sz w:val="32"/>
          <w:szCs w:val="32"/>
        </w:rPr>
        <w:sectPr>
          <w:pgSz w:w="16839" w:h="11907" w:orient="landscape"/>
          <w:pgMar w:top="1418" w:right="1701" w:bottom="1418" w:left="1440" w:header="851" w:footer="992" w:gutter="0"/>
          <w:cols w:space="425" w:num="1"/>
          <w:docGrid w:type="lines" w:linePitch="312" w:charSpace="0"/>
        </w:sectPr>
      </w:pPr>
    </w:p>
    <w:p w14:paraId="04161063">
      <w:pPr>
        <w:pStyle w:val="11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政府采购预算情况</w:t>
      </w:r>
    </w:p>
    <w:p w14:paraId="3D1324A6">
      <w:pPr>
        <w:widowControl/>
        <w:spacing w:line="360" w:lineRule="auto"/>
        <w:ind w:firstLine="640" w:firstLineChars="200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按照政府采购相关法律法规要求，结合我局实际，2019年我局政府采购事项为0.5万元，微机打印机设备。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本年拟用于政府采购0.5万元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。具体内容见下表。</w:t>
      </w:r>
    </w:p>
    <w:p w14:paraId="3EF432B7">
      <w:pPr>
        <w:spacing w:line="560" w:lineRule="exact"/>
        <w:jc w:val="center"/>
        <w:outlineLvl w:val="0"/>
        <w:rPr>
          <w:rFonts w:ascii="华文楷体" w:hAnsi="华文楷体" w:eastAsia="华文楷体" w:cs="Times New Roman"/>
          <w:b/>
          <w:sz w:val="32"/>
          <w:szCs w:val="32"/>
        </w:rPr>
      </w:pPr>
      <w:r>
        <w:rPr>
          <w:rFonts w:hint="eastAsia" w:ascii="华文楷体" w:hAnsi="华文楷体" w:eastAsia="华文楷体" w:cs="方正小标宋_GBK"/>
          <w:b/>
          <w:sz w:val="32"/>
          <w:szCs w:val="32"/>
        </w:rPr>
        <w:t>部门政府采购预算</w:t>
      </w:r>
    </w:p>
    <w:tbl>
      <w:tblPr>
        <w:tblStyle w:val="6"/>
        <w:tblW w:w="928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672"/>
        <w:gridCol w:w="550"/>
        <w:gridCol w:w="1057"/>
        <w:gridCol w:w="375"/>
        <w:gridCol w:w="50"/>
        <w:gridCol w:w="500"/>
        <w:gridCol w:w="747"/>
        <w:gridCol w:w="563"/>
        <w:gridCol w:w="563"/>
        <w:gridCol w:w="563"/>
        <w:gridCol w:w="511"/>
        <w:gridCol w:w="552"/>
        <w:gridCol w:w="555"/>
        <w:gridCol w:w="514"/>
      </w:tblGrid>
      <w:tr w14:paraId="1AB472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5466" w:type="dxa"/>
            <w:gridSpan w:val="8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A889CE1">
            <w:pPr>
              <w:spacing w:line="5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方正小标宋_GBK"/>
                <w:sz w:val="24"/>
                <w:szCs w:val="24"/>
              </w:rPr>
              <w:t>部门（单位）名称：成安县工商联</w:t>
            </w:r>
          </w:p>
        </w:tc>
        <w:tc>
          <w:tcPr>
            <w:tcW w:w="3821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325CF56">
            <w:pPr>
              <w:spacing w:line="560" w:lineRule="exact"/>
              <w:jc w:val="righ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方正书宋_GBK"/>
                <w:sz w:val="24"/>
                <w:szCs w:val="24"/>
              </w:rPr>
              <w:t>单位：万元</w:t>
            </w:r>
          </w:p>
        </w:tc>
      </w:tr>
      <w:tr w14:paraId="5E70DD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tblHeader/>
          <w:jc w:val="center"/>
        </w:trPr>
        <w:tc>
          <w:tcPr>
            <w:tcW w:w="2187" w:type="dxa"/>
            <w:gridSpan w:val="2"/>
            <w:vAlign w:val="center"/>
          </w:tcPr>
          <w:p w14:paraId="1F7FA3D3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政府采购项目来源</w:t>
            </w:r>
          </w:p>
        </w:tc>
        <w:tc>
          <w:tcPr>
            <w:tcW w:w="550" w:type="dxa"/>
            <w:vMerge w:val="restart"/>
            <w:vAlign w:val="center"/>
          </w:tcPr>
          <w:p w14:paraId="7E57A470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采购物品名称</w:t>
            </w:r>
          </w:p>
        </w:tc>
        <w:tc>
          <w:tcPr>
            <w:tcW w:w="1057" w:type="dxa"/>
            <w:vMerge w:val="restart"/>
            <w:vAlign w:val="center"/>
          </w:tcPr>
          <w:p w14:paraId="1CE13D40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政府采购目录序号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14:paraId="2DFBBC02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数量单位</w:t>
            </w:r>
          </w:p>
        </w:tc>
        <w:tc>
          <w:tcPr>
            <w:tcW w:w="500" w:type="dxa"/>
            <w:vMerge w:val="restart"/>
            <w:vAlign w:val="center"/>
          </w:tcPr>
          <w:p w14:paraId="24D75EED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数量</w:t>
            </w:r>
          </w:p>
        </w:tc>
        <w:tc>
          <w:tcPr>
            <w:tcW w:w="747" w:type="dxa"/>
            <w:vMerge w:val="restart"/>
            <w:vAlign w:val="center"/>
          </w:tcPr>
          <w:p w14:paraId="388B2313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单价</w:t>
            </w:r>
          </w:p>
        </w:tc>
        <w:tc>
          <w:tcPr>
            <w:tcW w:w="3821" w:type="dxa"/>
            <w:gridSpan w:val="7"/>
            <w:vAlign w:val="center"/>
          </w:tcPr>
          <w:p w14:paraId="37B34B1A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政府采购金额</w:t>
            </w:r>
          </w:p>
        </w:tc>
      </w:tr>
      <w:tr w14:paraId="4A05B4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tblHeader/>
          <w:jc w:val="center"/>
        </w:trPr>
        <w:tc>
          <w:tcPr>
            <w:tcW w:w="1515" w:type="dxa"/>
            <w:vMerge w:val="restart"/>
            <w:vAlign w:val="center"/>
          </w:tcPr>
          <w:p w14:paraId="3DD97619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项目名称</w:t>
            </w:r>
          </w:p>
        </w:tc>
        <w:tc>
          <w:tcPr>
            <w:tcW w:w="672" w:type="dxa"/>
            <w:vMerge w:val="restart"/>
            <w:vAlign w:val="center"/>
          </w:tcPr>
          <w:p w14:paraId="0B6E7082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预算资金</w:t>
            </w:r>
          </w:p>
        </w:tc>
        <w:tc>
          <w:tcPr>
            <w:tcW w:w="550" w:type="dxa"/>
            <w:vMerge w:val="continue"/>
            <w:vAlign w:val="center"/>
          </w:tcPr>
          <w:p w14:paraId="39248160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1057" w:type="dxa"/>
            <w:vMerge w:val="continue"/>
            <w:vAlign w:val="center"/>
          </w:tcPr>
          <w:p w14:paraId="3AE28A25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425" w:type="dxa"/>
            <w:gridSpan w:val="2"/>
            <w:vMerge w:val="continue"/>
            <w:vAlign w:val="center"/>
          </w:tcPr>
          <w:p w14:paraId="7F698B7C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00" w:type="dxa"/>
            <w:vMerge w:val="continue"/>
            <w:vAlign w:val="center"/>
          </w:tcPr>
          <w:p w14:paraId="43C1BE52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747" w:type="dxa"/>
            <w:vMerge w:val="continue"/>
            <w:vAlign w:val="center"/>
          </w:tcPr>
          <w:p w14:paraId="1EC5C3A9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63" w:type="dxa"/>
            <w:vMerge w:val="restart"/>
            <w:vAlign w:val="center"/>
          </w:tcPr>
          <w:p w14:paraId="1F2A07F1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总计</w:t>
            </w:r>
          </w:p>
        </w:tc>
        <w:tc>
          <w:tcPr>
            <w:tcW w:w="2744" w:type="dxa"/>
            <w:gridSpan w:val="5"/>
            <w:vAlign w:val="center"/>
          </w:tcPr>
          <w:p w14:paraId="2C345FA4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当年部门预算安排资金</w:t>
            </w:r>
          </w:p>
        </w:tc>
        <w:tc>
          <w:tcPr>
            <w:tcW w:w="514" w:type="dxa"/>
            <w:vMerge w:val="restart"/>
            <w:vAlign w:val="center"/>
          </w:tcPr>
          <w:p w14:paraId="2C4EBDE6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其他渠道资金</w:t>
            </w:r>
          </w:p>
        </w:tc>
      </w:tr>
      <w:tr w14:paraId="5A0866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15" w:type="dxa"/>
            <w:vMerge w:val="continue"/>
            <w:vAlign w:val="center"/>
          </w:tcPr>
          <w:p w14:paraId="29356CB8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672" w:type="dxa"/>
            <w:vMerge w:val="continue"/>
            <w:vAlign w:val="center"/>
          </w:tcPr>
          <w:p w14:paraId="084DC915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50" w:type="dxa"/>
            <w:vMerge w:val="continue"/>
            <w:vAlign w:val="center"/>
          </w:tcPr>
          <w:p w14:paraId="2EF3565D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1057" w:type="dxa"/>
            <w:vMerge w:val="continue"/>
            <w:vAlign w:val="center"/>
          </w:tcPr>
          <w:p w14:paraId="1413DDBB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425" w:type="dxa"/>
            <w:gridSpan w:val="2"/>
            <w:vMerge w:val="continue"/>
            <w:vAlign w:val="center"/>
          </w:tcPr>
          <w:p w14:paraId="32DE2B61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00" w:type="dxa"/>
            <w:vMerge w:val="continue"/>
            <w:vAlign w:val="center"/>
          </w:tcPr>
          <w:p w14:paraId="5CA13B63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747" w:type="dxa"/>
            <w:vMerge w:val="continue"/>
            <w:vAlign w:val="center"/>
          </w:tcPr>
          <w:p w14:paraId="57B3F21F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63" w:type="dxa"/>
            <w:vMerge w:val="continue"/>
            <w:vAlign w:val="center"/>
          </w:tcPr>
          <w:p w14:paraId="78BB7EF0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63" w:type="dxa"/>
            <w:vAlign w:val="center"/>
          </w:tcPr>
          <w:p w14:paraId="403A0F6E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合计</w:t>
            </w:r>
          </w:p>
        </w:tc>
        <w:tc>
          <w:tcPr>
            <w:tcW w:w="563" w:type="dxa"/>
            <w:vAlign w:val="center"/>
          </w:tcPr>
          <w:p w14:paraId="34B17894">
            <w:pPr>
              <w:spacing w:line="22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一般公共预算拨款</w:t>
            </w:r>
          </w:p>
        </w:tc>
        <w:tc>
          <w:tcPr>
            <w:tcW w:w="511" w:type="dxa"/>
            <w:vAlign w:val="center"/>
          </w:tcPr>
          <w:p w14:paraId="0018A74B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基金预算拨款</w:t>
            </w:r>
          </w:p>
        </w:tc>
        <w:tc>
          <w:tcPr>
            <w:tcW w:w="552" w:type="dxa"/>
            <w:vAlign w:val="center"/>
          </w:tcPr>
          <w:p w14:paraId="287502A9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财政专户核拨</w:t>
            </w:r>
          </w:p>
        </w:tc>
        <w:tc>
          <w:tcPr>
            <w:tcW w:w="555" w:type="dxa"/>
            <w:vAlign w:val="center"/>
          </w:tcPr>
          <w:p w14:paraId="236D99B9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其他来源收入</w:t>
            </w:r>
          </w:p>
        </w:tc>
        <w:tc>
          <w:tcPr>
            <w:tcW w:w="514" w:type="dxa"/>
            <w:vMerge w:val="continue"/>
            <w:vAlign w:val="center"/>
          </w:tcPr>
          <w:p w14:paraId="7E6B4B59">
            <w:pPr>
              <w:spacing w:line="2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</w:tr>
      <w:tr w14:paraId="48C7E6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5" w:type="dxa"/>
            <w:vAlign w:val="center"/>
          </w:tcPr>
          <w:p w14:paraId="26457315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合　计</w:t>
            </w:r>
          </w:p>
        </w:tc>
        <w:tc>
          <w:tcPr>
            <w:tcW w:w="672" w:type="dxa"/>
            <w:vAlign w:val="center"/>
          </w:tcPr>
          <w:p w14:paraId="1AEAE582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50" w:type="dxa"/>
            <w:vAlign w:val="center"/>
          </w:tcPr>
          <w:p w14:paraId="4905C395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1057" w:type="dxa"/>
            <w:vAlign w:val="center"/>
          </w:tcPr>
          <w:p w14:paraId="14470CA6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375" w:type="dxa"/>
            <w:vAlign w:val="center"/>
          </w:tcPr>
          <w:p w14:paraId="555C7409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0" w:type="dxa"/>
            <w:gridSpan w:val="2"/>
            <w:vAlign w:val="center"/>
          </w:tcPr>
          <w:p w14:paraId="5023F52C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747" w:type="dxa"/>
            <w:vAlign w:val="center"/>
          </w:tcPr>
          <w:p w14:paraId="0F7202CB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3" w:type="dxa"/>
            <w:vAlign w:val="center"/>
          </w:tcPr>
          <w:p w14:paraId="5511A14C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4AF291FB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71B37A51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11" w:type="dxa"/>
            <w:vAlign w:val="center"/>
          </w:tcPr>
          <w:p w14:paraId="6E05618E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2" w:type="dxa"/>
            <w:vAlign w:val="center"/>
          </w:tcPr>
          <w:p w14:paraId="783E489D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5" w:type="dxa"/>
            <w:vAlign w:val="center"/>
          </w:tcPr>
          <w:p w14:paraId="49301499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48C2F225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</w:tr>
      <w:tr w14:paraId="44B034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5" w:type="dxa"/>
            <w:vAlign w:val="center"/>
          </w:tcPr>
          <w:p w14:paraId="40BCB639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电脑</w:t>
            </w:r>
          </w:p>
        </w:tc>
        <w:tc>
          <w:tcPr>
            <w:tcW w:w="672" w:type="dxa"/>
            <w:vAlign w:val="center"/>
          </w:tcPr>
          <w:p w14:paraId="356E17B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50" w:type="dxa"/>
            <w:vAlign w:val="center"/>
          </w:tcPr>
          <w:p w14:paraId="6C198E4A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电脑</w:t>
            </w:r>
          </w:p>
        </w:tc>
        <w:tc>
          <w:tcPr>
            <w:tcW w:w="1057" w:type="dxa"/>
            <w:vAlign w:val="center"/>
          </w:tcPr>
          <w:p w14:paraId="3AA7C184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A02010107</w:t>
            </w:r>
          </w:p>
        </w:tc>
        <w:tc>
          <w:tcPr>
            <w:tcW w:w="375" w:type="dxa"/>
            <w:vAlign w:val="center"/>
          </w:tcPr>
          <w:p w14:paraId="6284DAE6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1</w:t>
            </w:r>
          </w:p>
        </w:tc>
        <w:tc>
          <w:tcPr>
            <w:tcW w:w="550" w:type="dxa"/>
            <w:gridSpan w:val="2"/>
            <w:vAlign w:val="center"/>
          </w:tcPr>
          <w:p w14:paraId="3F2C68BC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1</w:t>
            </w:r>
          </w:p>
        </w:tc>
        <w:tc>
          <w:tcPr>
            <w:tcW w:w="747" w:type="dxa"/>
            <w:vAlign w:val="center"/>
          </w:tcPr>
          <w:p w14:paraId="5441FAAD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3BA5D4E5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3E9E48A9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53F06E81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11" w:type="dxa"/>
            <w:vAlign w:val="center"/>
          </w:tcPr>
          <w:p w14:paraId="1C30E39D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2" w:type="dxa"/>
            <w:vAlign w:val="center"/>
          </w:tcPr>
          <w:p w14:paraId="27F3E25B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5" w:type="dxa"/>
            <w:vAlign w:val="center"/>
          </w:tcPr>
          <w:p w14:paraId="1287EC50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7AC9CD13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</w:tr>
    </w:tbl>
    <w:p w14:paraId="66327F70">
      <w:pPr>
        <w:pStyle w:val="11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国有资产情况的说明</w:t>
      </w:r>
    </w:p>
    <w:p w14:paraId="1201FCB8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末固定资产帐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账</w:t>
      </w:r>
      <w:bookmarkStart w:id="0" w:name="_GoBack"/>
      <w:bookmarkEnd w:id="0"/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面结余1.8810万元。其中：房屋价值0万元，车辆价值0万元，其它资产办公用电脑4台打印机3台、办公家具等价值1.8810万元。2019年我单位拟政府采购0.5万元。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已列入政府采购预算。详见下表。</w:t>
      </w:r>
    </w:p>
    <w:tbl>
      <w:tblPr>
        <w:tblStyle w:val="6"/>
        <w:tblW w:w="9287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2"/>
        <w:gridCol w:w="877"/>
        <w:gridCol w:w="4168"/>
      </w:tblGrid>
      <w:tr w14:paraId="2A67C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2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9F414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 w14:paraId="1255F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93448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编制部门：成安县工商业联合会</w:t>
            </w:r>
          </w:p>
        </w:tc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994C9">
            <w:pPr>
              <w:widowControl/>
              <w:ind w:firstLine="550" w:firstLineChars="250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截止时间：</w:t>
            </w:r>
            <w:r>
              <w:rPr>
                <w:rFonts w:ascii="宋体" w:hAnsi="宋体" w:eastAsia="宋体" w:cs="宋体"/>
                <w:kern w:val="0"/>
                <w:sz w:val="22"/>
              </w:rPr>
              <w:t>201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8年</w:t>
            </w:r>
            <w:r>
              <w:rPr>
                <w:rFonts w:ascii="宋体" w:hAnsi="宋体" w:eastAsia="宋体" w:cs="宋体"/>
                <w:kern w:val="0"/>
                <w:sz w:val="22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月</w:t>
            </w:r>
            <w:r>
              <w:rPr>
                <w:rFonts w:ascii="宋体" w:hAnsi="宋体" w:eastAsia="宋体" w:cs="宋体"/>
                <w:kern w:val="0"/>
                <w:sz w:val="22"/>
              </w:rPr>
              <w:t>31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日</w:t>
            </w:r>
          </w:p>
        </w:tc>
      </w:tr>
      <w:tr w14:paraId="47DCB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52116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项目</w:t>
            </w:r>
          </w:p>
        </w:tc>
        <w:tc>
          <w:tcPr>
            <w:tcW w:w="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AE08E7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41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CFA273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</w:rPr>
              <w:t>价值（金额单位：万元）</w:t>
            </w:r>
          </w:p>
        </w:tc>
      </w:tr>
      <w:tr w14:paraId="2CFD5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622B8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资产总额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54BB85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——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F3CA9">
            <w:pPr>
              <w:widowControl/>
              <w:jc w:val="center"/>
              <w:rPr>
                <w:rFonts w:ascii="华文楷体" w:hAnsi="华文楷体" w:eastAsia="华文楷体" w:cs="宋体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宋体"/>
                <w:kern w:val="0"/>
                <w:sz w:val="24"/>
                <w:szCs w:val="24"/>
              </w:rPr>
              <w:t>1.8810万元</w:t>
            </w:r>
          </w:p>
        </w:tc>
      </w:tr>
      <w:tr w14:paraId="6C4C0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59653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、房屋（平方米）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745F71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35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22016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Times New Roman"/>
                <w:kern w:val="0"/>
                <w:sz w:val="24"/>
                <w:szCs w:val="24"/>
              </w:rPr>
              <w:t>0</w:t>
            </w:r>
          </w:p>
        </w:tc>
      </w:tr>
      <w:tr w14:paraId="7727D7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5C676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其中：办公用房（平方米）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62AC3A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35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4A5597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Times New Roman"/>
                <w:kern w:val="0"/>
                <w:sz w:val="24"/>
                <w:szCs w:val="24"/>
              </w:rPr>
              <w:t>在政府集中办公</w:t>
            </w:r>
          </w:p>
        </w:tc>
      </w:tr>
      <w:tr w14:paraId="7E6BF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15815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、车辆（台、辆）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540022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AF7018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14E9B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C2CC4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、单价在</w:t>
            </w:r>
            <w:r>
              <w:rPr>
                <w:rFonts w:ascii="宋体" w:hAnsi="宋体" w:eastAsia="宋体" w:cs="宋体"/>
                <w:kern w:val="0"/>
                <w:sz w:val="22"/>
              </w:rPr>
              <w:t>50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万元以上的设备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E05D2B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189B88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2B8CB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F34EF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>、其他固定资产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BD4828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</w:rPr>
              <w:t>4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07BBF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仿宋_GB2312"/>
                <w:kern w:val="0"/>
                <w:sz w:val="24"/>
                <w:szCs w:val="24"/>
              </w:rPr>
              <w:t>1.8810万元</w:t>
            </w:r>
          </w:p>
        </w:tc>
      </w:tr>
    </w:tbl>
    <w:p w14:paraId="652C48A1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</w:p>
    <w:p w14:paraId="052BE292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 xml:space="preserve">八、名词解释 </w:t>
      </w:r>
    </w:p>
    <w:p w14:paraId="739E8902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 1、财政拨款收入：指财政当年拨付的资金。</w:t>
      </w:r>
    </w:p>
    <w:p w14:paraId="0323728D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 xml:space="preserve"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 </w:t>
      </w:r>
    </w:p>
    <w:p w14:paraId="46918891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3、年初结转和结余：指以前年度尚未完成，结转到本年仍按照原规定用途继续使用的资金，或项目已完成等产生的结余资金。  </w:t>
      </w:r>
    </w:p>
    <w:p w14:paraId="1DBEAE1A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>4、基本支出：指单位为了保障其正常运转、完成日常工作任务而发生的人员支出和公用支出。  5、项目支出：指单位为了特定的工作任务和事业发展目标，在基本支出之外所发生的支出。</w:t>
      </w:r>
    </w:p>
    <w:p w14:paraId="20D39BEA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 w14:paraId="610800D8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无其他需要说明的事项。</w:t>
      </w:r>
    </w:p>
    <w:p w14:paraId="428B14B8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sz w:val="32"/>
          <w:szCs w:val="32"/>
        </w:rPr>
      </w:pPr>
    </w:p>
    <w:sectPr>
      <w:pgSz w:w="11907" w:h="16839"/>
      <w:pgMar w:top="1701" w:right="1418" w:bottom="1440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仿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E9431B"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BB5E3D"/>
    <w:multiLevelType w:val="multilevel"/>
    <w:tmpl w:val="19BB5E3D"/>
    <w:lvl w:ilvl="0" w:tentative="0">
      <w:start w:val="7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302205D"/>
    <w:multiLevelType w:val="multilevel"/>
    <w:tmpl w:val="3302205D"/>
    <w:lvl w:ilvl="0" w:tentative="0">
      <w:start w:val="6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1696A"/>
    <w:rsid w:val="00062CFB"/>
    <w:rsid w:val="000A6347"/>
    <w:rsid w:val="000B7509"/>
    <w:rsid w:val="000E0A4C"/>
    <w:rsid w:val="000E4E23"/>
    <w:rsid w:val="000F5D9B"/>
    <w:rsid w:val="001120FE"/>
    <w:rsid w:val="001231A6"/>
    <w:rsid w:val="00190F3F"/>
    <w:rsid w:val="00277620"/>
    <w:rsid w:val="002E3A95"/>
    <w:rsid w:val="00305FD0"/>
    <w:rsid w:val="003359C6"/>
    <w:rsid w:val="00385C70"/>
    <w:rsid w:val="003A7B6E"/>
    <w:rsid w:val="003D5B2B"/>
    <w:rsid w:val="003E54DD"/>
    <w:rsid w:val="003F07E4"/>
    <w:rsid w:val="00430A26"/>
    <w:rsid w:val="004331E4"/>
    <w:rsid w:val="0045180C"/>
    <w:rsid w:val="00483AF1"/>
    <w:rsid w:val="00485155"/>
    <w:rsid w:val="004A44B7"/>
    <w:rsid w:val="004D3535"/>
    <w:rsid w:val="005011AB"/>
    <w:rsid w:val="00524019"/>
    <w:rsid w:val="00546D96"/>
    <w:rsid w:val="005D136A"/>
    <w:rsid w:val="005E3480"/>
    <w:rsid w:val="005F4CCC"/>
    <w:rsid w:val="0062621A"/>
    <w:rsid w:val="00656555"/>
    <w:rsid w:val="00685811"/>
    <w:rsid w:val="006A2DEC"/>
    <w:rsid w:val="006C3B6B"/>
    <w:rsid w:val="006D1C5B"/>
    <w:rsid w:val="006F0910"/>
    <w:rsid w:val="006F683D"/>
    <w:rsid w:val="00700610"/>
    <w:rsid w:val="00716416"/>
    <w:rsid w:val="00762076"/>
    <w:rsid w:val="00774A79"/>
    <w:rsid w:val="00780B7F"/>
    <w:rsid w:val="00787EB8"/>
    <w:rsid w:val="007A507B"/>
    <w:rsid w:val="007D6BF0"/>
    <w:rsid w:val="007F0661"/>
    <w:rsid w:val="00804C56"/>
    <w:rsid w:val="008058DC"/>
    <w:rsid w:val="00810154"/>
    <w:rsid w:val="00813CD1"/>
    <w:rsid w:val="00880798"/>
    <w:rsid w:val="008B2103"/>
    <w:rsid w:val="008C7744"/>
    <w:rsid w:val="008E56FC"/>
    <w:rsid w:val="008F7A24"/>
    <w:rsid w:val="00906E3D"/>
    <w:rsid w:val="0092170B"/>
    <w:rsid w:val="0092610D"/>
    <w:rsid w:val="00950C47"/>
    <w:rsid w:val="009C23CE"/>
    <w:rsid w:val="009C5AF0"/>
    <w:rsid w:val="009E1F3B"/>
    <w:rsid w:val="00A07D70"/>
    <w:rsid w:val="00A24AB0"/>
    <w:rsid w:val="00A62B23"/>
    <w:rsid w:val="00AF5A90"/>
    <w:rsid w:val="00B25078"/>
    <w:rsid w:val="00B45BF1"/>
    <w:rsid w:val="00B6319B"/>
    <w:rsid w:val="00BA02A0"/>
    <w:rsid w:val="00BD1A8C"/>
    <w:rsid w:val="00BF5CF8"/>
    <w:rsid w:val="00C03784"/>
    <w:rsid w:val="00C11E33"/>
    <w:rsid w:val="00CA56C0"/>
    <w:rsid w:val="00CB4837"/>
    <w:rsid w:val="00CE13FD"/>
    <w:rsid w:val="00D07EDD"/>
    <w:rsid w:val="00D604C2"/>
    <w:rsid w:val="00D6182E"/>
    <w:rsid w:val="00D94518"/>
    <w:rsid w:val="00D97232"/>
    <w:rsid w:val="00E55B5E"/>
    <w:rsid w:val="00E810D6"/>
    <w:rsid w:val="00EB34D4"/>
    <w:rsid w:val="00F06F5F"/>
    <w:rsid w:val="00F17C06"/>
    <w:rsid w:val="00F46D44"/>
    <w:rsid w:val="00F56B0C"/>
    <w:rsid w:val="00F94EE6"/>
    <w:rsid w:val="00FA75D4"/>
    <w:rsid w:val="00FE3F1E"/>
    <w:rsid w:val="00FE7378"/>
    <w:rsid w:val="013B67CD"/>
    <w:rsid w:val="01CA412B"/>
    <w:rsid w:val="037D399A"/>
    <w:rsid w:val="03B213E5"/>
    <w:rsid w:val="06096D52"/>
    <w:rsid w:val="06550E5D"/>
    <w:rsid w:val="0726741C"/>
    <w:rsid w:val="08D34D69"/>
    <w:rsid w:val="09E50DB9"/>
    <w:rsid w:val="0BB759F9"/>
    <w:rsid w:val="0CBF7A43"/>
    <w:rsid w:val="0DD4180B"/>
    <w:rsid w:val="130B706D"/>
    <w:rsid w:val="139106CF"/>
    <w:rsid w:val="13DE0FA8"/>
    <w:rsid w:val="163506CD"/>
    <w:rsid w:val="17252863"/>
    <w:rsid w:val="175940C0"/>
    <w:rsid w:val="177458F6"/>
    <w:rsid w:val="17C16AC9"/>
    <w:rsid w:val="180D78B9"/>
    <w:rsid w:val="1AEF7278"/>
    <w:rsid w:val="1B070A29"/>
    <w:rsid w:val="1B2A5EA4"/>
    <w:rsid w:val="1CC97251"/>
    <w:rsid w:val="1CEB0A1C"/>
    <w:rsid w:val="1E8167C1"/>
    <w:rsid w:val="1EAA0AE1"/>
    <w:rsid w:val="21B66276"/>
    <w:rsid w:val="228819EE"/>
    <w:rsid w:val="2716314B"/>
    <w:rsid w:val="288A4B30"/>
    <w:rsid w:val="28E516DB"/>
    <w:rsid w:val="299267B6"/>
    <w:rsid w:val="2AD57C75"/>
    <w:rsid w:val="2BAA47A7"/>
    <w:rsid w:val="2DCE40BA"/>
    <w:rsid w:val="2E066AE5"/>
    <w:rsid w:val="2E2777CE"/>
    <w:rsid w:val="2EE04A84"/>
    <w:rsid w:val="31D059F4"/>
    <w:rsid w:val="332A0BBD"/>
    <w:rsid w:val="3387759D"/>
    <w:rsid w:val="344F533E"/>
    <w:rsid w:val="351C5D1D"/>
    <w:rsid w:val="36DF5EE5"/>
    <w:rsid w:val="38963AA1"/>
    <w:rsid w:val="39461E7C"/>
    <w:rsid w:val="39A75722"/>
    <w:rsid w:val="3B6E7B6E"/>
    <w:rsid w:val="3C712CD5"/>
    <w:rsid w:val="3CEC5D53"/>
    <w:rsid w:val="3F050D05"/>
    <w:rsid w:val="441C57E9"/>
    <w:rsid w:val="44240E6E"/>
    <w:rsid w:val="44986D47"/>
    <w:rsid w:val="44E06C3B"/>
    <w:rsid w:val="456A5D0D"/>
    <w:rsid w:val="457C0C14"/>
    <w:rsid w:val="45B90BF3"/>
    <w:rsid w:val="460143F1"/>
    <w:rsid w:val="475B18CD"/>
    <w:rsid w:val="49AA631E"/>
    <w:rsid w:val="4A4F1F05"/>
    <w:rsid w:val="4B7040C7"/>
    <w:rsid w:val="4CA957E7"/>
    <w:rsid w:val="4D9730D4"/>
    <w:rsid w:val="4E4335D2"/>
    <w:rsid w:val="566F5000"/>
    <w:rsid w:val="59AF56D7"/>
    <w:rsid w:val="5B2B3FCD"/>
    <w:rsid w:val="5BAE356C"/>
    <w:rsid w:val="5CB07A05"/>
    <w:rsid w:val="5ED17601"/>
    <w:rsid w:val="612F2391"/>
    <w:rsid w:val="615E33ED"/>
    <w:rsid w:val="61897173"/>
    <w:rsid w:val="63F21B1B"/>
    <w:rsid w:val="65493192"/>
    <w:rsid w:val="666C26EF"/>
    <w:rsid w:val="6AD17B5B"/>
    <w:rsid w:val="6B511389"/>
    <w:rsid w:val="6D5763C1"/>
    <w:rsid w:val="6D81148F"/>
    <w:rsid w:val="6E8006EE"/>
    <w:rsid w:val="6ECC4D84"/>
    <w:rsid w:val="70BA2DA1"/>
    <w:rsid w:val="71B87B2B"/>
    <w:rsid w:val="729B4F6A"/>
    <w:rsid w:val="733E01F4"/>
    <w:rsid w:val="7424079F"/>
    <w:rsid w:val="74D4598A"/>
    <w:rsid w:val="76FD3FC3"/>
    <w:rsid w:val="7AA5545A"/>
    <w:rsid w:val="7BAA5900"/>
    <w:rsid w:val="7D9A3104"/>
    <w:rsid w:val="7DB949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styleId="8">
    <w:name w:val="page number"/>
    <w:basedOn w:val="7"/>
    <w:qFormat/>
    <w:uiPriority w:val="0"/>
  </w:style>
  <w:style w:type="character" w:customStyle="1" w:styleId="9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1">
    <w:name w:val="列出段落1"/>
    <w:basedOn w:val="1"/>
    <w:unhideWhenUsed/>
    <w:qFormat/>
    <w:uiPriority w:val="99"/>
    <w:pPr>
      <w:ind w:firstLine="420" w:firstLineChars="200"/>
    </w:pPr>
  </w:style>
  <w:style w:type="paragraph" w:customStyle="1" w:styleId="12">
    <w:name w:val="列出段落2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9</Pages>
  <Words>2777</Words>
  <Characters>3001</Characters>
  <Lines>23</Lines>
  <Paragraphs>6</Paragraphs>
  <TotalTime>99</TotalTime>
  <ScaleCrop>false</ScaleCrop>
  <LinksUpToDate>false</LinksUpToDate>
  <CharactersWithSpaces>3030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WPS_1657181579</cp:lastModifiedBy>
  <cp:lastPrinted>2016-04-01T02:44:00Z</cp:lastPrinted>
  <dcterms:modified xsi:type="dcterms:W3CDTF">2025-10-24T07:53:15Z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eyJoZGlkIjoiYjc5ZTRiNjRjNGMzNTlmNzA3YzQ4ZmQ1OGJmYjU4NmIiLCJ1c2VySWQiOiIxMzg1NjM4MzgxIn0=</vt:lpwstr>
  </property>
  <property fmtid="{D5CDD505-2E9C-101B-9397-08002B2CF9AE}" pid="4" name="ICV">
    <vt:lpwstr>295A1B8A27214F71AF6362E98272C54E_12</vt:lpwstr>
  </property>
</Properties>
</file>