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cs="黑体" w:asciiTheme="majorEastAsia" w:hAnsiTheme="majorEastAsia" w:eastAsiaTheme="majorEastAsia"/>
          <w:b/>
          <w:sz w:val="44"/>
          <w:szCs w:val="44"/>
        </w:rPr>
      </w:pPr>
    </w:p>
    <w:p>
      <w:pPr>
        <w:jc w:val="center"/>
        <w:rPr>
          <w:rFonts w:cs="黑体" w:asciiTheme="majorEastAsia" w:hAnsiTheme="majorEastAsia" w:eastAsiaTheme="majorEastAsia"/>
          <w:b/>
          <w:sz w:val="44"/>
          <w:szCs w:val="44"/>
        </w:rPr>
      </w:pPr>
      <w:r>
        <w:rPr>
          <w:rFonts w:hint="eastAsia" w:cs="黑体" w:asciiTheme="majorEastAsia" w:hAnsiTheme="majorEastAsia" w:eastAsiaTheme="majorEastAsia"/>
          <w:b/>
          <w:sz w:val="44"/>
          <w:szCs w:val="44"/>
        </w:rPr>
        <w:t>成安县民族宗教事务局2018年部门预算公开</w:t>
      </w:r>
    </w:p>
    <w:p>
      <w:pPr>
        <w:jc w:val="center"/>
        <w:rPr>
          <w:rFonts w:cs="黑体" w:asciiTheme="majorEastAsia" w:hAnsiTheme="majorEastAsia" w:eastAsiaTheme="majorEastAsia"/>
          <w:b/>
          <w:sz w:val="44"/>
          <w:szCs w:val="44"/>
        </w:rPr>
      </w:pPr>
      <w:r>
        <w:rPr>
          <w:rFonts w:hint="eastAsia" w:cs="黑体" w:asciiTheme="majorEastAsia" w:hAnsiTheme="majorEastAsia" w:eastAsiaTheme="majorEastAsia"/>
          <w:b/>
          <w:sz w:val="44"/>
          <w:szCs w:val="44"/>
        </w:rPr>
        <w:t>情况说明</w:t>
      </w: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一、部门职责及机构设置情况</w:t>
      </w:r>
    </w:p>
    <w:p>
      <w:pPr>
        <w:widowControl/>
        <w:spacing w:line="360" w:lineRule="auto"/>
        <w:jc w:val="left"/>
        <w:rPr>
          <w:rFonts w:ascii="仿宋_GB2312" w:hAnsi="Calibri" w:eastAsia="仿宋_GB2312" w:cs="仿宋_GB2312"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部门职责：</w:t>
      </w:r>
    </w:p>
    <w:p>
      <w:pPr>
        <w:widowControl/>
        <w:spacing w:line="360" w:lineRule="auto"/>
        <w:ind w:firstLine="640" w:firstLineChars="200"/>
        <w:jc w:val="left"/>
        <w:rPr>
          <w:rFonts w:ascii="仿宋_GB2312" w:hAnsi="Calibri" w:eastAsia="仿宋_GB2312" w:cs="仿宋_GB2312"/>
          <w:kern w:val="0"/>
          <w:sz w:val="32"/>
          <w:szCs w:val="32"/>
        </w:rPr>
      </w:pPr>
      <w:r>
        <w:rPr>
          <w:rFonts w:hint="eastAsia" w:ascii="仿宋_GB2312" w:hAnsi="Calibri" w:eastAsia="仿宋_GB2312" w:cs="仿宋_GB2312"/>
          <w:kern w:val="0"/>
          <w:sz w:val="32"/>
          <w:szCs w:val="32"/>
        </w:rPr>
        <w:t>1、研究有关民族宗教问题的政策、法规，开展民族宗教政策法规的宣传教育工作，组织对民族、宗教治理的综合调查研究，掌握发展趋势和动向；</w:t>
      </w:r>
    </w:p>
    <w:p>
      <w:pPr>
        <w:widowControl/>
        <w:spacing w:line="360" w:lineRule="auto"/>
        <w:ind w:firstLine="640" w:firstLineChars="200"/>
        <w:jc w:val="left"/>
        <w:rPr>
          <w:rFonts w:ascii="仿宋_GB2312" w:hAnsi="Calibri" w:eastAsia="仿宋_GB2312" w:cs="仿宋_GB2312"/>
          <w:kern w:val="0"/>
          <w:sz w:val="32"/>
          <w:szCs w:val="32"/>
        </w:rPr>
      </w:pPr>
      <w:r>
        <w:rPr>
          <w:rFonts w:hint="eastAsia" w:ascii="仿宋_GB2312" w:hAnsi="Calibri" w:eastAsia="仿宋_GB2312" w:cs="仿宋_GB2312"/>
          <w:kern w:val="0"/>
          <w:sz w:val="32"/>
          <w:szCs w:val="32"/>
        </w:rPr>
        <w:t>2、给县委、县政府提供策略性意见和建议，管理全县民族识别和民族成份鉴定工作，组织接待少数民族参观、考察等事宜；</w:t>
      </w:r>
    </w:p>
    <w:p>
      <w:pPr>
        <w:widowControl/>
        <w:spacing w:line="360" w:lineRule="auto"/>
        <w:ind w:firstLine="640" w:firstLineChars="200"/>
        <w:jc w:val="left"/>
        <w:rPr>
          <w:rFonts w:ascii="仿宋_GB2312" w:hAnsi="Calibri" w:eastAsia="仿宋_GB2312" w:cs="仿宋_GB2312"/>
          <w:kern w:val="0"/>
          <w:sz w:val="32"/>
          <w:szCs w:val="32"/>
        </w:rPr>
      </w:pPr>
      <w:r>
        <w:rPr>
          <w:rFonts w:hint="eastAsia" w:ascii="仿宋_GB2312" w:hAnsi="Calibri" w:eastAsia="仿宋_GB2312" w:cs="仿宋_GB2312"/>
          <w:kern w:val="0"/>
          <w:sz w:val="32"/>
          <w:szCs w:val="32"/>
        </w:rPr>
        <w:t>3、依法保护公民宗教信仰自由，推动宗教人士进行爱国主义、社会主义、拥护祖统一和民族团结的自我教育；</w:t>
      </w:r>
    </w:p>
    <w:p>
      <w:pPr>
        <w:widowControl/>
        <w:spacing w:line="360" w:lineRule="auto"/>
        <w:ind w:firstLine="640" w:firstLineChars="200"/>
        <w:jc w:val="left"/>
        <w:rPr>
          <w:rFonts w:ascii="仿宋_GB2312" w:hAnsi="Calibri" w:eastAsia="仿宋_GB2312" w:cs="仿宋_GB2312"/>
          <w:kern w:val="0"/>
          <w:sz w:val="32"/>
          <w:szCs w:val="32"/>
        </w:rPr>
      </w:pPr>
      <w:r>
        <w:rPr>
          <w:rFonts w:hint="eastAsia" w:ascii="仿宋_GB2312" w:hAnsi="Calibri" w:eastAsia="仿宋_GB2312" w:cs="仿宋_GB2312"/>
          <w:kern w:val="0"/>
          <w:sz w:val="32"/>
          <w:szCs w:val="32"/>
        </w:rPr>
        <w:t>4、协调县政府及时处理民族宗教方面的突发事件和影响社会稳定问题；</w:t>
      </w:r>
    </w:p>
    <w:p>
      <w:pPr>
        <w:widowControl/>
        <w:spacing w:line="360" w:lineRule="auto"/>
        <w:ind w:firstLine="640" w:firstLineChars="200"/>
        <w:jc w:val="left"/>
        <w:rPr>
          <w:rFonts w:ascii="仿宋_GB2312" w:hAnsi="Calibri" w:eastAsia="仿宋_GB2312" w:cs="仿宋_GB2312"/>
          <w:kern w:val="0"/>
          <w:sz w:val="32"/>
          <w:szCs w:val="32"/>
        </w:rPr>
      </w:pPr>
      <w:r>
        <w:rPr>
          <w:rFonts w:hint="eastAsia" w:ascii="仿宋_GB2312" w:hAnsi="Calibri" w:eastAsia="仿宋_GB2312" w:cs="仿宋_GB2312"/>
          <w:kern w:val="0"/>
          <w:sz w:val="32"/>
          <w:szCs w:val="32"/>
        </w:rPr>
        <w:t>5、做好少数民族和信教群众对民族宗教事务的来信来访工作；</w:t>
      </w:r>
    </w:p>
    <w:p>
      <w:pPr>
        <w:widowControl/>
        <w:spacing w:line="360" w:lineRule="auto"/>
        <w:ind w:firstLine="627" w:firstLineChars="196"/>
        <w:jc w:val="left"/>
        <w:rPr>
          <w:rFonts w:ascii="仿宋_GB2312" w:hAnsi="Calibri" w:eastAsia="仿宋_GB2312" w:cs="仿宋_GB2312"/>
          <w:kern w:val="0"/>
          <w:sz w:val="32"/>
          <w:szCs w:val="32"/>
        </w:rPr>
      </w:pPr>
      <w:r>
        <w:rPr>
          <w:rFonts w:hint="eastAsia" w:ascii="仿宋_GB2312" w:hAnsi="Calibri" w:eastAsia="仿宋_GB2312" w:cs="仿宋_GB2312"/>
          <w:kern w:val="0"/>
          <w:sz w:val="32"/>
          <w:szCs w:val="32"/>
        </w:rPr>
        <w:t>6、负责组织协调二祖寺、匡教寺的筹建工作。</w:t>
      </w:r>
    </w:p>
    <w:p>
      <w:pPr>
        <w:widowControl/>
        <w:spacing w:line="360" w:lineRule="auto"/>
        <w:ind w:firstLine="630" w:firstLineChars="196"/>
        <w:jc w:val="left"/>
        <w:rPr>
          <w:rFonts w:ascii="楷体" w:hAnsi="楷体" w:eastAsia="楷体"/>
          <w:b/>
          <w:bCs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bCs/>
          <w:kern w:val="0"/>
          <w:sz w:val="32"/>
          <w:szCs w:val="32"/>
        </w:rPr>
        <w:t>人员编制和领导职数</w:t>
      </w:r>
    </w:p>
    <w:p>
      <w:pPr>
        <w:widowControl/>
        <w:spacing w:line="360" w:lineRule="auto"/>
        <w:ind w:firstLine="640" w:firstLineChars="200"/>
        <w:jc w:val="left"/>
        <w:rPr>
          <w:rFonts w:ascii="仿宋_GB2312" w:hAnsi="Calibri" w:eastAsia="仿宋_GB2312" w:cs="仿宋_GB2312"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人员编制13名，其中领导职数2个</w:t>
      </w:r>
    </w:p>
    <w:p>
      <w:pPr>
        <w:autoSpaceDE w:val="0"/>
        <w:autoSpaceDN w:val="0"/>
        <w:adjustRightInd w:val="0"/>
        <w:ind w:firstLine="643" w:firstLineChars="200"/>
        <w:jc w:val="left"/>
        <w:rPr>
          <w:rFonts w:ascii="方正仿宋_GBK" w:hAnsi="Times New Roman" w:eastAsia="方正仿宋_GBK" w:cs="Times New Roman"/>
          <w:b/>
          <w:bCs/>
          <w:sz w:val="32"/>
          <w:szCs w:val="32"/>
        </w:rPr>
      </w:pP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</w:rPr>
        <w:t>机构设置：</w:t>
      </w:r>
    </w:p>
    <w:p>
      <w:pPr>
        <w:jc w:val="center"/>
        <w:outlineLvl w:val="0"/>
        <w:rPr>
          <w:rFonts w:ascii="Times New Roman" w:hAnsi="Times New Roman" w:eastAsia="方正小标宋_GBK" w:cs="Times New Roman"/>
          <w:sz w:val="32"/>
          <w:szCs w:val="32"/>
        </w:rPr>
      </w:pPr>
      <w:r>
        <w:rPr>
          <w:rFonts w:hint="eastAsia" w:ascii="Times New Roman" w:hAnsi="Times New Roman" w:eastAsia="方正小标宋_GBK" w:cs="方正小标宋_GBK"/>
          <w:sz w:val="32"/>
          <w:szCs w:val="32"/>
        </w:rPr>
        <w:t>部门机构设置情况</w:t>
      </w:r>
    </w:p>
    <w:tbl>
      <w:tblPr>
        <w:tblStyle w:val="5"/>
        <w:tblW w:w="8629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7"/>
        <w:gridCol w:w="1134"/>
        <w:gridCol w:w="1276"/>
        <w:gridCol w:w="290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331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书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书宋_GBK" w:cs="方正书宋_GBK"/>
                <w:b/>
                <w:bCs/>
              </w:rPr>
              <w:t>单位名称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书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书宋_GBK" w:cs="方正书宋_GBK"/>
                <w:b/>
                <w:bCs/>
              </w:rPr>
              <w:t>单位性质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书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书宋_GBK" w:cs="方正书宋_GBK"/>
                <w:b/>
                <w:bCs/>
              </w:rPr>
              <w:t>单位规格</w:t>
            </w:r>
          </w:p>
        </w:tc>
        <w:tc>
          <w:tcPr>
            <w:tcW w:w="2902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书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书宋_GBK" w:cs="方正书宋_GBK"/>
                <w:b/>
                <w:bCs/>
              </w:rPr>
              <w:t>经费保障形式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3317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902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317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  <w:r>
              <w:rPr>
                <w:rFonts w:hint="eastAsia" w:ascii="Times New Roman" w:hAnsi="Times New Roman" w:eastAsia="方正书宋_GBK" w:cs="Times New Roman"/>
              </w:rPr>
              <w:t>成安县民族宗教事务局</w:t>
            </w: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  <w:r>
              <w:rPr>
                <w:rFonts w:hint="eastAsia" w:ascii="Times New Roman" w:hAnsi="Times New Roman" w:eastAsia="方正书宋_GBK" w:cs="Times New Roman"/>
              </w:rPr>
              <w:t>行政</w:t>
            </w: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</w:p>
        </w:tc>
        <w:tc>
          <w:tcPr>
            <w:tcW w:w="2902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  <w:r>
              <w:rPr>
                <w:rFonts w:hint="eastAsia" w:ascii="Times New Roman" w:hAnsi="Times New Roman" w:eastAsia="方正书宋_GBK" w:cs="Times New Roman"/>
              </w:rPr>
              <w:t>财政拨款</w:t>
            </w:r>
          </w:p>
        </w:tc>
      </w:tr>
    </w:tbl>
    <w:p>
      <w:pPr>
        <w:spacing w:line="560" w:lineRule="exact"/>
        <w:ind w:firstLine="64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二、部门预算安排的总体情况</w:t>
      </w:r>
    </w:p>
    <w:p>
      <w:pPr>
        <w:spacing w:line="560" w:lineRule="exact"/>
        <w:ind w:firstLine="640"/>
        <w:rPr>
          <w:rFonts w:ascii="仿宋" w:hAnsi="仿宋" w:eastAsia="仿宋" w:cs="方正仿宋_GBK"/>
          <w:sz w:val="32"/>
          <w:szCs w:val="32"/>
        </w:rPr>
      </w:pPr>
      <w:r>
        <w:rPr>
          <w:rFonts w:hint="eastAsia" w:ascii="仿宋" w:hAnsi="仿宋" w:eastAsia="仿宋" w:cs="方正仿宋_GBK"/>
          <w:sz w:val="32"/>
          <w:szCs w:val="32"/>
        </w:rPr>
        <w:t>按照预算管理有关规定，目前我部门预算的编制实行综合预算制度，即全部收入和支出都反映在预算中。</w:t>
      </w:r>
    </w:p>
    <w:p>
      <w:pPr>
        <w:spacing w:line="560" w:lineRule="exact"/>
        <w:ind w:firstLine="640"/>
        <w:rPr>
          <w:rFonts w:ascii="楷体" w:hAnsi="楷体" w:eastAsia="楷体" w:cs="Times New Roman"/>
          <w:b/>
          <w:bCs/>
          <w:sz w:val="32"/>
          <w:szCs w:val="32"/>
        </w:rPr>
      </w:pPr>
      <w:r>
        <w:rPr>
          <w:rFonts w:ascii="楷体" w:hAnsi="楷体" w:eastAsia="楷体" w:cs="楷体"/>
          <w:b/>
          <w:bCs/>
          <w:sz w:val="32"/>
          <w:szCs w:val="32"/>
        </w:rPr>
        <w:t>1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、收入说明</w:t>
      </w:r>
    </w:p>
    <w:p>
      <w:pPr>
        <w:spacing w:line="560" w:lineRule="exact"/>
        <w:ind w:firstLine="64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201</w:t>
      </w:r>
      <w:r>
        <w:rPr>
          <w:rFonts w:hint="eastAsia" w:ascii="仿宋" w:hAnsi="仿宋" w:eastAsia="仿宋" w:cs="Times New Roman"/>
          <w:sz w:val="32"/>
          <w:szCs w:val="32"/>
        </w:rPr>
        <w:t>8</w:t>
      </w:r>
      <w:r>
        <w:rPr>
          <w:rFonts w:hint="eastAsia" w:ascii="仿宋" w:hAnsi="仿宋" w:eastAsia="仿宋" w:cs="方正仿宋_GBK"/>
          <w:sz w:val="32"/>
          <w:szCs w:val="32"/>
        </w:rPr>
        <w:t>年预算收入</w:t>
      </w:r>
      <w:r>
        <w:rPr>
          <w:rFonts w:hint="eastAsia" w:ascii="仿宋" w:hAnsi="仿宋" w:eastAsia="仿宋" w:cs="仿宋_GB2312"/>
          <w:kern w:val="0"/>
          <w:sz w:val="32"/>
          <w:szCs w:val="32"/>
        </w:rPr>
        <w:t>107.56</w:t>
      </w:r>
      <w:r>
        <w:rPr>
          <w:rFonts w:hint="eastAsia" w:ascii="仿宋" w:hAnsi="仿宋" w:eastAsia="仿宋" w:cs="方正仿宋_GBK"/>
          <w:sz w:val="32"/>
          <w:szCs w:val="32"/>
        </w:rPr>
        <w:t>万元，其中：一般公共预算收入</w:t>
      </w:r>
      <w:r>
        <w:rPr>
          <w:rFonts w:hint="eastAsia" w:ascii="仿宋" w:hAnsi="仿宋" w:eastAsia="仿宋" w:cs="仿宋_GB2312"/>
          <w:kern w:val="0"/>
          <w:sz w:val="32"/>
          <w:szCs w:val="32"/>
        </w:rPr>
        <w:t>107.56</w:t>
      </w:r>
      <w:r>
        <w:rPr>
          <w:rFonts w:hint="eastAsia" w:ascii="仿宋" w:hAnsi="仿宋" w:eastAsia="仿宋" w:cs="方正仿宋_GBK"/>
          <w:sz w:val="32"/>
          <w:szCs w:val="32"/>
        </w:rPr>
        <w:t>万元，政府性基金收入0万元，国有资本经营收入0万元，事业收入0万元，其他收入0万元。</w:t>
      </w:r>
    </w:p>
    <w:p>
      <w:pPr>
        <w:spacing w:line="560" w:lineRule="exact"/>
        <w:ind w:firstLine="640"/>
        <w:rPr>
          <w:rFonts w:ascii="楷体" w:hAnsi="楷体" w:eastAsia="楷体" w:cs="Times New Roman"/>
          <w:b/>
          <w:bCs/>
          <w:sz w:val="32"/>
          <w:szCs w:val="32"/>
        </w:rPr>
      </w:pPr>
      <w:r>
        <w:rPr>
          <w:rFonts w:ascii="楷体" w:hAnsi="楷体" w:eastAsia="楷体" w:cs="楷体"/>
          <w:b/>
          <w:bCs/>
          <w:sz w:val="32"/>
          <w:szCs w:val="32"/>
        </w:rPr>
        <w:t>2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、支出说明</w:t>
      </w:r>
    </w:p>
    <w:p>
      <w:pPr>
        <w:spacing w:line="560" w:lineRule="exact"/>
        <w:ind w:firstLine="64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201</w:t>
      </w:r>
      <w:r>
        <w:rPr>
          <w:rFonts w:hint="eastAsia" w:ascii="仿宋" w:hAnsi="仿宋" w:eastAsia="仿宋" w:cs="Times New Roman"/>
          <w:sz w:val="32"/>
          <w:szCs w:val="32"/>
        </w:rPr>
        <w:t>8</w:t>
      </w:r>
      <w:r>
        <w:rPr>
          <w:rFonts w:hint="eastAsia" w:ascii="仿宋" w:hAnsi="仿宋" w:eastAsia="仿宋" w:cs="方正仿宋_GBK"/>
          <w:sz w:val="32"/>
          <w:szCs w:val="32"/>
        </w:rPr>
        <w:t>年支出预算</w:t>
      </w:r>
      <w:r>
        <w:rPr>
          <w:rFonts w:hint="eastAsia" w:ascii="仿宋" w:hAnsi="仿宋" w:eastAsia="仿宋" w:cs="仿宋_GB2312"/>
          <w:kern w:val="0"/>
          <w:sz w:val="32"/>
          <w:szCs w:val="32"/>
        </w:rPr>
        <w:t>107.56</w:t>
      </w:r>
      <w:r>
        <w:rPr>
          <w:rFonts w:hint="eastAsia" w:ascii="仿宋" w:hAnsi="仿宋" w:eastAsia="仿宋" w:cs="方正仿宋_GBK"/>
          <w:sz w:val="32"/>
          <w:szCs w:val="32"/>
        </w:rPr>
        <w:t>万元，其中基本支出</w:t>
      </w:r>
      <w:r>
        <w:rPr>
          <w:rFonts w:hint="eastAsia" w:ascii="仿宋" w:hAnsi="仿宋" w:eastAsia="仿宋" w:cs="仿宋_GB2312"/>
          <w:kern w:val="0"/>
          <w:sz w:val="32"/>
          <w:szCs w:val="32"/>
        </w:rPr>
        <w:t>107.56</w:t>
      </w:r>
      <w:r>
        <w:rPr>
          <w:rFonts w:hint="eastAsia" w:ascii="仿宋" w:hAnsi="仿宋" w:eastAsia="仿宋" w:cs="方正仿宋_GBK"/>
          <w:sz w:val="32"/>
          <w:szCs w:val="32"/>
        </w:rPr>
        <w:t>万元，包括人员经费和日常公用经费。</w:t>
      </w:r>
    </w:p>
    <w:p>
      <w:pPr>
        <w:spacing w:line="560" w:lineRule="exact"/>
        <w:ind w:firstLine="640"/>
        <w:rPr>
          <w:rFonts w:ascii="楷体" w:hAnsi="楷体" w:eastAsia="楷体" w:cs="Times New Roman"/>
          <w:b/>
          <w:bCs/>
          <w:sz w:val="32"/>
          <w:szCs w:val="32"/>
        </w:rPr>
      </w:pPr>
      <w:r>
        <w:rPr>
          <w:rFonts w:ascii="楷体" w:hAnsi="楷体" w:eastAsia="楷体" w:cs="楷体"/>
          <w:b/>
          <w:bCs/>
          <w:sz w:val="32"/>
          <w:szCs w:val="32"/>
        </w:rPr>
        <w:t>3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、比上年增减变化情况</w:t>
      </w:r>
    </w:p>
    <w:p>
      <w:pPr>
        <w:spacing w:line="560" w:lineRule="exact"/>
        <w:ind w:firstLine="64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201</w:t>
      </w:r>
      <w:r>
        <w:rPr>
          <w:rFonts w:hint="eastAsia" w:ascii="仿宋" w:hAnsi="仿宋" w:eastAsia="仿宋" w:cs="Times New Roman"/>
          <w:sz w:val="32"/>
          <w:szCs w:val="32"/>
        </w:rPr>
        <w:t>8</w:t>
      </w:r>
      <w:r>
        <w:rPr>
          <w:rFonts w:hint="eastAsia" w:ascii="仿宋" w:hAnsi="仿宋" w:eastAsia="仿宋" w:cs="方正仿宋_GBK"/>
          <w:sz w:val="32"/>
          <w:szCs w:val="32"/>
        </w:rPr>
        <w:t>年预算收支安排107.56万元，</w:t>
      </w:r>
      <w:r>
        <w:rPr>
          <w:rFonts w:ascii="仿宋" w:hAnsi="仿宋" w:eastAsia="仿宋" w:cs="仿宋_GB2312"/>
          <w:kern w:val="0"/>
          <w:sz w:val="32"/>
          <w:szCs w:val="32"/>
        </w:rPr>
        <w:t>201</w:t>
      </w:r>
      <w:r>
        <w:rPr>
          <w:rFonts w:hint="eastAsia" w:ascii="仿宋" w:hAnsi="仿宋" w:eastAsia="仿宋" w:cs="仿宋_GB2312"/>
          <w:kern w:val="0"/>
          <w:sz w:val="32"/>
          <w:szCs w:val="32"/>
        </w:rPr>
        <w:t>7</w:t>
      </w:r>
      <w:r>
        <w:rPr>
          <w:rFonts w:ascii="仿宋" w:hAnsi="仿宋" w:eastAsia="仿宋" w:cs="仿宋_GB2312"/>
          <w:kern w:val="0"/>
          <w:sz w:val="32"/>
          <w:szCs w:val="32"/>
        </w:rPr>
        <w:t>年财政拨款收入</w:t>
      </w:r>
      <w:r>
        <w:rPr>
          <w:rFonts w:hint="eastAsia" w:ascii="仿宋" w:hAnsi="仿宋" w:eastAsia="仿宋" w:cs="仿宋_GB2312"/>
          <w:kern w:val="0"/>
          <w:sz w:val="32"/>
          <w:szCs w:val="32"/>
        </w:rPr>
        <w:t>114.56</w:t>
      </w:r>
      <w:r>
        <w:rPr>
          <w:rFonts w:ascii="仿宋" w:hAnsi="仿宋" w:eastAsia="仿宋" w:cs="仿宋_GB2312"/>
          <w:kern w:val="0"/>
          <w:sz w:val="32"/>
          <w:szCs w:val="32"/>
        </w:rPr>
        <w:t>万元，总支出</w:t>
      </w:r>
      <w:r>
        <w:rPr>
          <w:rFonts w:hint="eastAsia" w:ascii="仿宋" w:hAnsi="仿宋" w:eastAsia="仿宋" w:cs="仿宋_GB2312"/>
          <w:kern w:val="0"/>
          <w:sz w:val="32"/>
          <w:szCs w:val="32"/>
        </w:rPr>
        <w:t>114.56</w:t>
      </w:r>
      <w:r>
        <w:rPr>
          <w:rFonts w:ascii="仿宋" w:hAnsi="仿宋" w:eastAsia="仿宋" w:cs="仿宋_GB2312"/>
          <w:kern w:val="0"/>
          <w:sz w:val="32"/>
          <w:szCs w:val="32"/>
        </w:rPr>
        <w:t>万元。</w:t>
      </w:r>
      <w:r>
        <w:rPr>
          <w:rFonts w:hint="eastAsia" w:ascii="仿宋" w:hAnsi="仿宋" w:eastAsia="仿宋" w:cs="仿宋_GB2312"/>
          <w:kern w:val="0"/>
          <w:sz w:val="32"/>
          <w:szCs w:val="32"/>
        </w:rPr>
        <w:t>与去年相比降低了7万元，积极贯彻落实新《《中华人民共和国预算法》》，按照讲求绩效的原则，对于当年未使用的预算，在调整预算中予以调减。</w:t>
      </w:r>
    </w:p>
    <w:p>
      <w:pPr>
        <w:autoSpaceDE w:val="0"/>
        <w:autoSpaceDN w:val="0"/>
        <w:adjustRightInd w:val="0"/>
        <w:spacing w:line="560" w:lineRule="exact"/>
        <w:ind w:left="198" w:firstLine="640" w:firstLineChars="20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三、机关运行经费安排情况</w:t>
      </w:r>
    </w:p>
    <w:p>
      <w:pPr>
        <w:autoSpaceDE w:val="0"/>
        <w:autoSpaceDN w:val="0"/>
        <w:adjustRightInd w:val="0"/>
        <w:spacing w:line="560" w:lineRule="exact"/>
        <w:ind w:left="198" w:firstLine="640" w:firstLineChars="200"/>
        <w:jc w:val="left"/>
        <w:rPr>
          <w:rFonts w:ascii="仿宋" w:hAnsi="仿宋" w:eastAsia="仿宋" w:cs="Calibri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kern w:val="0"/>
          <w:sz w:val="32"/>
          <w:szCs w:val="32"/>
        </w:rPr>
        <w:t>日常公用经费安排3万元，包括：办公费、差旅费、交通费、会议费、招待费、其他支出等。</w:t>
      </w:r>
      <w:r>
        <w:rPr>
          <w:rFonts w:ascii="仿宋" w:hAnsi="仿宋" w:eastAsia="仿宋" w:cs="Calibri"/>
          <w:kern w:val="0"/>
          <w:sz w:val="32"/>
          <w:szCs w:val="32"/>
        </w:rPr>
        <w:t>人员经费支出</w:t>
      </w:r>
      <w:r>
        <w:rPr>
          <w:rFonts w:hint="eastAsia" w:ascii="仿宋" w:hAnsi="仿宋" w:eastAsia="仿宋" w:cs="Calibri"/>
          <w:kern w:val="0"/>
          <w:sz w:val="32"/>
          <w:szCs w:val="32"/>
        </w:rPr>
        <w:t>104.56</w:t>
      </w:r>
      <w:r>
        <w:rPr>
          <w:rFonts w:ascii="仿宋" w:hAnsi="仿宋" w:eastAsia="仿宋" w:cs="Calibri"/>
          <w:kern w:val="0"/>
          <w:sz w:val="32"/>
          <w:szCs w:val="32"/>
        </w:rPr>
        <w:t>万元，同比去年</w:t>
      </w:r>
      <w:r>
        <w:rPr>
          <w:rFonts w:hint="eastAsia" w:ascii="仿宋" w:hAnsi="仿宋" w:eastAsia="仿宋" w:cs="Calibri"/>
          <w:kern w:val="0"/>
          <w:sz w:val="32"/>
          <w:szCs w:val="32"/>
        </w:rPr>
        <w:t>减少10</w:t>
      </w:r>
      <w:r>
        <w:rPr>
          <w:rFonts w:ascii="仿宋" w:hAnsi="仿宋" w:eastAsia="仿宋" w:cs="Calibri"/>
          <w:kern w:val="0"/>
          <w:sz w:val="32"/>
          <w:szCs w:val="32"/>
        </w:rPr>
        <w:t>%。</w:t>
      </w:r>
      <w:r>
        <w:rPr>
          <w:rFonts w:hint="eastAsia" w:ascii="仿宋" w:hAnsi="仿宋" w:eastAsia="仿宋" w:cs="Calibri"/>
          <w:kern w:val="0"/>
          <w:sz w:val="32"/>
          <w:szCs w:val="32"/>
        </w:rPr>
        <w:t>减少</w:t>
      </w:r>
      <w:r>
        <w:rPr>
          <w:rFonts w:ascii="仿宋" w:hAnsi="仿宋" w:eastAsia="仿宋" w:cs="Calibri"/>
          <w:kern w:val="0"/>
          <w:sz w:val="32"/>
          <w:szCs w:val="32"/>
        </w:rPr>
        <w:t>原因是</w:t>
      </w:r>
      <w:r>
        <w:rPr>
          <w:rFonts w:hint="eastAsia" w:ascii="仿宋" w:hAnsi="仿宋" w:eastAsia="仿宋" w:cs="Calibri"/>
          <w:kern w:val="0"/>
          <w:sz w:val="32"/>
          <w:szCs w:val="32"/>
        </w:rPr>
        <w:t>退休</w:t>
      </w:r>
      <w:r>
        <w:rPr>
          <w:rFonts w:ascii="仿宋" w:hAnsi="仿宋" w:eastAsia="仿宋" w:cs="Calibri"/>
          <w:kern w:val="0"/>
          <w:sz w:val="32"/>
          <w:szCs w:val="32"/>
        </w:rPr>
        <w:t>人员增加</w:t>
      </w:r>
      <w:r>
        <w:rPr>
          <w:rFonts w:hint="eastAsia" w:ascii="仿宋" w:hAnsi="仿宋" w:eastAsia="仿宋" w:cs="Calibri"/>
          <w:kern w:val="0"/>
          <w:sz w:val="32"/>
          <w:szCs w:val="32"/>
        </w:rPr>
        <w:t>，</w:t>
      </w:r>
      <w:r>
        <w:rPr>
          <w:rFonts w:ascii="仿宋" w:hAnsi="仿宋" w:eastAsia="仿宋" w:cs="Calibri"/>
          <w:kern w:val="0"/>
          <w:sz w:val="32"/>
          <w:szCs w:val="32"/>
        </w:rPr>
        <w:t>工资总数减少。其中，工资福利支出</w:t>
      </w:r>
      <w:r>
        <w:rPr>
          <w:rFonts w:hint="eastAsia" w:ascii="仿宋" w:hAnsi="仿宋" w:eastAsia="仿宋" w:cs="Calibri"/>
          <w:kern w:val="0"/>
          <w:sz w:val="32"/>
          <w:szCs w:val="32"/>
        </w:rPr>
        <w:t>96.96</w:t>
      </w:r>
      <w:r>
        <w:rPr>
          <w:rFonts w:ascii="仿宋" w:hAnsi="仿宋" w:eastAsia="仿宋" w:cs="Calibri"/>
          <w:kern w:val="0"/>
          <w:sz w:val="32"/>
          <w:szCs w:val="32"/>
        </w:rPr>
        <w:t>万元，对个人和家庭的补助支出</w:t>
      </w:r>
      <w:r>
        <w:rPr>
          <w:rFonts w:hint="eastAsia" w:ascii="仿宋" w:hAnsi="仿宋" w:eastAsia="仿宋" w:cs="Calibri"/>
          <w:kern w:val="0"/>
          <w:sz w:val="32"/>
          <w:szCs w:val="32"/>
        </w:rPr>
        <w:t>7.6</w:t>
      </w:r>
      <w:r>
        <w:rPr>
          <w:rFonts w:ascii="仿宋" w:hAnsi="仿宋" w:eastAsia="仿宋" w:cs="Calibri"/>
          <w:kern w:val="0"/>
          <w:sz w:val="32"/>
          <w:szCs w:val="32"/>
        </w:rPr>
        <w:t>万元。</w:t>
      </w:r>
    </w:p>
    <w:p>
      <w:pPr>
        <w:autoSpaceDE w:val="0"/>
        <w:autoSpaceDN w:val="0"/>
        <w:adjustRightInd w:val="0"/>
        <w:spacing w:line="560" w:lineRule="exact"/>
        <w:ind w:left="198" w:firstLine="640" w:firstLineChars="20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四、财政拨款“三公”经费预算情况及增减变化原因</w:t>
      </w:r>
    </w:p>
    <w:p>
      <w:pPr>
        <w:autoSpaceDE w:val="0"/>
        <w:autoSpaceDN w:val="0"/>
        <w:adjustRightInd w:val="0"/>
        <w:spacing w:line="560" w:lineRule="exact"/>
        <w:ind w:left="198"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仿宋_GB2312"/>
          <w:kern w:val="0"/>
          <w:sz w:val="32"/>
          <w:szCs w:val="32"/>
        </w:rPr>
        <w:t>2018年度“三公”预算支出0.5万元，其中，因公出国（境）费0元，安排公务用车维护费16万元，（其中公务用车购置费0万元，公务用车运行维护费0.5万元），公务接等费0万元，2018年“三公”经费减少了10%，由于公车维护费用下降的原因。</w:t>
      </w:r>
    </w:p>
    <w:p>
      <w:pPr>
        <w:spacing w:line="560" w:lineRule="exact"/>
        <w:ind w:firstLine="64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五、绩效预算信息</w:t>
      </w:r>
    </w:p>
    <w:p>
      <w:pPr>
        <w:spacing w:line="560" w:lineRule="exact"/>
        <w:jc w:val="center"/>
        <w:outlineLvl w:val="0"/>
        <w:rPr>
          <w:rFonts w:ascii="宋体" w:hAnsi="宋体" w:eastAsia="宋体" w:cs="Times New Roman"/>
          <w:sz w:val="32"/>
          <w:szCs w:val="32"/>
        </w:rPr>
      </w:pPr>
      <w:bookmarkStart w:id="0" w:name="_Toc471398463"/>
      <w:r>
        <w:rPr>
          <w:rFonts w:hint="eastAsia" w:ascii="宋体" w:hAnsi="宋体" w:eastAsia="宋体" w:cs="方正小标宋_GBK"/>
          <w:sz w:val="32"/>
          <w:szCs w:val="32"/>
        </w:rPr>
        <w:t>部门职责</w:t>
      </w:r>
      <w:r>
        <w:rPr>
          <w:rFonts w:ascii="宋体" w:hAnsi="宋体" w:eastAsia="宋体" w:cs="方正小标宋_GBK"/>
          <w:sz w:val="32"/>
          <w:szCs w:val="32"/>
        </w:rPr>
        <w:t>-</w:t>
      </w:r>
      <w:r>
        <w:rPr>
          <w:rFonts w:hint="eastAsia" w:ascii="宋体" w:hAnsi="宋体" w:eastAsia="宋体" w:cs="方正小标宋_GBK"/>
          <w:sz w:val="32"/>
          <w:szCs w:val="32"/>
        </w:rPr>
        <w:t>工作活动绩效目标</w:t>
      </w:r>
    </w:p>
    <w:p>
      <w:pPr>
        <w:spacing w:line="560" w:lineRule="exact"/>
        <w:jc w:val="center"/>
        <w:outlineLvl w:val="0"/>
        <w:rPr>
          <w:rFonts w:ascii="宋体" w:hAnsi="宋体" w:eastAsia="宋体" w:cs="方正小标宋_GBK"/>
          <w:sz w:val="32"/>
          <w:szCs w:val="32"/>
        </w:rPr>
      </w:pPr>
    </w:p>
    <w:tbl>
      <w:tblPr>
        <w:tblStyle w:val="5"/>
        <w:tblW w:w="13934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1"/>
        <w:gridCol w:w="1276"/>
        <w:gridCol w:w="2976"/>
        <w:gridCol w:w="2976"/>
        <w:gridCol w:w="1417"/>
        <w:gridCol w:w="737"/>
        <w:gridCol w:w="737"/>
        <w:gridCol w:w="737"/>
        <w:gridCol w:w="73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tblHeader/>
          <w:jc w:val="center"/>
        </w:trPr>
        <w:tc>
          <w:tcPr>
            <w:tcW w:w="10986" w:type="dxa"/>
            <w:gridSpan w:val="5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shd w:val="clear" w:color="auto" w:fill="auto"/>
            <w:vAlign w:val="center"/>
          </w:tcPr>
          <w:p>
            <w:pPr>
              <w:spacing w:line="300" w:lineRule="exact"/>
              <w:ind w:firstLine="480" w:firstLineChars="200"/>
              <w:jc w:val="left"/>
              <w:rPr>
                <w:rFonts w:ascii="方正小标宋_GBK" w:eastAsia="方正小标宋_GBK"/>
                <w:sz w:val="24"/>
              </w:rPr>
            </w:pPr>
            <w:r>
              <w:rPr>
                <w:rFonts w:ascii="方正小标宋_GBK" w:eastAsia="方正小标宋_GBK"/>
                <w:sz w:val="24"/>
              </w:rPr>
              <w:t>492</w:t>
            </w:r>
            <w:r>
              <w:rPr>
                <w:rFonts w:hint="eastAsia" w:ascii="方正小标宋_GBK" w:eastAsia="方正小标宋_GBK"/>
                <w:sz w:val="24"/>
              </w:rPr>
              <w:t>成安县民族宗教局</w:t>
            </w:r>
          </w:p>
        </w:tc>
        <w:tc>
          <w:tcPr>
            <w:tcW w:w="2948" w:type="dxa"/>
            <w:gridSpan w:val="4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shd w:val="clear" w:color="auto" w:fill="auto"/>
            <w:vAlign w:val="center"/>
          </w:tcPr>
          <w:p>
            <w:pPr>
              <w:spacing w:line="300" w:lineRule="exact"/>
              <w:ind w:firstLine="480" w:firstLineChars="200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tblHeader/>
          <w:jc w:val="center"/>
        </w:trPr>
        <w:tc>
          <w:tcPr>
            <w:tcW w:w="2341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职责活动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年度预算数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内容描述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绩效目标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绩效指标</w:t>
            </w:r>
          </w:p>
        </w:tc>
        <w:tc>
          <w:tcPr>
            <w:tcW w:w="2948" w:type="dxa"/>
            <w:gridSpan w:val="4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评价标准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tblHeader/>
          <w:jc w:val="center"/>
        </w:trPr>
        <w:tc>
          <w:tcPr>
            <w:tcW w:w="2341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outlineLvl w:val="0"/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outlineLvl w:val="0"/>
            </w:pPr>
          </w:p>
        </w:tc>
        <w:tc>
          <w:tcPr>
            <w:tcW w:w="2976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outlineLvl w:val="0"/>
            </w:pPr>
          </w:p>
        </w:tc>
        <w:tc>
          <w:tcPr>
            <w:tcW w:w="2976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outlineLvl w:val="0"/>
            </w:pPr>
          </w:p>
        </w:tc>
        <w:tc>
          <w:tcPr>
            <w:tcW w:w="1417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outlineLvl w:val="0"/>
            </w:pP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优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良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中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1" w:type="dxa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宗教事务管理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贯彻执行国家关于少数民族工作的方针政策；协调处理涉及民族关系的有关事宜，监督办理少数民族权益保障事宜；帮扶民族地方经济发展；研究少数民族文教体艺等方面的特殊问题，开展相关保护开发活动。</w:t>
            </w: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加强民族事务管理工作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1" w:type="dxa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宗教基本事务管理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贯彻执行国家关于宗教工作的方针政策；监督检查宗教活动场所；对困难宗教教职人员进行补助；协调指导各教的基本事务管理工作；帮助管理县属宗教院校。</w:t>
            </w: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完成宗教基本事务，加大全县宗教活动场所检查力度，及时解决各类宗教问题。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重点宗教活动场所检查覆盖率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80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70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60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1" w:type="dxa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天主教综合治理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对地下主教、神甫及其骨干分子进行监控、反渗透，研究天主教神职人员生活补助政策，巩固爱国人员的领导地位。</w:t>
            </w: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加大补助力度，增强反渗透能力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天主教神职人员补助覆盖率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100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95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80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1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培训教育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教育、培训各大宗教教职人员和信教群众，培养各大宗教爱国爱教人士，促进社会和谐稳定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增强培训效果，确保结识人员数量和质量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培训班次数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100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89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1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976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976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人员培训量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100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89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1" w:type="dxa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协同管理涉外事宜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协同管理宗教界人员对外交流、伊斯兰教朝觐等涉外事宜</w:t>
            </w: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加强宗教界人员各种涉外事务管理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宗教涉外事务办结率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100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95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89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1" w:type="dxa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民族事务管理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贯彻执行国家关于少数民族工作的方针政策；协调处理涉及民族关系的有关事宜，监督办理少数民族权益保障事宜；帮扶民族地方经济发展；研究少数民族文教体艺等方面的特殊问题，开展相关保护开发活动。</w:t>
            </w: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加强民族事务管理工作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1" w:type="dxa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综合事务管理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负责局机关人事、劳资、行政后勤、财务和资产管理工作。</w:t>
            </w: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保证机关正常运转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综合事务保障率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100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95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89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1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综合业务管理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加强民族宗教的法制宣传和团结教育，团结和动员广大信教群众为改革开放和经济建设服务。协助处理民族宗教方面的维稳问题。进行清真食品检查、认证；处理其他不可预见的民族宗教问题。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不断提高民族宗教法律政策宣传覆盖率</w:t>
            </w:r>
            <w:r>
              <w:rPr>
                <w:rFonts w:ascii="方正书宋_GBK" w:eastAsia="方正书宋_GBK"/>
              </w:rPr>
              <w:t>,</w:t>
            </w:r>
            <w:r>
              <w:rPr>
                <w:rFonts w:hint="eastAsia" w:ascii="方正书宋_GBK" w:eastAsia="方正书宋_GBK"/>
              </w:rPr>
              <w:t>加大宣传教育力度</w:t>
            </w:r>
            <w:r>
              <w:rPr>
                <w:rFonts w:ascii="方正书宋_GBK" w:eastAsia="方正书宋_GBK"/>
              </w:rPr>
              <w:t>;</w:t>
            </w:r>
            <w:r>
              <w:rPr>
                <w:rFonts w:hint="eastAsia" w:ascii="方正书宋_GBK" w:eastAsia="方正书宋_GBK"/>
              </w:rPr>
              <w:t>妥善协助解决突发事件</w:t>
            </w:r>
            <w:r>
              <w:rPr>
                <w:rFonts w:ascii="方正书宋_GBK" w:eastAsia="方正书宋_GBK"/>
              </w:rPr>
              <w:t>;</w:t>
            </w:r>
            <w:r>
              <w:rPr>
                <w:rFonts w:hint="eastAsia" w:ascii="方正书宋_GBK" w:eastAsia="方正书宋_GBK"/>
              </w:rPr>
              <w:t>提高清真食品检查认证的免费服务效率</w:t>
            </w:r>
            <w:r>
              <w:rPr>
                <w:rFonts w:ascii="方正书宋_GBK" w:eastAsia="方正书宋_GBK"/>
              </w:rPr>
              <w:t>,</w:t>
            </w:r>
            <w:r>
              <w:rPr>
                <w:rFonts w:hint="eastAsia" w:ascii="方正书宋_GBK" w:eastAsia="方正书宋_GBK"/>
              </w:rPr>
              <w:t>及时解决其他民族宗教问题。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维稳突出问题解决率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100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98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95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341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ind w:firstLine="422" w:firstLineChars="200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976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976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清真食品认证服务满意度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100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98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95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00" w:lineRule="exact"/>
              <w:ind w:firstLine="420" w:firstLineChars="200"/>
              <w:jc w:val="center"/>
              <w:rPr>
                <w:rFonts w:ascii="方正书宋_GBK" w:eastAsia="方正书宋_GBK"/>
              </w:rPr>
            </w:pPr>
            <w:r>
              <w:rPr>
                <w:rFonts w:ascii="方正书宋_GBK" w:eastAsia="方正书宋_GBK"/>
              </w:rPr>
              <w:t>90</w:t>
            </w:r>
          </w:p>
        </w:tc>
      </w:tr>
      <w:bookmarkEnd w:id="0"/>
    </w:tbl>
    <w:p>
      <w:pPr>
        <w:autoSpaceDE w:val="0"/>
        <w:autoSpaceDN w:val="0"/>
        <w:adjustRightInd w:val="0"/>
        <w:spacing w:line="560" w:lineRule="exact"/>
        <w:ind w:left="-420" w:leftChars="-200" w:firstLine="800" w:firstLineChars="25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六、政府采购预算情况</w:t>
      </w:r>
    </w:p>
    <w:p>
      <w:pPr>
        <w:widowControl/>
        <w:spacing w:line="360" w:lineRule="auto"/>
        <w:ind w:left="-420" w:leftChars="-200" w:firstLine="640" w:firstLineChars="200"/>
        <w:jc w:val="left"/>
        <w:rPr>
          <w:rFonts w:ascii="仿宋_GB2312" w:hAnsi="微软雅黑" w:eastAsia="仿宋_GB2312" w:cs="仿宋_GB2312"/>
          <w:kern w:val="0"/>
          <w:sz w:val="32"/>
          <w:szCs w:val="32"/>
        </w:rPr>
      </w:pPr>
      <w:bookmarkStart w:id="1" w:name="_Toc471398468"/>
      <w:r>
        <w:rPr>
          <w:rFonts w:hint="eastAsia" w:ascii="仿宋_GB2312" w:hAnsi="微软雅黑" w:eastAsia="仿宋_GB2312" w:cs="仿宋_GB2312"/>
          <w:kern w:val="0"/>
          <w:sz w:val="32"/>
          <w:szCs w:val="32"/>
        </w:rPr>
        <w:t>2018年，我单位安排政府采购预算0.9万元。具体内容见下表。</w:t>
      </w:r>
    </w:p>
    <w:p>
      <w:pPr>
        <w:widowControl/>
        <w:spacing w:line="360" w:lineRule="auto"/>
        <w:ind w:left="-420" w:leftChars="-200" w:firstLine="643" w:firstLineChars="200"/>
        <w:jc w:val="center"/>
        <w:rPr>
          <w:rFonts w:ascii="Calibri" w:hAnsi="Calibri" w:eastAsia="仿宋_GB2312" w:cs="Calibri"/>
          <w:b/>
          <w:kern w:val="0"/>
          <w:sz w:val="32"/>
          <w:szCs w:val="32"/>
        </w:rPr>
      </w:pPr>
    </w:p>
    <w:p>
      <w:pPr>
        <w:widowControl/>
        <w:spacing w:line="360" w:lineRule="auto"/>
        <w:ind w:left="-420" w:leftChars="-200" w:firstLine="643" w:firstLineChars="200"/>
        <w:jc w:val="center"/>
        <w:rPr>
          <w:rFonts w:ascii="Calibri" w:hAnsi="Calibri" w:eastAsia="仿宋_GB2312" w:cs="Calibri"/>
          <w:b/>
          <w:kern w:val="0"/>
          <w:sz w:val="32"/>
          <w:szCs w:val="32"/>
        </w:rPr>
      </w:pPr>
    </w:p>
    <w:p>
      <w:pPr>
        <w:widowControl/>
        <w:spacing w:line="360" w:lineRule="auto"/>
        <w:ind w:left="-420" w:leftChars="-200" w:firstLine="643" w:firstLineChars="200"/>
        <w:jc w:val="center"/>
        <w:rPr>
          <w:rFonts w:ascii="Calibri" w:hAnsi="Calibri" w:eastAsia="仿宋_GB2312" w:cs="Calibri"/>
          <w:b/>
          <w:kern w:val="0"/>
          <w:sz w:val="32"/>
          <w:szCs w:val="32"/>
        </w:rPr>
      </w:pPr>
    </w:p>
    <w:p>
      <w:pPr>
        <w:widowControl/>
        <w:spacing w:line="360" w:lineRule="auto"/>
        <w:ind w:left="-420" w:leftChars="-200" w:firstLine="643" w:firstLineChars="200"/>
        <w:jc w:val="center"/>
        <w:rPr>
          <w:rFonts w:ascii="Calibri" w:hAnsi="Calibri" w:eastAsia="仿宋_GB2312" w:cs="Calibri"/>
          <w:b/>
          <w:kern w:val="0"/>
          <w:sz w:val="32"/>
          <w:szCs w:val="32"/>
        </w:rPr>
      </w:pPr>
    </w:p>
    <w:p>
      <w:pPr>
        <w:widowControl/>
        <w:spacing w:line="360" w:lineRule="auto"/>
        <w:ind w:left="-420" w:leftChars="-200" w:firstLine="643" w:firstLineChars="200"/>
        <w:jc w:val="center"/>
        <w:rPr>
          <w:rFonts w:ascii="Calibri" w:hAnsi="Calibri" w:eastAsia="仿宋_GB2312" w:cs="Calibri"/>
          <w:b/>
          <w:kern w:val="0"/>
          <w:sz w:val="32"/>
          <w:szCs w:val="32"/>
        </w:rPr>
      </w:pPr>
    </w:p>
    <w:p>
      <w:pPr>
        <w:widowControl/>
        <w:spacing w:line="360" w:lineRule="auto"/>
        <w:ind w:left="-420" w:leftChars="-200" w:firstLine="643" w:firstLineChars="200"/>
        <w:jc w:val="center"/>
        <w:rPr>
          <w:rFonts w:ascii="Calibri" w:hAnsi="Calibri" w:eastAsia="仿宋_GB2312" w:cs="Calibri"/>
          <w:b/>
          <w:kern w:val="0"/>
          <w:sz w:val="32"/>
          <w:szCs w:val="32"/>
        </w:rPr>
      </w:pPr>
    </w:p>
    <w:p>
      <w:pPr>
        <w:widowControl/>
        <w:spacing w:line="360" w:lineRule="auto"/>
        <w:ind w:left="-420" w:leftChars="-200" w:firstLine="643" w:firstLineChars="200"/>
        <w:jc w:val="center"/>
        <w:rPr>
          <w:rFonts w:ascii="Calibri" w:hAnsi="Calibri" w:eastAsia="仿宋_GB2312" w:cs="Calibri"/>
          <w:b/>
          <w:kern w:val="0"/>
          <w:sz w:val="32"/>
          <w:szCs w:val="32"/>
        </w:rPr>
      </w:pPr>
      <w:r>
        <w:rPr>
          <w:rFonts w:hint="eastAsia" w:ascii="Calibri" w:hAnsi="Calibri" w:eastAsia="仿宋_GB2312" w:cs="Calibri"/>
          <w:b/>
          <w:kern w:val="0"/>
          <w:sz w:val="32"/>
          <w:szCs w:val="32"/>
        </w:rPr>
        <w:t>部门政府采购预算</w:t>
      </w:r>
    </w:p>
    <w:tbl>
      <w:tblPr>
        <w:tblStyle w:val="5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0"/>
        <w:gridCol w:w="955"/>
        <w:gridCol w:w="786"/>
        <w:gridCol w:w="1250"/>
        <w:gridCol w:w="786"/>
        <w:gridCol w:w="786"/>
        <w:gridCol w:w="807"/>
        <w:gridCol w:w="804"/>
        <w:gridCol w:w="804"/>
        <w:gridCol w:w="804"/>
        <w:gridCol w:w="732"/>
        <w:gridCol w:w="789"/>
        <w:gridCol w:w="789"/>
        <w:gridCol w:w="73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895" w:type="pct"/>
            <w:gridSpan w:val="7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方正小标宋_GBK"/>
                <w:sz w:val="24"/>
                <w:szCs w:val="24"/>
              </w:rPr>
              <w:t>部门（单位）名称</w:t>
            </w:r>
          </w:p>
        </w:tc>
        <w:tc>
          <w:tcPr>
            <w:tcW w:w="2105" w:type="pct"/>
            <w:gridSpan w:val="7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方正书宋_GBK"/>
                <w:sz w:val="24"/>
                <w:szCs w:val="24"/>
              </w:rP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193" w:type="pct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政府采购项目来源</w:t>
            </w:r>
          </w:p>
        </w:tc>
        <w:tc>
          <w:tcPr>
            <w:tcW w:w="303" w:type="pct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采购物品名称</w:t>
            </w:r>
          </w:p>
        </w:tc>
        <w:tc>
          <w:tcPr>
            <w:tcW w:w="482" w:type="pct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政府采购目录序号</w:t>
            </w:r>
          </w:p>
        </w:tc>
        <w:tc>
          <w:tcPr>
            <w:tcW w:w="303" w:type="pct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数量单位</w:t>
            </w:r>
          </w:p>
        </w:tc>
        <w:tc>
          <w:tcPr>
            <w:tcW w:w="303" w:type="pct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数量</w:t>
            </w:r>
          </w:p>
        </w:tc>
        <w:tc>
          <w:tcPr>
            <w:tcW w:w="311" w:type="pct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单价</w:t>
            </w:r>
          </w:p>
        </w:tc>
        <w:tc>
          <w:tcPr>
            <w:tcW w:w="2105" w:type="pct"/>
            <w:gridSpan w:val="7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政府采购金额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825" w:type="pct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项目名称</w:t>
            </w:r>
          </w:p>
        </w:tc>
        <w:tc>
          <w:tcPr>
            <w:tcW w:w="368" w:type="pct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预算资金</w:t>
            </w:r>
          </w:p>
        </w:tc>
        <w:tc>
          <w:tcPr>
            <w:tcW w:w="303" w:type="pct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482" w:type="pct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303" w:type="pct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303" w:type="pct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311" w:type="pct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310" w:type="pct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总计</w:t>
            </w:r>
          </w:p>
        </w:tc>
        <w:tc>
          <w:tcPr>
            <w:tcW w:w="1510" w:type="pct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当年部门预算安排资金</w:t>
            </w:r>
          </w:p>
        </w:tc>
        <w:tc>
          <w:tcPr>
            <w:tcW w:w="285" w:type="pct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其他渠道资金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825" w:type="pct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368" w:type="pct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303" w:type="pct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482" w:type="pct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303" w:type="pct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303" w:type="pct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311" w:type="pct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310" w:type="pct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310" w:type="pc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合计</w:t>
            </w:r>
          </w:p>
        </w:tc>
        <w:tc>
          <w:tcPr>
            <w:tcW w:w="310" w:type="pc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一般公共预算拨款</w:t>
            </w:r>
          </w:p>
        </w:tc>
        <w:tc>
          <w:tcPr>
            <w:tcW w:w="282" w:type="pc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基金预算拨款</w:t>
            </w:r>
          </w:p>
        </w:tc>
        <w:tc>
          <w:tcPr>
            <w:tcW w:w="304" w:type="pc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财政专户核拨</w:t>
            </w:r>
          </w:p>
        </w:tc>
        <w:tc>
          <w:tcPr>
            <w:tcW w:w="304" w:type="pc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其他来源收入</w:t>
            </w:r>
          </w:p>
        </w:tc>
        <w:tc>
          <w:tcPr>
            <w:tcW w:w="285" w:type="pct"/>
            <w:vMerge w:val="continue"/>
            <w:vAlign w:val="center"/>
          </w:tcPr>
          <w:p>
            <w:pPr>
              <w:spacing w:line="56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pc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合　计</w:t>
            </w:r>
          </w:p>
        </w:tc>
        <w:tc>
          <w:tcPr>
            <w:tcW w:w="368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0.9</w:t>
            </w:r>
          </w:p>
        </w:tc>
        <w:tc>
          <w:tcPr>
            <w:tcW w:w="303" w:type="pct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482" w:type="pct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303" w:type="pct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303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311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310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0.9</w:t>
            </w:r>
          </w:p>
        </w:tc>
        <w:tc>
          <w:tcPr>
            <w:tcW w:w="310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0.9</w:t>
            </w:r>
          </w:p>
        </w:tc>
        <w:tc>
          <w:tcPr>
            <w:tcW w:w="310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0.9</w:t>
            </w:r>
          </w:p>
        </w:tc>
        <w:tc>
          <w:tcPr>
            <w:tcW w:w="282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304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304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pc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电脑</w:t>
            </w:r>
          </w:p>
        </w:tc>
        <w:tc>
          <w:tcPr>
            <w:tcW w:w="368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0.3</w:t>
            </w:r>
          </w:p>
        </w:tc>
        <w:tc>
          <w:tcPr>
            <w:tcW w:w="303" w:type="pct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电脑</w:t>
            </w:r>
          </w:p>
        </w:tc>
        <w:tc>
          <w:tcPr>
            <w:tcW w:w="482" w:type="pct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303" w:type="pct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台</w:t>
            </w:r>
          </w:p>
        </w:tc>
        <w:tc>
          <w:tcPr>
            <w:tcW w:w="303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1</w:t>
            </w:r>
          </w:p>
        </w:tc>
        <w:tc>
          <w:tcPr>
            <w:tcW w:w="311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0.3</w:t>
            </w:r>
          </w:p>
        </w:tc>
        <w:tc>
          <w:tcPr>
            <w:tcW w:w="310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0.3</w:t>
            </w:r>
          </w:p>
        </w:tc>
        <w:tc>
          <w:tcPr>
            <w:tcW w:w="310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0.3</w:t>
            </w:r>
          </w:p>
        </w:tc>
        <w:tc>
          <w:tcPr>
            <w:tcW w:w="310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0.3</w:t>
            </w:r>
          </w:p>
        </w:tc>
        <w:tc>
          <w:tcPr>
            <w:tcW w:w="282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304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304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pc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空调</w:t>
            </w:r>
          </w:p>
        </w:tc>
        <w:tc>
          <w:tcPr>
            <w:tcW w:w="368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0.6</w:t>
            </w:r>
          </w:p>
        </w:tc>
        <w:tc>
          <w:tcPr>
            <w:tcW w:w="303" w:type="pct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空调</w:t>
            </w:r>
          </w:p>
        </w:tc>
        <w:tc>
          <w:tcPr>
            <w:tcW w:w="482" w:type="pct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b/>
                <w:bCs/>
              </w:rPr>
            </w:pPr>
          </w:p>
        </w:tc>
        <w:tc>
          <w:tcPr>
            <w:tcW w:w="303" w:type="pct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台</w:t>
            </w:r>
          </w:p>
        </w:tc>
        <w:tc>
          <w:tcPr>
            <w:tcW w:w="303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2</w:t>
            </w:r>
          </w:p>
        </w:tc>
        <w:tc>
          <w:tcPr>
            <w:tcW w:w="311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0.3</w:t>
            </w:r>
          </w:p>
        </w:tc>
        <w:tc>
          <w:tcPr>
            <w:tcW w:w="310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0.6</w:t>
            </w:r>
          </w:p>
        </w:tc>
        <w:tc>
          <w:tcPr>
            <w:tcW w:w="310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0.6</w:t>
            </w:r>
          </w:p>
        </w:tc>
        <w:tc>
          <w:tcPr>
            <w:tcW w:w="310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0.6</w:t>
            </w:r>
          </w:p>
        </w:tc>
        <w:tc>
          <w:tcPr>
            <w:tcW w:w="282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304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304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  <w:tc>
          <w:tcPr>
            <w:tcW w:w="285" w:type="pct"/>
            <w:vAlign w:val="center"/>
          </w:tcPr>
          <w:p>
            <w:pPr>
              <w:spacing w:line="560" w:lineRule="exact"/>
              <w:jc w:val="right"/>
              <w:rPr>
                <w:rFonts w:ascii="宋体" w:hAnsi="宋体" w:eastAsia="宋体" w:cs="Times New Roman"/>
              </w:rPr>
            </w:pPr>
          </w:p>
        </w:tc>
      </w:tr>
    </w:tbl>
    <w:p>
      <w:pPr>
        <w:widowControl/>
        <w:spacing w:line="360" w:lineRule="auto"/>
        <w:ind w:firstLine="643" w:firstLineChars="200"/>
        <w:jc w:val="left"/>
        <w:rPr>
          <w:rFonts w:ascii="Calibri" w:hAnsi="Calibri" w:eastAsia="仿宋_GB2312" w:cs="Calibri"/>
          <w:b/>
          <w:kern w:val="0"/>
          <w:sz w:val="32"/>
          <w:szCs w:val="32"/>
        </w:rPr>
      </w:pPr>
    </w:p>
    <w:p>
      <w:pPr>
        <w:widowControl/>
        <w:spacing w:line="360" w:lineRule="auto"/>
        <w:ind w:firstLine="640" w:firstLineChars="200"/>
        <w:jc w:val="left"/>
        <w:rPr>
          <w:rFonts w:ascii="黑体" w:hAnsi="黑体" w:eastAsia="黑体" w:cs="Calibri"/>
          <w:kern w:val="0"/>
          <w:sz w:val="32"/>
          <w:szCs w:val="32"/>
        </w:rPr>
      </w:pPr>
      <w:r>
        <w:rPr>
          <w:rFonts w:hint="eastAsia" w:ascii="黑体" w:hAnsi="黑体" w:eastAsia="黑体" w:cs="Calibri"/>
          <w:kern w:val="0"/>
          <w:sz w:val="32"/>
          <w:szCs w:val="32"/>
        </w:rPr>
        <w:t>七、国有资产信息</w:t>
      </w:r>
    </w:p>
    <w:p>
      <w:pPr>
        <w:widowControl/>
        <w:spacing w:line="360" w:lineRule="auto"/>
        <w:ind w:left="412" w:leftChars="196" w:firstLine="640" w:firstLineChars="200"/>
        <w:jc w:val="left"/>
        <w:rPr>
          <w:rFonts w:ascii="仿宋_GB2312" w:hAnsi="Calibri" w:eastAsia="仿宋_GB2312" w:cs="仿宋_GB2312"/>
          <w:kern w:val="0"/>
          <w:sz w:val="32"/>
          <w:szCs w:val="32"/>
        </w:rPr>
      </w:pP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截止上年</w:t>
      </w:r>
      <w:r>
        <w:rPr>
          <w:rFonts w:ascii="仿宋_GB2312" w:hAnsi="Calibri" w:eastAsia="仿宋_GB2312" w:cs="仿宋_GB2312"/>
          <w:kern w:val="0"/>
          <w:sz w:val="32"/>
          <w:szCs w:val="32"/>
        </w:rPr>
        <w:t>末固定资产</w:t>
      </w:r>
      <w:r>
        <w:rPr>
          <w:rFonts w:hint="eastAsia" w:ascii="仿宋_GB2312" w:hAnsi="Calibri" w:eastAsia="仿宋_GB2312" w:cs="仿宋_GB2312"/>
          <w:kern w:val="0"/>
          <w:sz w:val="32"/>
          <w:szCs w:val="32"/>
        </w:rPr>
        <w:t>固定资产</w:t>
      </w:r>
      <w:r>
        <w:rPr>
          <w:rFonts w:hint="eastAsia" w:ascii="仿宋_GB2312" w:hAnsi="Calibri" w:eastAsia="仿宋_GB2312" w:cs="仿宋_GB2312"/>
          <w:kern w:val="0"/>
          <w:sz w:val="32"/>
          <w:szCs w:val="32"/>
          <w:lang w:val="en-US" w:eastAsia="zh-CN"/>
        </w:rPr>
        <w:t>账面</w:t>
      </w:r>
      <w:bookmarkStart w:id="2" w:name="_GoBack"/>
      <w:bookmarkEnd w:id="2"/>
      <w:r>
        <w:rPr>
          <w:rFonts w:ascii="仿宋_GB2312" w:hAnsi="Calibri" w:eastAsia="仿宋_GB2312" w:cs="仿宋_GB2312"/>
          <w:kern w:val="0"/>
          <w:sz w:val="32"/>
          <w:szCs w:val="32"/>
        </w:rPr>
        <w:t>结余</w:t>
      </w:r>
      <w:r>
        <w:rPr>
          <w:rFonts w:hint="eastAsia" w:ascii="仿宋_GB2312" w:hAnsi="Calibri" w:eastAsia="仿宋_GB2312" w:cs="仿宋_GB2312"/>
          <w:kern w:val="0"/>
          <w:sz w:val="32"/>
          <w:szCs w:val="32"/>
        </w:rPr>
        <w:t>10.48</w:t>
      </w:r>
      <w:r>
        <w:rPr>
          <w:rFonts w:ascii="仿宋_GB2312" w:hAnsi="Calibri" w:eastAsia="仿宋_GB2312" w:cs="仿宋_GB2312"/>
          <w:kern w:val="0"/>
          <w:sz w:val="32"/>
          <w:szCs w:val="32"/>
        </w:rPr>
        <w:t>万元。</w:t>
      </w:r>
      <w:r>
        <w:rPr>
          <w:rFonts w:hint="eastAsia" w:ascii="仿宋_GB2312" w:hAnsi="Calibri" w:eastAsia="仿宋_GB2312" w:cs="仿宋_GB2312"/>
          <w:kern w:val="0"/>
          <w:sz w:val="32"/>
          <w:szCs w:val="32"/>
        </w:rPr>
        <w:t>其中：车辆价值10万元，其它资产价值0.48万元。</w:t>
      </w:r>
    </w:p>
    <w:tbl>
      <w:tblPr>
        <w:tblStyle w:val="5"/>
        <w:tblW w:w="5000" w:type="pct"/>
        <w:tblInd w:w="-10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5"/>
        <w:gridCol w:w="1224"/>
        <w:gridCol w:w="58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</w:rPr>
              <w:t>部门固定资产占用情况表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7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编制部门：。。。。</w:t>
            </w:r>
          </w:p>
        </w:tc>
        <w:tc>
          <w:tcPr>
            <w:tcW w:w="22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ind w:firstLine="550" w:firstLineChars="250"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截止时间：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201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7年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12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31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2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项目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数量</w:t>
            </w:r>
          </w:p>
        </w:tc>
        <w:tc>
          <w:tcPr>
            <w:tcW w:w="22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价值（金额单位：万元）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28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资产总额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——</w:t>
            </w:r>
          </w:p>
        </w:tc>
        <w:tc>
          <w:tcPr>
            <w:tcW w:w="22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10.48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28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、房屋（平方米）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22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28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其中：办公用房（平方米）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22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28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、车辆（台、辆）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1</w:t>
            </w:r>
          </w:p>
        </w:tc>
        <w:tc>
          <w:tcPr>
            <w:tcW w:w="22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28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、单价在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50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万元以上的设备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22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28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、其他固定资产</w:t>
            </w:r>
          </w:p>
        </w:tc>
        <w:tc>
          <w:tcPr>
            <w:tcW w:w="4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22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0.48</w:t>
            </w:r>
          </w:p>
        </w:tc>
      </w:tr>
    </w:tbl>
    <w:p>
      <w:pPr>
        <w:widowControl/>
        <w:spacing w:line="360" w:lineRule="auto"/>
        <w:ind w:firstLine="640" w:firstLineChars="200"/>
        <w:jc w:val="left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八、</w:t>
      </w:r>
      <w:r>
        <w:rPr>
          <w:rFonts w:hint="eastAsia" w:ascii="黑体" w:hAnsi="黑体" w:eastAsia="黑体" w:cs="仿宋"/>
          <w:kern w:val="0"/>
          <w:sz w:val="32"/>
          <w:szCs w:val="32"/>
        </w:rPr>
        <w:t>名词解释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</w:p>
    <w:p>
      <w:pPr>
        <w:widowControl/>
        <w:spacing w:line="360" w:lineRule="auto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1、财政拨款收入：指</w:t>
      </w:r>
      <w:r>
        <w:rPr>
          <w:rFonts w:hint="eastAsia" w:ascii="仿宋" w:hAnsi="仿宋" w:eastAsia="仿宋" w:cs="仿宋"/>
          <w:kern w:val="0"/>
          <w:sz w:val="32"/>
          <w:szCs w:val="32"/>
        </w:rPr>
        <w:t>财政当年拨付的资金。</w:t>
      </w:r>
    </w:p>
    <w:p>
      <w:pPr>
        <w:widowControl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、“三公”经费：包括因公出国（境）费、公务接待费和公务用车购置及运行费。因公出国（境）费，指单位工作人员公务出国（境）的住宿费、差旅费、伙食补助费、杂费、培训费等支出。公务接待费，指单位按规定开支的各类公务接待（含外宾接待）支出。公务用车购置及运行费，指单位公务用车购置费及租用费、燃料费、维修费、等支出，公务用车指用于履行公务的机动车辆，包括领导干部专车、一般公务用车和执法执勤等业务用车。</w:t>
      </w:r>
    </w:p>
    <w:p>
      <w:pPr>
        <w:widowControl/>
        <w:spacing w:line="360" w:lineRule="auto"/>
        <w:ind w:firstLine="600" w:firstLineChars="25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、年初结转和结余：指以前年度尚未完成，结转到本年仍按照原规定用途继续使用的资金，或项目已完成等产生的结余资金。 </w:t>
      </w:r>
    </w:p>
    <w:p>
      <w:pPr>
        <w:widowControl/>
        <w:spacing w:line="360" w:lineRule="auto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4、基本支出：指单位为了保障其正常运转、完成日常工作任务而发生的人员支出和公用支出。 </w:t>
      </w:r>
    </w:p>
    <w:p>
      <w:pPr>
        <w:widowControl/>
        <w:spacing w:line="360" w:lineRule="auto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5、项目支出：指单位为了特定的工作任务和事业发展目标，在基本支出之外所发生的支出。</w:t>
      </w:r>
    </w:p>
    <w:p>
      <w:pPr>
        <w:widowControl/>
        <w:spacing w:line="360" w:lineRule="auto"/>
        <w:ind w:firstLine="640" w:firstLineChars="200"/>
        <w:jc w:val="left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九、其他需要说明的事项</w:t>
      </w:r>
    </w:p>
    <w:p>
      <w:pPr>
        <w:widowControl/>
        <w:spacing w:line="360" w:lineRule="auto"/>
        <w:ind w:firstLine="640" w:firstLineChars="200"/>
        <w:jc w:val="left"/>
        <w:rPr>
          <w:rFonts w:ascii="仿宋" w:hAnsi="仿宋" w:eastAsia="仿宋" w:cs="仿宋"/>
          <w:szCs w:val="24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无其他需要说明的事项。</w:t>
      </w:r>
    </w:p>
    <w:p>
      <w:pPr>
        <w:spacing w:line="560" w:lineRule="exact"/>
        <w:outlineLvl w:val="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60" w:lineRule="exact"/>
        <w:outlineLvl w:val="0"/>
        <w:rPr>
          <w:rFonts w:ascii="Times New Roman" w:hAnsi="Times New Roman" w:eastAsia="方正仿宋_GBK" w:cs="Times New Roman"/>
          <w:sz w:val="32"/>
          <w:szCs w:val="32"/>
        </w:rPr>
      </w:pPr>
    </w:p>
    <w:bookmarkEnd w:id="1"/>
    <w:p>
      <w:pPr>
        <w:spacing w:line="560" w:lineRule="exact"/>
        <w:outlineLvl w:val="0"/>
        <w:rPr>
          <w:rFonts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6838" w:h="11906" w:orient="landscape"/>
      <w:pgMar w:top="1474" w:right="1985" w:bottom="1588" w:left="209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方正书宋_GBK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仿宋" w:hAnsi="仿宋" w:eastAsia="仿宋" w:cs="Times New Roman"/>
        <w:sz w:val="32"/>
        <w:szCs w:val="32"/>
      </w:rPr>
    </w:pPr>
    <w:r>
      <w:rPr>
        <w:rFonts w:ascii="仿宋" w:hAnsi="仿宋" w:eastAsia="仿宋" w:cs="仿宋"/>
        <w:sz w:val="32"/>
        <w:szCs w:val="32"/>
      </w:rPr>
      <w:fldChar w:fldCharType="begin"/>
    </w:r>
    <w:r>
      <w:rPr>
        <w:rFonts w:ascii="仿宋" w:hAnsi="仿宋" w:eastAsia="仿宋" w:cs="仿宋"/>
        <w:sz w:val="32"/>
        <w:szCs w:val="32"/>
      </w:rPr>
      <w:instrText xml:space="preserve">PAGE   \* MERGEFORMAT</w:instrText>
    </w:r>
    <w:r>
      <w:rPr>
        <w:rFonts w:ascii="仿宋" w:hAnsi="仿宋" w:eastAsia="仿宋" w:cs="仿宋"/>
        <w:sz w:val="32"/>
        <w:szCs w:val="32"/>
      </w:rPr>
      <w:fldChar w:fldCharType="separate"/>
    </w:r>
    <w:r>
      <w:rPr>
        <w:rFonts w:ascii="仿宋" w:hAnsi="仿宋" w:eastAsia="仿宋" w:cs="仿宋"/>
        <w:sz w:val="32"/>
        <w:szCs w:val="32"/>
        <w:lang w:val="zh-CN"/>
      </w:rPr>
      <w:t>9</w:t>
    </w:r>
    <w:r>
      <w:rPr>
        <w:rFonts w:ascii="仿宋" w:hAnsi="仿宋" w:eastAsia="仿宋" w:cs="仿宋"/>
        <w:sz w:val="32"/>
        <w:szCs w:val="32"/>
      </w:rPr>
      <w:fldChar w:fldCharType="end"/>
    </w:r>
  </w:p>
  <w:p>
    <w:pPr>
      <w:pStyle w:val="3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c5ZTRiNjRjNGMzNTlmNzA3YzQ4ZmQ1OGJmYjU4NmIifQ=="/>
  </w:docVars>
  <w:rsids>
    <w:rsidRoot w:val="00524AAA"/>
    <w:rsid w:val="000533B1"/>
    <w:rsid w:val="000A796E"/>
    <w:rsid w:val="000E7942"/>
    <w:rsid w:val="00101C7A"/>
    <w:rsid w:val="0012190A"/>
    <w:rsid w:val="00131928"/>
    <w:rsid w:val="00141DBE"/>
    <w:rsid w:val="001A3CB4"/>
    <w:rsid w:val="001E0232"/>
    <w:rsid w:val="00206B22"/>
    <w:rsid w:val="002307B5"/>
    <w:rsid w:val="002A2E1A"/>
    <w:rsid w:val="002C0317"/>
    <w:rsid w:val="002E78C6"/>
    <w:rsid w:val="00301B33"/>
    <w:rsid w:val="00325594"/>
    <w:rsid w:val="00327C3F"/>
    <w:rsid w:val="0037750D"/>
    <w:rsid w:val="003C4C5D"/>
    <w:rsid w:val="003D1126"/>
    <w:rsid w:val="003D1369"/>
    <w:rsid w:val="003D22B1"/>
    <w:rsid w:val="00424089"/>
    <w:rsid w:val="00453A06"/>
    <w:rsid w:val="00524AAA"/>
    <w:rsid w:val="005412A2"/>
    <w:rsid w:val="00562CDE"/>
    <w:rsid w:val="005730D6"/>
    <w:rsid w:val="00577694"/>
    <w:rsid w:val="005F4345"/>
    <w:rsid w:val="0068144F"/>
    <w:rsid w:val="006C151A"/>
    <w:rsid w:val="00743454"/>
    <w:rsid w:val="00747D9E"/>
    <w:rsid w:val="007775CB"/>
    <w:rsid w:val="007B4EB3"/>
    <w:rsid w:val="007C484E"/>
    <w:rsid w:val="007F0D2E"/>
    <w:rsid w:val="00825F97"/>
    <w:rsid w:val="008327A0"/>
    <w:rsid w:val="00856467"/>
    <w:rsid w:val="008C330E"/>
    <w:rsid w:val="00933068"/>
    <w:rsid w:val="009434D9"/>
    <w:rsid w:val="00973104"/>
    <w:rsid w:val="00990CB9"/>
    <w:rsid w:val="009B2D48"/>
    <w:rsid w:val="009C264C"/>
    <w:rsid w:val="009F0612"/>
    <w:rsid w:val="00A12AE7"/>
    <w:rsid w:val="00A15ADE"/>
    <w:rsid w:val="00A47CED"/>
    <w:rsid w:val="00A6455D"/>
    <w:rsid w:val="00A660AE"/>
    <w:rsid w:val="00A95F51"/>
    <w:rsid w:val="00AB31C3"/>
    <w:rsid w:val="00AC6968"/>
    <w:rsid w:val="00B13EFE"/>
    <w:rsid w:val="00B203A3"/>
    <w:rsid w:val="00B46165"/>
    <w:rsid w:val="00B50088"/>
    <w:rsid w:val="00B500A4"/>
    <w:rsid w:val="00B549B9"/>
    <w:rsid w:val="00BA40C6"/>
    <w:rsid w:val="00BA6B82"/>
    <w:rsid w:val="00CD0F72"/>
    <w:rsid w:val="00CF27CE"/>
    <w:rsid w:val="00D27A25"/>
    <w:rsid w:val="00D312BA"/>
    <w:rsid w:val="00D73351"/>
    <w:rsid w:val="00E000C9"/>
    <w:rsid w:val="00E24B37"/>
    <w:rsid w:val="00E474B2"/>
    <w:rsid w:val="00E87B0C"/>
    <w:rsid w:val="00E91C36"/>
    <w:rsid w:val="00F14752"/>
    <w:rsid w:val="00F311AF"/>
    <w:rsid w:val="00F66032"/>
    <w:rsid w:val="00F975CB"/>
    <w:rsid w:val="00FB5EA2"/>
    <w:rsid w:val="05B31940"/>
    <w:rsid w:val="38715030"/>
    <w:rsid w:val="5EF807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脚 Char"/>
    <w:link w:val="3"/>
    <w:qFormat/>
    <w:locked/>
    <w:uiPriority w:val="99"/>
    <w:rPr>
      <w:rFonts w:cs="Times New Roman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character" w:customStyle="1" w:styleId="10">
    <w:name w:val="批注框文本 Char"/>
    <w:link w:val="2"/>
    <w:semiHidden/>
    <w:uiPriority w:val="99"/>
    <w:rPr>
      <w:rFonts w:cs="等线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442</Words>
  <Characters>2521</Characters>
  <Lines>21</Lines>
  <Paragraphs>5</Paragraphs>
  <TotalTime>37</TotalTime>
  <ScaleCrop>false</ScaleCrop>
  <LinksUpToDate>false</LinksUpToDate>
  <CharactersWithSpaces>2958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2017-11-12T03:02:00Z</dcterms:created>
  <dc:creator>旭东</dc:creator>
  <cp:lastModifiedBy>lenovo</cp:lastModifiedBy>
  <cp:lastPrinted>2017-11-12T02:02:00Z</cp:lastPrinted>
  <dcterms:modified xsi:type="dcterms:W3CDTF">2025-10-28T07:26:19Z</dcterms:modified>
  <dc:title>2017年部门预算公开督导整改要求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8364093D74674E2F8ABB389F479A1D1E_12</vt:lpwstr>
  </property>
</Properties>
</file>