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0" w:firstLineChars="200"/>
        <w:rPr>
          <w:rFonts w:cs="Times New Roman" w:asciiTheme="majorEastAsia" w:hAnsiTheme="majorEastAsia" w:eastAsiaTheme="majorEastAsia"/>
          <w:b/>
          <w:sz w:val="44"/>
          <w:szCs w:val="44"/>
        </w:rPr>
      </w:pPr>
    </w:p>
    <w:p>
      <w:pPr>
        <w:jc w:val="center"/>
        <w:rPr>
          <w:rFonts w:cs="Times New Roman" w:asciiTheme="majorEastAsia" w:hAnsiTheme="majorEastAsia" w:eastAsiaTheme="majorEastAsia"/>
          <w:b/>
          <w:sz w:val="44"/>
          <w:szCs w:val="44"/>
        </w:rPr>
      </w:pP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成安县老干部局2018年部门预算公开情况说明</w:t>
      </w:r>
    </w:p>
    <w:p>
      <w:pPr>
        <w:ind w:firstLine="640" w:firstLineChars="200"/>
        <w:rPr>
          <w:rFonts w:ascii="仿宋_GB2312" w:hAnsi="Times New Roman" w:eastAsia="仿宋_GB2312" w:cs="Times New Roman"/>
          <w:sz w:val="32"/>
          <w:szCs w:val="32"/>
        </w:rPr>
      </w:pP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按照《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中华人民共和国</w:t>
      </w:r>
      <w:bookmarkStart w:id="0" w:name="_GoBack"/>
      <w:bookmarkEnd w:id="0"/>
      <w:r>
        <w:rPr>
          <w:rFonts w:hint="eastAsia" w:ascii="仿宋" w:hAnsi="仿宋" w:eastAsia="仿宋" w:cs="Times New Roman"/>
          <w:sz w:val="32"/>
          <w:szCs w:val="32"/>
        </w:rPr>
        <w:t>预算法》有关规定和财政部关于印发《地方预决算公开操作规程》的通知，现将成安县老干部局2018年部门预算公开如下：</w:t>
      </w:r>
    </w:p>
    <w:p>
      <w:pPr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一、部门职责及机构设置情况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部门职责：</w:t>
      </w:r>
      <w:r>
        <w:rPr>
          <w:rFonts w:hint="eastAsia" w:ascii="仿宋" w:hAnsi="仿宋" w:eastAsia="仿宋" w:cs="Times New Roman"/>
          <w:sz w:val="32"/>
          <w:szCs w:val="32"/>
        </w:rPr>
        <w:t>1、贯彻落实中央、省、市关于老干部工作的方针、政策，围绕县委工作的总体规划制定我县老干部工作的具体规定和办法。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2、指导、督促、检查各部门老干部工作，组织协调有关部门共同做好老干部工作。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3、按照有关规定，做好离退休干部的安置工作（包括易地安置），帮助办理进出县离退休干部易地安置审批手续，承办离休干部荣誉证及老干部有关证件。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4、督促检查各级各部门落实离退休老干部的政治和生活待遇。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5、协助组织部门抓好离退休干部党支部建设。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6、指导县老干部门诊和老干部活动中心开展工作，做好回县老干部探亲访友的接待、服务工作。</w:t>
      </w:r>
    </w:p>
    <w:p>
      <w:pPr>
        <w:widowControl/>
        <w:spacing w:line="360" w:lineRule="auto"/>
        <w:rPr>
          <w:rFonts w:ascii="仿宋" w:hAnsi="仿宋" w:eastAsia="仿宋" w:cs="仿宋_GB2312"/>
          <w:kern w:val="0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 xml:space="preserve">    7、承办县委、县政府交办的其他有关老干部工作</w:t>
      </w:r>
    </w:p>
    <w:p>
      <w:pPr>
        <w:widowControl/>
        <w:spacing w:line="360" w:lineRule="auto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 xml:space="preserve">    成安县老干部局，预算编码是287，内设2个内部机构。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1、办公室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主要负责：</w:t>
      </w:r>
      <w:r>
        <w:rPr>
          <w:rFonts w:hint="eastAsia" w:ascii="仿宋" w:hAnsi="仿宋" w:eastAsia="仿宋" w:cs="Times New Roman"/>
          <w:sz w:val="32"/>
          <w:szCs w:val="32"/>
        </w:rPr>
        <w:t>调查了解各综合全县离退休干部工作状况，贯彻落实离退休干部政策有关规定。负责全局性的、综合性的文字材料工作；负责文件收发、文书档案管理，协调来信来访及离退休干部工作方面的提案处理。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2、总务室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主要负责：财务等各方面的工作。</w:t>
      </w:r>
    </w:p>
    <w:p>
      <w:pPr>
        <w:ind w:firstLine="640" w:firstLineChars="20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成安县</w:t>
      </w:r>
      <w:r>
        <w:rPr>
          <w:rFonts w:hint="eastAsia" w:ascii="仿宋" w:hAnsi="仿宋" w:eastAsia="仿宋" w:cs="Times New Roman"/>
          <w:sz w:val="32"/>
          <w:szCs w:val="32"/>
          <w:lang w:eastAsia="zh-CN"/>
        </w:rPr>
        <w:t>老干部局</w:t>
      </w:r>
      <w:r>
        <w:rPr>
          <w:rFonts w:hint="eastAsia" w:ascii="仿宋" w:hAnsi="仿宋" w:eastAsia="仿宋" w:cs="Times New Roman"/>
          <w:sz w:val="32"/>
          <w:szCs w:val="32"/>
        </w:rPr>
        <w:t>，人员编制17名，其中领导职数3个。</w:t>
      </w:r>
    </w:p>
    <w:p>
      <w:pPr>
        <w:ind w:firstLine="640" w:firstLineChars="200"/>
        <w:rPr>
          <w:rFonts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机构设置：</w:t>
      </w:r>
    </w:p>
    <w:p>
      <w:pPr>
        <w:jc w:val="center"/>
        <w:outlineLvl w:val="0"/>
        <w:rPr>
          <w:rFonts w:ascii="Times New Roman" w:hAnsi="Times New Roman" w:eastAsia="方正小标宋_GBK" w:cs="Times New Roman"/>
          <w:sz w:val="32"/>
          <w:szCs w:val="32"/>
        </w:rPr>
      </w:pPr>
      <w:r>
        <w:rPr>
          <w:rFonts w:hint="eastAsia" w:ascii="Times New Roman" w:hAnsi="Times New Roman" w:eastAsia="方正小标宋_GBK" w:cs="方正小标宋_GBK"/>
          <w:sz w:val="32"/>
          <w:szCs w:val="32"/>
        </w:rPr>
        <w:t>部门机构设置情况</w:t>
      </w:r>
    </w:p>
    <w:tbl>
      <w:tblPr>
        <w:tblStyle w:val="6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成安县老干部局</w:t>
            </w:r>
          </w:p>
        </w:tc>
        <w:tc>
          <w:tcPr>
            <w:tcW w:w="1134" w:type="dxa"/>
            <w:vAlign w:val="center"/>
          </w:tcPr>
          <w:p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行政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正科</w:t>
            </w:r>
          </w:p>
        </w:tc>
        <w:tc>
          <w:tcPr>
            <w:tcW w:w="2902" w:type="dxa"/>
            <w:vAlign w:val="center"/>
          </w:tcPr>
          <w:p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财政拨款</w:t>
            </w:r>
          </w:p>
        </w:tc>
      </w:tr>
    </w:tbl>
    <w:p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二、部门预算安排的总体情况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按照预算管理有关规定，目前我部门预算的编制实行综合预算制度，即全部收入和支出都反映在预算中。</w:t>
      </w:r>
    </w:p>
    <w:p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2018年预算收入160.39万元，其中：一般公共预算收入160.39万元，政府性基金收入0万元，国有资本经营收入0万元，事业收入0万元，其他收入0万元。</w:t>
      </w:r>
    </w:p>
    <w:p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2018年支出预算160.39万元，其中基本支出160.39万元，包括人员经费和日常公用经费；项目支出0万元。</w:t>
      </w:r>
    </w:p>
    <w:p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>
      <w:pPr>
        <w:spacing w:line="560" w:lineRule="exact"/>
        <w:ind w:firstLine="640"/>
        <w:rPr>
          <w:rFonts w:ascii="仿宋" w:hAnsi="仿宋" w:eastAsia="仿宋" w:cs="仿宋_GB2312"/>
          <w:b/>
          <w:kern w:val="0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2018年预算收支安排160.39万元，较2017年预算减少48.57万元，其中：基本支出减少18.77万元，主要为减少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人员</w:t>
      </w:r>
      <w:r>
        <w:rPr>
          <w:rFonts w:hint="eastAsia" w:ascii="仿宋" w:hAnsi="仿宋" w:eastAsia="仿宋" w:cs="Times New Roman"/>
          <w:sz w:val="32"/>
          <w:szCs w:val="32"/>
        </w:rPr>
        <w:t>经费支出；项目支出减少29.8万元。</w:t>
      </w:r>
    </w:p>
    <w:p>
      <w:pPr>
        <w:autoSpaceDE w:val="0"/>
        <w:autoSpaceDN w:val="0"/>
        <w:adjustRightInd w:val="0"/>
        <w:spacing w:line="560" w:lineRule="exact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   三、机关运行经费安排情况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机关运行经费共计安排15万元，主要用于办公区的日常维修、办公用房水电费、邮电费、办公用房取暖费、办公用房物业管理费等日常运行支出。</w:t>
      </w:r>
    </w:p>
    <w:p>
      <w:pPr>
        <w:autoSpaceDE w:val="0"/>
        <w:autoSpaceDN w:val="0"/>
        <w:adjustRightInd w:val="0"/>
        <w:spacing w:line="560" w:lineRule="exact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   四、财政拨款“三公”经费预算情况及增减变化原因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2018年，我单位“三公”经费预算安排6.30万元，其中因公出国（境）费0万元；公务用车购置及运维费4.80万元（其中：公务用车购置费为0万元，公务用车运行费4.80万元)；公务接待费0万元；会议费0.50万元；培训费1万元。与2017年相比减少32%，由于实行车补政策和对公务用车管理使用更加规范，运行费相应减少。</w:t>
      </w:r>
    </w:p>
    <w:p>
      <w:pPr>
        <w:widowControl/>
        <w:numPr>
          <w:ilvl w:val="0"/>
          <w:numId w:val="1"/>
        </w:numPr>
        <w:spacing w:line="360" w:lineRule="auto"/>
        <w:ind w:firstLine="640" w:firstLineChars="200"/>
        <w:rPr>
          <w:rFonts w:ascii="黑体" w:hAnsi="黑体" w:eastAsia="黑体" w:cs="黑体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绩效预算信息</w:t>
      </w:r>
    </w:p>
    <w:p>
      <w:pPr>
        <w:spacing w:line="560" w:lineRule="exact"/>
        <w:outlineLvl w:val="0"/>
        <w:rPr>
          <w:rFonts w:ascii="仿宋" w:hAnsi="仿宋" w:eastAsia="仿宋" w:cs="方正小标宋_GBK"/>
          <w:b/>
          <w:bCs/>
          <w:sz w:val="32"/>
          <w:szCs w:val="32"/>
        </w:rPr>
      </w:pPr>
      <w:r>
        <w:rPr>
          <w:rFonts w:hint="eastAsia" w:ascii="宋体" w:hAnsi="宋体" w:eastAsia="宋体" w:cs="方正小标宋_GBK"/>
          <w:sz w:val="32"/>
          <w:szCs w:val="32"/>
        </w:rPr>
        <w:t xml:space="preserve">   </w:t>
      </w:r>
      <w:r>
        <w:rPr>
          <w:rFonts w:hint="eastAsia" w:ascii="仿宋" w:hAnsi="仿宋" w:eastAsia="仿宋" w:cs="方正小标宋_GBK"/>
          <w:sz w:val="32"/>
          <w:szCs w:val="32"/>
        </w:rPr>
        <w:t xml:space="preserve"> </w:t>
      </w:r>
      <w:r>
        <w:rPr>
          <w:rFonts w:hint="eastAsia" w:ascii="仿宋" w:hAnsi="仿宋" w:eastAsia="仿宋" w:cs="方正小标宋_GBK"/>
          <w:b/>
          <w:bCs/>
          <w:sz w:val="32"/>
          <w:szCs w:val="32"/>
        </w:rPr>
        <w:t>总体绩效目标：</w:t>
      </w:r>
    </w:p>
    <w:p>
      <w:pPr>
        <w:spacing w:line="560" w:lineRule="exact"/>
        <w:ind w:firstLine="640" w:firstLineChars="200"/>
        <w:outlineLvl w:val="0"/>
        <w:rPr>
          <w:rFonts w:ascii="仿宋" w:hAnsi="仿宋" w:eastAsia="仿宋" w:cs="方正小标宋_GBK"/>
          <w:sz w:val="32"/>
          <w:szCs w:val="32"/>
        </w:rPr>
      </w:pPr>
      <w:r>
        <w:rPr>
          <w:rFonts w:hint="eastAsia" w:ascii="仿宋" w:hAnsi="仿宋" w:eastAsia="仿宋" w:cs="方正小标宋_GBK"/>
          <w:sz w:val="32"/>
          <w:szCs w:val="32"/>
        </w:rPr>
        <w:t>适应经济增长新常态，做好为老干部服务工作，通过提高为老干部服务水平，贯彻落实国家关于离退休干部的方针政策，组织落实离退休干部的政治生活待遇。让老干部的日常活动丰富充实，老有所乐。健全完善与经济社会发展相适应的老年教育和老年阵地建设体系。</w:t>
      </w:r>
    </w:p>
    <w:p>
      <w:pPr>
        <w:spacing w:line="560" w:lineRule="exact"/>
        <w:jc w:val="center"/>
        <w:outlineLvl w:val="0"/>
        <w:rPr>
          <w:rFonts w:hint="eastAsia" w:ascii="宋体" w:hAnsi="宋体" w:eastAsia="宋体" w:cs="方正小标宋_GBK"/>
          <w:sz w:val="32"/>
          <w:szCs w:val="32"/>
        </w:rPr>
      </w:pPr>
    </w:p>
    <w:p>
      <w:pPr>
        <w:spacing w:line="560" w:lineRule="exact"/>
        <w:jc w:val="center"/>
        <w:outlineLvl w:val="0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方正小标宋_GBK"/>
          <w:sz w:val="32"/>
          <w:szCs w:val="32"/>
        </w:rPr>
        <w:t>部门职责</w:t>
      </w:r>
      <w:r>
        <w:rPr>
          <w:rFonts w:ascii="宋体" w:hAnsi="宋体" w:eastAsia="宋体" w:cs="方正小标宋_GBK"/>
          <w:sz w:val="32"/>
          <w:szCs w:val="32"/>
        </w:rPr>
        <w:t>-</w:t>
      </w:r>
      <w:r>
        <w:rPr>
          <w:rFonts w:hint="eastAsia" w:ascii="宋体" w:hAnsi="宋体" w:eastAsia="宋体" w:cs="方正小标宋_GBK"/>
          <w:sz w:val="32"/>
          <w:szCs w:val="32"/>
        </w:rPr>
        <w:t>工作活动绩效目标</w:t>
      </w:r>
    </w:p>
    <w:p>
      <w:pPr>
        <w:widowControl/>
        <w:spacing w:line="360" w:lineRule="auto"/>
        <w:rPr>
          <w:rFonts w:ascii="黑体" w:hAnsi="黑体" w:eastAsia="黑体" w:cs="黑体"/>
          <w:bCs/>
          <w:kern w:val="0"/>
          <w:sz w:val="32"/>
          <w:szCs w:val="32"/>
        </w:rPr>
      </w:pP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firstLine="480" w:firstLineChars="200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287</w:t>
            </w:r>
            <w:r>
              <w:rPr>
                <w:rFonts w:hint="eastAsia" w:ascii="方正小标宋_GBK" w:eastAsia="方正小标宋_GBK"/>
                <w:sz w:val="24"/>
              </w:rPr>
              <w:t>成安县老干部局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firstLine="480" w:firstLineChars="200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outlineLvl w:val="0"/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离退休干部政策及服务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贯彻落实国家关于离退休干部</w:t>
            </w:r>
            <w:r>
              <w:rPr>
                <w:rFonts w:hint="eastAsia" w:ascii="方正书宋_GBK" w:eastAsia="方正书宋_GBK"/>
                <w:szCs w:val="21"/>
                <w:lang w:eastAsia="zh-CN"/>
              </w:rPr>
              <w:t>的</w:t>
            </w:r>
            <w:r>
              <w:rPr>
                <w:rFonts w:hint="eastAsia" w:ascii="方正书宋_GBK" w:eastAsia="方正书宋_GBK"/>
                <w:szCs w:val="21"/>
              </w:rPr>
              <w:t>方针政策，组织落实离退休干部的政治、生活待遇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保障离退休干部各项政策的落实。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jc w:val="right"/>
              <w:rPr>
                <w:rFonts w:ascii="方正书宋_GBK" w:eastAsia="方正书宋_GBK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落实老干部政治、生活待遇，服务管理离退休干部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全面落实两项待遇，加强管理，提高服务水平让每位老干部感受到政治上的关心，生活上的爱护。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让每位老干部感受到政治上的关心，生活上的爱护。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老干部政治生活待遇保障率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98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75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老干部满意率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95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75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老干部活动、组织建设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组织老干部参加社会、文体及各项活动，加强老干部基层组织和党支部建设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老干部日常生活、活动丰富充实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老干部满意率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65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45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综合事务管理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老干部管理服务设施维修改造、后勤保障、日常运转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确保各项活动、工作正常运行。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综合事务管理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离退休干部管理服务机构设施维修改造、后勤保障、日常运转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为老干部各项活动的顺利进行做好保障工作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保障完成率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95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85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70</w:t>
            </w:r>
          </w:p>
        </w:tc>
        <w:tc>
          <w:tcPr>
            <w:tcW w:w="737" w:type="dxa"/>
            <w:shd w:val="clear" w:color="auto" w:fill="auto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45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老年活动阵地建设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建设、管理、使用好老年活动阵地，并指导全县阵地建设。</w:t>
            </w:r>
          </w:p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完善老年阵地建设体系。</w:t>
            </w:r>
          </w:p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jc w:val="left"/>
              <w:rPr>
                <w:rFonts w:ascii="方正书宋_GBK" w:eastAsia="方正书宋_GBK"/>
                <w:b/>
                <w:szCs w:val="21"/>
              </w:rPr>
            </w:pPr>
            <w:r>
              <w:rPr>
                <w:rFonts w:hint="eastAsia" w:ascii="方正书宋_GBK" w:eastAsia="方正书宋_GBK"/>
                <w:b/>
                <w:szCs w:val="21"/>
              </w:rPr>
              <w:t>老年教育及关心下一代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贯彻执行老年教育和老干部工作方针，构建终身教育体系；开展全县关心下一代工作，组织老同志参加青少年教育工作</w:t>
            </w:r>
          </w:p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老干部满意率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20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b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ind w:firstLine="420" w:firstLineChars="200"/>
              <w:rPr>
                <w:rFonts w:ascii="方正书宋_GBK" w:eastAsia="方正书宋_GBK"/>
                <w:szCs w:val="21"/>
              </w:rPr>
            </w:pPr>
            <w:r>
              <w:rPr>
                <w:rFonts w:hint="eastAsia" w:ascii="方正书宋_GBK" w:eastAsia="方正书宋_GBK"/>
                <w:szCs w:val="21"/>
              </w:rPr>
              <w:t>开展青少年教育活动次数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  <w:szCs w:val="21"/>
              </w:rPr>
            </w:pPr>
            <w:r>
              <w:rPr>
                <w:rFonts w:ascii="方正书宋_GBK" w:eastAsia="方正书宋_GBK"/>
                <w:szCs w:val="21"/>
              </w:rPr>
              <w:t>20</w:t>
            </w:r>
          </w:p>
        </w:tc>
      </w:tr>
    </w:tbl>
    <w:p>
      <w:pPr>
        <w:widowControl/>
        <w:spacing w:line="360" w:lineRule="auto"/>
        <w:rPr>
          <w:rFonts w:ascii="微软雅黑" w:hAnsi="微软雅黑" w:eastAsia="微软雅黑" w:cs="微软雅黑"/>
          <w:kern w:val="0"/>
          <w:sz w:val="24"/>
          <w:szCs w:val="24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 xml:space="preserve"> 六、政府采购预算情况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2018年，我单位安排政府采购预算1万元。具体内容见下表。</w:t>
      </w:r>
    </w:p>
    <w:p>
      <w:pPr>
        <w:spacing w:line="560" w:lineRule="exact"/>
        <w:jc w:val="center"/>
        <w:outlineLvl w:val="0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部门政府采购预算</w:t>
      </w:r>
    </w:p>
    <w:tbl>
      <w:tblPr>
        <w:tblStyle w:val="6"/>
        <w:tblW w:w="1174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4"/>
        <w:gridCol w:w="667"/>
        <w:gridCol w:w="549"/>
        <w:gridCol w:w="873"/>
        <w:gridCol w:w="549"/>
        <w:gridCol w:w="549"/>
        <w:gridCol w:w="564"/>
        <w:gridCol w:w="562"/>
        <w:gridCol w:w="858"/>
        <w:gridCol w:w="709"/>
        <w:gridCol w:w="709"/>
        <w:gridCol w:w="709"/>
        <w:gridCol w:w="850"/>
        <w:gridCol w:w="65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6695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小标宋_GBK"/>
                <w:sz w:val="24"/>
                <w:szCs w:val="24"/>
              </w:rPr>
              <w:t>287成安县老干部局</w:t>
            </w:r>
          </w:p>
        </w:tc>
        <w:tc>
          <w:tcPr>
            <w:tcW w:w="5054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书宋_GBK"/>
                <w:sz w:val="24"/>
                <w:szCs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611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政府采购项目来源</w:t>
            </w: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采购物品名称</w:t>
            </w:r>
          </w:p>
        </w:tc>
        <w:tc>
          <w:tcPr>
            <w:tcW w:w="873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政府采购目录序号</w:t>
            </w: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数量单位</w:t>
            </w: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</w:p>
        </w:tc>
        <w:tc>
          <w:tcPr>
            <w:tcW w:w="564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单价</w:t>
            </w:r>
          </w:p>
        </w:tc>
        <w:tc>
          <w:tcPr>
            <w:tcW w:w="5054" w:type="dxa"/>
            <w:gridSpan w:val="7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944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项目名称</w:t>
            </w:r>
          </w:p>
        </w:tc>
        <w:tc>
          <w:tcPr>
            <w:tcW w:w="667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预算资金</w:t>
            </w: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73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4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总计</w:t>
            </w:r>
          </w:p>
        </w:tc>
        <w:tc>
          <w:tcPr>
            <w:tcW w:w="3835" w:type="dxa"/>
            <w:gridSpan w:val="5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当年部门预算安排资金</w:t>
            </w:r>
          </w:p>
        </w:tc>
        <w:tc>
          <w:tcPr>
            <w:tcW w:w="657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其他渠道资金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944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73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4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5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合计</w:t>
            </w:r>
          </w:p>
        </w:tc>
        <w:tc>
          <w:tcPr>
            <w:tcW w:w="709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一般公共预算拨款</w:t>
            </w:r>
          </w:p>
        </w:tc>
        <w:tc>
          <w:tcPr>
            <w:tcW w:w="709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基金预算拨款</w:t>
            </w:r>
          </w:p>
        </w:tc>
        <w:tc>
          <w:tcPr>
            <w:tcW w:w="709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财政专户核拨</w:t>
            </w:r>
          </w:p>
        </w:tc>
        <w:tc>
          <w:tcPr>
            <w:tcW w:w="850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其他来源收入</w:t>
            </w:r>
          </w:p>
        </w:tc>
        <w:tc>
          <w:tcPr>
            <w:tcW w:w="657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4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　计</w:t>
            </w: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1.0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2</w:t>
            </w:r>
          </w:p>
        </w:tc>
        <w:tc>
          <w:tcPr>
            <w:tcW w:w="564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0.5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1.0</w:t>
            </w:r>
          </w:p>
        </w:tc>
        <w:tc>
          <w:tcPr>
            <w:tcW w:w="858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1.0</w:t>
            </w:r>
          </w:p>
        </w:tc>
        <w:tc>
          <w:tcPr>
            <w:tcW w:w="709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1.0</w:t>
            </w:r>
          </w:p>
        </w:tc>
        <w:tc>
          <w:tcPr>
            <w:tcW w:w="709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</w:t>
            </w:r>
          </w:p>
        </w:tc>
        <w:tc>
          <w:tcPr>
            <w:tcW w:w="709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</w:t>
            </w:r>
          </w:p>
        </w:tc>
        <w:tc>
          <w:tcPr>
            <w:tcW w:w="65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0</w:t>
            </w:r>
          </w:p>
        </w:tc>
      </w:tr>
    </w:tbl>
    <w:p>
      <w:pPr>
        <w:widowControl/>
        <w:spacing w:line="360" w:lineRule="auto"/>
        <w:ind w:firstLine="640" w:firstLineChars="200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七、国有资产信息</w:t>
      </w:r>
    </w:p>
    <w:p>
      <w:pPr>
        <w:widowControl/>
        <w:spacing w:line="360" w:lineRule="auto"/>
        <w:ind w:firstLine="640" w:firstLineChars="200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成安县老干部局（含所属单位）上年末固定资产金额为184.43万元。其中：房屋价值50万元，车辆价值15万元，其它资产土地、办公用电脑、办公家具、专用设备等价值119.43万元。2018年我单位拟购置固定资产1万元。详见下表。</w:t>
      </w:r>
    </w:p>
    <w:tbl>
      <w:tblPr>
        <w:tblStyle w:val="6"/>
        <w:tblW w:w="90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9"/>
        <w:gridCol w:w="1073"/>
        <w:gridCol w:w="38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编制部门：成安县老干部局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ind w:firstLine="550" w:firstLineChars="250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截止时间：</w:t>
            </w:r>
            <w:r>
              <w:rPr>
                <w:rFonts w:ascii="宋体" w:hAnsi="宋体" w:eastAsia="宋体" w:cs="宋体"/>
                <w:kern w:val="0"/>
                <w:sz w:val="22"/>
              </w:rPr>
              <w:t>201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7年</w:t>
            </w:r>
            <w:r>
              <w:rPr>
                <w:rFonts w:ascii="宋体" w:hAnsi="宋体" w:eastAsia="宋体" w:cs="宋体"/>
                <w:kern w:val="0"/>
                <w:sz w:val="22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月</w:t>
            </w:r>
            <w:r>
              <w:rPr>
                <w:rFonts w:ascii="宋体" w:hAnsi="宋体" w:eastAsia="宋体" w:cs="宋体"/>
                <w:kern w:val="0"/>
                <w:sz w:val="22"/>
              </w:rPr>
              <w:t>31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项目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3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价值（金额单位：万元）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资产总额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——</w:t>
            </w:r>
          </w:p>
        </w:tc>
        <w:tc>
          <w:tcPr>
            <w:tcW w:w="3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、房屋（平方米）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189.23</w:t>
            </w:r>
          </w:p>
        </w:tc>
        <w:tc>
          <w:tcPr>
            <w:tcW w:w="3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其中：办公用房（平方米）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189.23</w:t>
            </w:r>
          </w:p>
        </w:tc>
        <w:tc>
          <w:tcPr>
            <w:tcW w:w="3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、车辆（台、辆）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2</w:t>
            </w:r>
          </w:p>
        </w:tc>
        <w:tc>
          <w:tcPr>
            <w:tcW w:w="3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、单价在</w:t>
            </w:r>
            <w:r>
              <w:rPr>
                <w:rFonts w:ascii="宋体" w:hAnsi="宋体" w:eastAsia="宋体" w:cs="宋体"/>
                <w:kern w:val="0"/>
                <w:sz w:val="22"/>
              </w:rPr>
              <w:t>50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万元以上的设备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、其他固定资产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104.43</w:t>
            </w:r>
          </w:p>
        </w:tc>
      </w:tr>
    </w:tbl>
    <w:p>
      <w:pPr>
        <w:widowControl/>
        <w:spacing w:line="360" w:lineRule="auto"/>
        <w:rPr>
          <w:rFonts w:ascii="黑体" w:hAnsi="黑体" w:eastAsia="黑体" w:cs="微软雅黑"/>
          <w:kern w:val="0"/>
          <w:sz w:val="24"/>
          <w:szCs w:val="24"/>
        </w:rPr>
      </w:pPr>
      <w:r>
        <w:rPr>
          <w:rFonts w:hint="eastAsia" w:ascii="黑体" w:hAnsi="黑体" w:eastAsia="黑体" w:cs="仿宋_GB2312"/>
          <w:kern w:val="0"/>
          <w:sz w:val="32"/>
          <w:szCs w:val="32"/>
        </w:rPr>
        <w:t xml:space="preserve">    八、</w:t>
      </w:r>
      <w:r>
        <w:rPr>
          <w:rFonts w:hint="eastAsia" w:ascii="黑体" w:hAnsi="黑体" w:eastAsia="黑体" w:cs="仿宋"/>
          <w:kern w:val="0"/>
          <w:sz w:val="32"/>
          <w:szCs w:val="32"/>
        </w:rPr>
        <w:t>名词解释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1、财政拨款收入：指财政当年拨付的资金。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</w:t>
      </w:r>
      <w:r>
        <w:rPr>
          <w:rFonts w:hint="eastAsia" w:ascii="仿宋" w:hAnsi="仿宋" w:eastAsia="仿宋" w:cs="Times New Roman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Times New Roman"/>
          <w:sz w:val="32"/>
          <w:szCs w:val="32"/>
        </w:rPr>
        <w:t>支出，公务用车指用于履行公务的机动车辆，包括领导干部专车、一般公务用车和执法执勤等业务用车。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3、年初结转和结余：指以前年度尚未完成，结转到本年仍按照原规定用途继续使用的资金，或项目已完成等产生的结余资金。 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4、基本支出：指单位为了保障其正常运转、完成日常工作任务而发生的人员支出和公用支出。 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5、项目支出：指单位为了特定的工作任务和事业发展目标，在基本支出之外所发生的支出。</w:t>
      </w:r>
    </w:p>
    <w:p>
      <w:pPr>
        <w:widowControl/>
        <w:spacing w:line="360" w:lineRule="auto"/>
        <w:ind w:firstLine="640" w:firstLineChars="200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无其它需要说明的事项。</w:t>
      </w:r>
    </w:p>
    <w:p>
      <w:pPr>
        <w:widowControl/>
        <w:spacing w:line="360" w:lineRule="auto"/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>
      <w:pPr>
        <w:widowControl/>
        <w:spacing w:line="360" w:lineRule="auto"/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sectPr>
      <w:headerReference r:id="rId3" w:type="default"/>
      <w:pgSz w:w="16839" w:h="11907" w:orient="landscape"/>
      <w:pgMar w:top="1134" w:right="1021" w:bottom="1134" w:left="1021" w:header="851" w:footer="992" w:gutter="0"/>
      <w:cols w:space="0" w:num="1"/>
      <w:docGrid w:type="linesAndChar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07B6C5"/>
    <w:multiLevelType w:val="singleLevel"/>
    <w:tmpl w:val="5A07B6C5"/>
    <w:lvl w:ilvl="0" w:tentative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Y3NTAzODIxMDQ3YzJhN2U0ZTRlMzE5ZTUwMGYxMWMifQ=="/>
  </w:docVars>
  <w:rsids>
    <w:rsidRoot w:val="00E810D6"/>
    <w:rsid w:val="000555BF"/>
    <w:rsid w:val="000E68B4"/>
    <w:rsid w:val="001026CB"/>
    <w:rsid w:val="001F1D8A"/>
    <w:rsid w:val="0024025E"/>
    <w:rsid w:val="002E3A95"/>
    <w:rsid w:val="003D7AC0"/>
    <w:rsid w:val="004D0853"/>
    <w:rsid w:val="004D601A"/>
    <w:rsid w:val="004E5448"/>
    <w:rsid w:val="00597893"/>
    <w:rsid w:val="005D136A"/>
    <w:rsid w:val="0062621A"/>
    <w:rsid w:val="00685811"/>
    <w:rsid w:val="006D1C5B"/>
    <w:rsid w:val="00721D3E"/>
    <w:rsid w:val="00724F42"/>
    <w:rsid w:val="007A507B"/>
    <w:rsid w:val="007D6BF0"/>
    <w:rsid w:val="008058DC"/>
    <w:rsid w:val="008C67F6"/>
    <w:rsid w:val="008C7744"/>
    <w:rsid w:val="00996FEE"/>
    <w:rsid w:val="00A07D70"/>
    <w:rsid w:val="00B90FE4"/>
    <w:rsid w:val="00C567D0"/>
    <w:rsid w:val="00D60F31"/>
    <w:rsid w:val="00E05B6D"/>
    <w:rsid w:val="00E810D6"/>
    <w:rsid w:val="00EB2F6B"/>
    <w:rsid w:val="00FD00A5"/>
    <w:rsid w:val="013B67CD"/>
    <w:rsid w:val="01B708D3"/>
    <w:rsid w:val="01C62B31"/>
    <w:rsid w:val="01CA412B"/>
    <w:rsid w:val="03711FB3"/>
    <w:rsid w:val="037D399A"/>
    <w:rsid w:val="03B213E5"/>
    <w:rsid w:val="06096D52"/>
    <w:rsid w:val="06550E5D"/>
    <w:rsid w:val="0726741C"/>
    <w:rsid w:val="08D34D69"/>
    <w:rsid w:val="09E50DB9"/>
    <w:rsid w:val="0B61175F"/>
    <w:rsid w:val="0BB759F9"/>
    <w:rsid w:val="0CBF7A43"/>
    <w:rsid w:val="0D207BF5"/>
    <w:rsid w:val="0DD22BC9"/>
    <w:rsid w:val="0DD4180B"/>
    <w:rsid w:val="0F963B8D"/>
    <w:rsid w:val="130B706D"/>
    <w:rsid w:val="139106CF"/>
    <w:rsid w:val="13DE0FA8"/>
    <w:rsid w:val="13F23D04"/>
    <w:rsid w:val="155E2905"/>
    <w:rsid w:val="15D7335E"/>
    <w:rsid w:val="163506CD"/>
    <w:rsid w:val="17252863"/>
    <w:rsid w:val="174C6B0F"/>
    <w:rsid w:val="175940C0"/>
    <w:rsid w:val="17C16AC9"/>
    <w:rsid w:val="180D78B9"/>
    <w:rsid w:val="1AEF7278"/>
    <w:rsid w:val="1B2A5EA4"/>
    <w:rsid w:val="1C930AFD"/>
    <w:rsid w:val="1CC97251"/>
    <w:rsid w:val="1CEB0A1C"/>
    <w:rsid w:val="1E8167C1"/>
    <w:rsid w:val="1EAA0AE1"/>
    <w:rsid w:val="207D437B"/>
    <w:rsid w:val="21054102"/>
    <w:rsid w:val="21364024"/>
    <w:rsid w:val="21B66276"/>
    <w:rsid w:val="228819EE"/>
    <w:rsid w:val="22C34BF4"/>
    <w:rsid w:val="24B90D67"/>
    <w:rsid w:val="2716314B"/>
    <w:rsid w:val="288A4B30"/>
    <w:rsid w:val="28B71FCD"/>
    <w:rsid w:val="28E516DB"/>
    <w:rsid w:val="299267B6"/>
    <w:rsid w:val="2AD57C75"/>
    <w:rsid w:val="2BAA47A7"/>
    <w:rsid w:val="2DCE40BA"/>
    <w:rsid w:val="2E066AE5"/>
    <w:rsid w:val="2E2777CE"/>
    <w:rsid w:val="2EE04A84"/>
    <w:rsid w:val="31CC4B1E"/>
    <w:rsid w:val="31D059F4"/>
    <w:rsid w:val="332A0BBD"/>
    <w:rsid w:val="3387759D"/>
    <w:rsid w:val="348556E3"/>
    <w:rsid w:val="351C5D1D"/>
    <w:rsid w:val="36A11BA8"/>
    <w:rsid w:val="36DF5EE5"/>
    <w:rsid w:val="383F0C9B"/>
    <w:rsid w:val="38963AA1"/>
    <w:rsid w:val="39461E7C"/>
    <w:rsid w:val="39A75722"/>
    <w:rsid w:val="3B20266F"/>
    <w:rsid w:val="3B6E7B6E"/>
    <w:rsid w:val="3BEF2191"/>
    <w:rsid w:val="3C712CD5"/>
    <w:rsid w:val="3CEC5D53"/>
    <w:rsid w:val="3F41644A"/>
    <w:rsid w:val="441C57E9"/>
    <w:rsid w:val="44240E6E"/>
    <w:rsid w:val="44986D47"/>
    <w:rsid w:val="456A5D0D"/>
    <w:rsid w:val="4570613C"/>
    <w:rsid w:val="457C0C14"/>
    <w:rsid w:val="45B90BF3"/>
    <w:rsid w:val="460143F1"/>
    <w:rsid w:val="464F2AC2"/>
    <w:rsid w:val="475B18CD"/>
    <w:rsid w:val="47673CF0"/>
    <w:rsid w:val="484B3E71"/>
    <w:rsid w:val="4A4F1F05"/>
    <w:rsid w:val="4B7040C7"/>
    <w:rsid w:val="4CA957E7"/>
    <w:rsid w:val="4D9730D4"/>
    <w:rsid w:val="4E4335D2"/>
    <w:rsid w:val="50B4491A"/>
    <w:rsid w:val="5408769E"/>
    <w:rsid w:val="545B7094"/>
    <w:rsid w:val="55C032CA"/>
    <w:rsid w:val="56F44E48"/>
    <w:rsid w:val="58530C72"/>
    <w:rsid w:val="59AF56D7"/>
    <w:rsid w:val="5B2B3FCD"/>
    <w:rsid w:val="5B606865"/>
    <w:rsid w:val="5B910920"/>
    <w:rsid w:val="5BAE356C"/>
    <w:rsid w:val="5CB07A05"/>
    <w:rsid w:val="5ED17601"/>
    <w:rsid w:val="5FD704B3"/>
    <w:rsid w:val="6081225A"/>
    <w:rsid w:val="612F2391"/>
    <w:rsid w:val="61897173"/>
    <w:rsid w:val="62D15162"/>
    <w:rsid w:val="63145C23"/>
    <w:rsid w:val="63F21B1B"/>
    <w:rsid w:val="65493192"/>
    <w:rsid w:val="666C26EF"/>
    <w:rsid w:val="67FE2396"/>
    <w:rsid w:val="69AC00E1"/>
    <w:rsid w:val="6B511389"/>
    <w:rsid w:val="6B6F5A30"/>
    <w:rsid w:val="6D567FC8"/>
    <w:rsid w:val="6D5763C1"/>
    <w:rsid w:val="6D81148F"/>
    <w:rsid w:val="6D965CD0"/>
    <w:rsid w:val="6E8006EE"/>
    <w:rsid w:val="6ECC4D84"/>
    <w:rsid w:val="705F165C"/>
    <w:rsid w:val="70BA2DA1"/>
    <w:rsid w:val="71B87B2B"/>
    <w:rsid w:val="729B4F6A"/>
    <w:rsid w:val="733E01F4"/>
    <w:rsid w:val="7424079F"/>
    <w:rsid w:val="74D4598A"/>
    <w:rsid w:val="76FD3FC3"/>
    <w:rsid w:val="79724BB0"/>
    <w:rsid w:val="7AA5545A"/>
    <w:rsid w:val="7BAA5900"/>
    <w:rsid w:val="7C1B576D"/>
    <w:rsid w:val="7D9A3104"/>
    <w:rsid w:val="7DB94919"/>
    <w:rsid w:val="7EF07D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列出段落1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8</Pages>
  <Words>2491</Words>
  <Characters>2653</Characters>
  <Lines>20</Lines>
  <Paragraphs>5</Paragraphs>
  <TotalTime>6</TotalTime>
  <ScaleCrop>false</ScaleCrop>
  <LinksUpToDate>false</LinksUpToDate>
  <CharactersWithSpaces>2681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2025-10-29T03:07:00Z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E30C6B08B6794E2EB1EA0062F704448B</vt:lpwstr>
  </property>
</Properties>
</file>