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110D0EF">
      <w:pPr>
        <w:widowControl/>
        <w:spacing w:line="360" w:lineRule="auto"/>
        <w:jc w:val="center"/>
        <w:rPr>
          <w:rFonts w:hint="eastAsia" w:cs="仿宋_GB2312" w:asciiTheme="majorEastAsia" w:hAnsiTheme="majorEastAsia" w:eastAsiaTheme="majorEastAsia"/>
          <w:b/>
          <w:sz w:val="44"/>
          <w:szCs w:val="44"/>
        </w:rPr>
      </w:pPr>
    </w:p>
    <w:p w14:paraId="26B23447">
      <w:pPr>
        <w:widowControl/>
        <w:spacing w:line="360" w:lineRule="auto"/>
        <w:jc w:val="center"/>
        <w:rPr>
          <w:rFonts w:hint="eastAsia" w:cs="仿宋_GB2312" w:asciiTheme="majorEastAsia" w:hAnsiTheme="majorEastAsia" w:eastAsiaTheme="majorEastAsia"/>
          <w:b/>
          <w:sz w:val="44"/>
          <w:szCs w:val="44"/>
        </w:rPr>
      </w:pPr>
      <w:r>
        <w:rPr>
          <w:rFonts w:hint="eastAsia" w:cs="仿宋_GB2312" w:asciiTheme="majorEastAsia" w:hAnsiTheme="majorEastAsia" w:eastAsiaTheme="majorEastAsia"/>
          <w:b/>
          <w:sz w:val="44"/>
          <w:szCs w:val="44"/>
        </w:rPr>
        <w:t>成安县工商业联合会</w:t>
      </w:r>
      <w:r>
        <w:rPr>
          <w:rFonts w:hint="eastAsia" w:cs="仿宋_GB2312" w:asciiTheme="majorEastAsia" w:hAnsiTheme="majorEastAsia" w:eastAsiaTheme="majorEastAsia"/>
          <w:b/>
          <w:sz w:val="44"/>
          <w:szCs w:val="44"/>
          <w:lang w:eastAsia="zh-CN"/>
        </w:rPr>
        <w:t>2018</w:t>
      </w:r>
      <w:r>
        <w:rPr>
          <w:rFonts w:hint="eastAsia" w:cs="仿宋_GB2312" w:asciiTheme="majorEastAsia" w:hAnsiTheme="majorEastAsia" w:eastAsiaTheme="majorEastAsia"/>
          <w:b/>
          <w:sz w:val="44"/>
          <w:szCs w:val="44"/>
        </w:rPr>
        <w:t>年部门预算公开</w:t>
      </w:r>
    </w:p>
    <w:p w14:paraId="3A87069B">
      <w:pPr>
        <w:widowControl/>
        <w:spacing w:line="360" w:lineRule="auto"/>
        <w:jc w:val="center"/>
        <w:rPr>
          <w:rFonts w:cs="仿宋_GB2312" w:asciiTheme="majorEastAsia" w:hAnsiTheme="majorEastAsia" w:eastAsiaTheme="majorEastAsia"/>
          <w:b/>
          <w:sz w:val="44"/>
          <w:szCs w:val="44"/>
        </w:rPr>
      </w:pPr>
      <w:r>
        <w:rPr>
          <w:rFonts w:hint="eastAsia" w:cs="仿宋_GB2312" w:asciiTheme="majorEastAsia" w:hAnsiTheme="majorEastAsia" w:eastAsiaTheme="majorEastAsia"/>
          <w:b/>
          <w:sz w:val="44"/>
          <w:szCs w:val="44"/>
        </w:rPr>
        <w:t>情况说明</w:t>
      </w:r>
    </w:p>
    <w:p w14:paraId="0458FA99">
      <w:pPr>
        <w:widowControl/>
        <w:spacing w:line="360" w:lineRule="auto"/>
        <w:ind w:firstLine="640" w:firstLineChars="200"/>
        <w:jc w:val="left"/>
        <w:rPr>
          <w:rFonts w:hint="eastAsia" w:ascii="仿宋_GB2312" w:hAnsi="Calibri" w:eastAsia="仿宋_GB2312" w:cs="仿宋_GB2312"/>
          <w:sz w:val="32"/>
          <w:szCs w:val="32"/>
        </w:rPr>
      </w:pPr>
    </w:p>
    <w:p w14:paraId="08B0986E">
      <w:pPr>
        <w:widowControl/>
        <w:spacing w:line="360" w:lineRule="auto"/>
        <w:ind w:firstLine="640" w:firstLineChars="200"/>
        <w:jc w:val="left"/>
        <w:rPr>
          <w:rFonts w:ascii="仿宋_GB2312" w:hAnsi="Calibri" w:eastAsia="仿宋_GB2312" w:cs="仿宋_GB2312"/>
          <w:kern w:val="0"/>
          <w:sz w:val="32"/>
          <w:szCs w:val="32"/>
        </w:rPr>
      </w:pPr>
      <w:r>
        <w:rPr>
          <w:rFonts w:hint="eastAsia" w:ascii="仿宋_GB2312" w:hAnsi="Calibri" w:eastAsia="仿宋_GB2312" w:cs="仿宋_GB2312"/>
          <w:sz w:val="32"/>
          <w:szCs w:val="32"/>
        </w:rPr>
        <w:t>按照《预算法》有关规定和</w:t>
      </w:r>
      <w:r>
        <w:rPr>
          <w:rFonts w:hint="eastAsia" w:ascii="仿宋_GB2312" w:hAnsi="宋体" w:eastAsia="仿宋_GB2312" w:cs="楷体_GB2312"/>
          <w:sz w:val="32"/>
          <w:szCs w:val="32"/>
        </w:rPr>
        <w:t>财政部关于印发《地方预决算公开操作规程》的通知，</w:t>
      </w:r>
      <w:r>
        <w:rPr>
          <w:rFonts w:hint="eastAsia" w:ascii="仿宋_GB2312" w:hAnsi="Calibri" w:eastAsia="仿宋_GB2312" w:cs="仿宋_GB2312"/>
          <w:kern w:val="0"/>
          <w:sz w:val="32"/>
          <w:szCs w:val="32"/>
        </w:rPr>
        <w:t>现将成安县工商业联合会</w:t>
      </w:r>
      <w:r>
        <w:rPr>
          <w:rFonts w:hint="eastAsia" w:ascii="仿宋_GB2312" w:hAnsi="Calibri" w:eastAsia="仿宋_GB2312" w:cs="仿宋_GB2312"/>
          <w:kern w:val="0"/>
          <w:sz w:val="32"/>
          <w:szCs w:val="32"/>
          <w:lang w:eastAsia="zh-CN"/>
        </w:rPr>
        <w:t>2018</w:t>
      </w:r>
      <w:r>
        <w:rPr>
          <w:rFonts w:hint="eastAsia" w:ascii="仿宋_GB2312" w:hAnsi="Calibri" w:eastAsia="仿宋_GB2312" w:cs="仿宋_GB2312"/>
          <w:kern w:val="0"/>
          <w:sz w:val="32"/>
          <w:szCs w:val="32"/>
        </w:rPr>
        <w:t>年部门预算公开如下：</w:t>
      </w:r>
    </w:p>
    <w:p w14:paraId="42D365EE">
      <w:pPr>
        <w:widowControl/>
        <w:spacing w:line="360" w:lineRule="auto"/>
        <w:ind w:firstLine="643" w:firstLineChars="200"/>
        <w:jc w:val="left"/>
        <w:rPr>
          <w:rFonts w:ascii="Calibri" w:hAnsi="Calibri" w:eastAsia="仿宋_GB2312" w:cs="Calibri"/>
          <w:b/>
          <w:kern w:val="0"/>
          <w:sz w:val="32"/>
          <w:szCs w:val="32"/>
        </w:rPr>
      </w:pPr>
      <w:r>
        <w:rPr>
          <w:rFonts w:hint="eastAsia" w:ascii="仿宋_GB2312" w:hAnsi="Calibri" w:eastAsia="仿宋_GB2312" w:cs="仿宋_GB2312"/>
          <w:b/>
          <w:kern w:val="0"/>
          <w:sz w:val="32"/>
          <w:szCs w:val="32"/>
        </w:rPr>
        <w:t>一、</w:t>
      </w:r>
      <w:r>
        <w:rPr>
          <w:rFonts w:hint="eastAsia" w:ascii="Calibri" w:hAnsi="Calibri" w:eastAsia="仿宋_GB2312" w:cs="Calibri"/>
          <w:b/>
          <w:kern w:val="0"/>
          <w:sz w:val="32"/>
          <w:szCs w:val="32"/>
        </w:rPr>
        <w:t>部门职责及机构设置情况</w:t>
      </w:r>
    </w:p>
    <w:p w14:paraId="42FC8D97">
      <w:pPr>
        <w:widowControl/>
        <w:spacing w:line="360" w:lineRule="auto"/>
        <w:ind w:firstLine="640" w:firstLineChars="200"/>
        <w:jc w:val="left"/>
        <w:rPr>
          <w:rFonts w:ascii="仿宋_GB2312" w:hAnsi="Calibri" w:eastAsia="仿宋_GB2312" w:cs="仿宋_GB2312"/>
          <w:kern w:val="0"/>
          <w:sz w:val="32"/>
          <w:szCs w:val="32"/>
        </w:rPr>
      </w:pPr>
      <w:r>
        <w:rPr>
          <w:rFonts w:hint="eastAsia" w:ascii="仿宋_GB2312" w:hAnsi="Calibri" w:eastAsia="仿宋_GB2312" w:cs="仿宋_GB2312"/>
          <w:kern w:val="0"/>
          <w:sz w:val="32"/>
          <w:szCs w:val="32"/>
        </w:rPr>
        <w:t>（一）加强和改进非公有制经济人士思想政治工作。</w:t>
      </w:r>
    </w:p>
    <w:p w14:paraId="35583CB9">
      <w:pPr>
        <w:widowControl/>
        <w:spacing w:line="360" w:lineRule="auto"/>
        <w:ind w:firstLine="640" w:firstLineChars="200"/>
        <w:jc w:val="left"/>
        <w:rPr>
          <w:rFonts w:ascii="仿宋_GB2312" w:hAnsi="Calibri" w:eastAsia="仿宋_GB2312" w:cs="仿宋_GB2312"/>
          <w:kern w:val="0"/>
          <w:sz w:val="32"/>
          <w:szCs w:val="32"/>
        </w:rPr>
      </w:pPr>
      <w:r>
        <w:rPr>
          <w:rFonts w:hint="eastAsia" w:ascii="仿宋_GB2312" w:hAnsi="Calibri" w:eastAsia="仿宋_GB2312" w:cs="仿宋_GB2312"/>
          <w:kern w:val="0"/>
          <w:sz w:val="32"/>
          <w:szCs w:val="32"/>
        </w:rPr>
        <w:t>（二）参与政治协商，发挥民主监督作用，积极参政议政。</w:t>
      </w:r>
    </w:p>
    <w:p w14:paraId="0A45391E">
      <w:pPr>
        <w:widowControl/>
        <w:spacing w:line="360" w:lineRule="auto"/>
        <w:ind w:firstLine="640" w:firstLineChars="200"/>
        <w:jc w:val="left"/>
        <w:rPr>
          <w:rFonts w:ascii="仿宋_GB2312" w:hAnsi="Calibri" w:eastAsia="仿宋_GB2312" w:cs="仿宋_GB2312"/>
          <w:kern w:val="0"/>
          <w:sz w:val="32"/>
          <w:szCs w:val="32"/>
        </w:rPr>
      </w:pPr>
      <w:r>
        <w:rPr>
          <w:rFonts w:hint="eastAsia" w:ascii="仿宋_GB2312" w:hAnsi="Calibri" w:eastAsia="仿宋_GB2312" w:cs="仿宋_GB2312"/>
          <w:kern w:val="0"/>
          <w:sz w:val="32"/>
          <w:szCs w:val="32"/>
        </w:rPr>
        <w:t>（三）协助政府管理和服务非公有制经济。</w:t>
      </w:r>
    </w:p>
    <w:p w14:paraId="28836892">
      <w:pPr>
        <w:widowControl/>
        <w:spacing w:line="360" w:lineRule="auto"/>
        <w:ind w:firstLine="640" w:firstLineChars="200"/>
        <w:jc w:val="left"/>
        <w:rPr>
          <w:rFonts w:ascii="仿宋_GB2312" w:hAnsi="Calibri" w:eastAsia="仿宋_GB2312" w:cs="仿宋_GB2312"/>
          <w:kern w:val="0"/>
          <w:sz w:val="32"/>
          <w:szCs w:val="32"/>
        </w:rPr>
      </w:pPr>
      <w:r>
        <w:rPr>
          <w:rFonts w:hint="eastAsia" w:ascii="仿宋_GB2312" w:hAnsi="Calibri" w:eastAsia="仿宋_GB2312" w:cs="仿宋_GB2312"/>
          <w:kern w:val="0"/>
          <w:sz w:val="32"/>
          <w:szCs w:val="32"/>
        </w:rPr>
        <w:t>（四）促进行业协会商会改革发展。</w:t>
      </w:r>
    </w:p>
    <w:p w14:paraId="1A5832C0">
      <w:pPr>
        <w:widowControl/>
        <w:spacing w:line="360" w:lineRule="auto"/>
        <w:ind w:firstLine="640" w:firstLineChars="200"/>
        <w:jc w:val="left"/>
        <w:rPr>
          <w:rFonts w:ascii="仿宋_GB2312" w:hAnsi="Calibri" w:eastAsia="仿宋_GB2312" w:cs="仿宋_GB2312"/>
          <w:kern w:val="0"/>
          <w:sz w:val="32"/>
          <w:szCs w:val="32"/>
        </w:rPr>
      </w:pPr>
      <w:r>
        <w:rPr>
          <w:rFonts w:hint="eastAsia" w:ascii="仿宋_GB2312" w:hAnsi="Calibri" w:eastAsia="仿宋_GB2312" w:cs="仿宋_GB2312"/>
          <w:kern w:val="0"/>
          <w:sz w:val="32"/>
          <w:szCs w:val="32"/>
        </w:rPr>
        <w:t>（五）参与协调劳动关系，促进社会和谐稳定。</w:t>
      </w:r>
    </w:p>
    <w:p w14:paraId="0CF2D6DC">
      <w:pPr>
        <w:widowControl/>
        <w:spacing w:line="360" w:lineRule="auto"/>
        <w:ind w:firstLine="640" w:firstLineChars="200"/>
        <w:jc w:val="left"/>
        <w:rPr>
          <w:rFonts w:ascii="仿宋_GB2312" w:hAnsi="Calibri" w:eastAsia="仿宋_GB2312" w:cs="仿宋_GB2312"/>
          <w:kern w:val="0"/>
          <w:sz w:val="32"/>
          <w:szCs w:val="32"/>
        </w:rPr>
      </w:pPr>
      <w:r>
        <w:rPr>
          <w:rFonts w:hint="eastAsia" w:ascii="仿宋_GB2312" w:hAnsi="Calibri" w:eastAsia="仿宋_GB2312" w:cs="仿宋_GB2312"/>
          <w:kern w:val="0"/>
          <w:sz w:val="32"/>
          <w:szCs w:val="32"/>
        </w:rPr>
        <w:t>（六）代表并维护会员的合法权益，反映会员的意见、要求和建议，参与经济纠纷的调解、仲裁。</w:t>
      </w:r>
    </w:p>
    <w:p w14:paraId="52A8069B">
      <w:pPr>
        <w:pStyle w:val="10"/>
        <w:widowControl/>
        <w:numPr>
          <w:ilvl w:val="0"/>
          <w:numId w:val="1"/>
        </w:numPr>
        <w:spacing w:line="360" w:lineRule="auto"/>
        <w:ind w:firstLineChars="0"/>
        <w:jc w:val="left"/>
        <w:rPr>
          <w:rFonts w:ascii="仿宋_GB2312" w:hAnsi="Calibri" w:eastAsia="仿宋_GB2312" w:cs="仿宋_GB2312"/>
          <w:kern w:val="0"/>
          <w:sz w:val="32"/>
          <w:szCs w:val="32"/>
        </w:rPr>
      </w:pPr>
      <w:r>
        <w:rPr>
          <w:rFonts w:hint="eastAsia" w:ascii="仿宋_GB2312" w:hAnsi="Calibri" w:eastAsia="仿宋_GB2312" w:cs="仿宋_GB2312"/>
          <w:kern w:val="0"/>
          <w:sz w:val="32"/>
          <w:szCs w:val="32"/>
        </w:rPr>
        <w:t>承办县委、县政府交办的其他事项。</w:t>
      </w:r>
    </w:p>
    <w:p w14:paraId="28558468">
      <w:pPr>
        <w:widowControl/>
        <w:spacing w:line="360" w:lineRule="auto"/>
        <w:ind w:left="640"/>
        <w:jc w:val="left"/>
        <w:rPr>
          <w:rFonts w:ascii="仿宋_GB2312" w:hAnsi="Calibri" w:eastAsia="仿宋_GB2312" w:cs="仿宋_GB2312"/>
          <w:b/>
          <w:kern w:val="0"/>
          <w:sz w:val="32"/>
          <w:szCs w:val="32"/>
        </w:rPr>
      </w:pPr>
      <w:r>
        <w:rPr>
          <w:rFonts w:hint="eastAsia" w:ascii="仿宋_GB2312" w:hAnsi="Calibri" w:eastAsia="仿宋_GB2312" w:cs="Calibri"/>
          <w:b/>
          <w:kern w:val="0"/>
          <w:sz w:val="32"/>
          <w:szCs w:val="32"/>
        </w:rPr>
        <w:t>内设机构及职责</w:t>
      </w:r>
    </w:p>
    <w:p w14:paraId="472CBF9C">
      <w:pPr>
        <w:widowControl/>
        <w:spacing w:line="360" w:lineRule="auto"/>
        <w:ind w:firstLine="640" w:firstLineChars="200"/>
        <w:jc w:val="left"/>
        <w:rPr>
          <w:rFonts w:ascii="仿宋_GB2312" w:hAnsi="仿宋" w:eastAsia="仿宋_GB2312" w:cs="仿宋"/>
          <w:bCs/>
          <w:kern w:val="0"/>
          <w:sz w:val="32"/>
          <w:szCs w:val="32"/>
        </w:rPr>
      </w:pPr>
      <w:r>
        <w:rPr>
          <w:rFonts w:hint="eastAsia" w:ascii="仿宋_GB2312" w:hAnsi="仿宋" w:eastAsia="仿宋_GB2312" w:cs="仿宋"/>
          <w:bCs/>
          <w:kern w:val="0"/>
          <w:sz w:val="32"/>
          <w:szCs w:val="32"/>
        </w:rPr>
        <w:t>成安县工商联，预算编码是547，</w:t>
      </w:r>
      <w:r>
        <w:rPr>
          <w:rFonts w:hint="eastAsia" w:ascii="仿宋_GB2312" w:hAnsi="Calibri" w:eastAsia="仿宋_GB2312" w:cs="仿宋_GB2312"/>
          <w:kern w:val="0"/>
          <w:sz w:val="32"/>
          <w:szCs w:val="32"/>
        </w:rPr>
        <w:t>包含一个二级预算单位：547002成安县工商联机关。</w:t>
      </w:r>
      <w:r>
        <w:rPr>
          <w:rFonts w:hint="eastAsia" w:ascii="仿宋_GB2312" w:hAnsi="仿宋" w:eastAsia="仿宋_GB2312" w:cs="仿宋"/>
          <w:bCs/>
          <w:kern w:val="0"/>
          <w:sz w:val="32"/>
          <w:szCs w:val="32"/>
        </w:rPr>
        <w:t>内设0个内部机构。</w:t>
      </w:r>
    </w:p>
    <w:p w14:paraId="1BF3F8D0">
      <w:pPr>
        <w:widowControl/>
        <w:spacing w:line="360" w:lineRule="auto"/>
        <w:ind w:firstLine="640" w:firstLineChars="200"/>
        <w:jc w:val="left"/>
        <w:rPr>
          <w:rFonts w:ascii="仿宋" w:hAnsi="仿宋" w:eastAsia="仿宋" w:cs="宋体"/>
          <w:bCs/>
          <w:kern w:val="0"/>
          <w:sz w:val="32"/>
          <w:szCs w:val="32"/>
        </w:rPr>
      </w:pPr>
      <w:r>
        <w:rPr>
          <w:rFonts w:hint="eastAsia" w:ascii="仿宋" w:hAnsi="仿宋" w:eastAsia="仿宋" w:cs="宋体"/>
          <w:bCs/>
          <w:kern w:val="0"/>
          <w:sz w:val="32"/>
          <w:szCs w:val="32"/>
        </w:rPr>
        <w:t>人员编制和领导职数</w:t>
      </w:r>
    </w:p>
    <w:p w14:paraId="15859E4A">
      <w:pPr>
        <w:widowControl/>
        <w:spacing w:line="360" w:lineRule="auto"/>
        <w:ind w:firstLine="640" w:firstLineChars="200"/>
        <w:jc w:val="left"/>
        <w:rPr>
          <w:rFonts w:ascii="仿宋_GB2312" w:hAnsi="仿宋" w:eastAsia="仿宋_GB2312" w:cs="仿宋"/>
          <w:bCs/>
          <w:kern w:val="0"/>
          <w:sz w:val="32"/>
          <w:szCs w:val="32"/>
        </w:rPr>
      </w:pPr>
      <w:r>
        <w:rPr>
          <w:rFonts w:hint="eastAsia" w:ascii="仿宋_GB2312" w:hAnsi="仿宋" w:eastAsia="仿宋_GB2312" w:cs="仿宋"/>
          <w:bCs/>
          <w:kern w:val="0"/>
          <w:sz w:val="32"/>
          <w:szCs w:val="32"/>
        </w:rPr>
        <w:t>成安县工商联，人员编制2名，其中领导职数1个。</w:t>
      </w:r>
    </w:p>
    <w:p w14:paraId="59C42438">
      <w:pPr>
        <w:jc w:val="center"/>
        <w:outlineLvl w:val="0"/>
        <w:rPr>
          <w:rFonts w:hint="eastAsia" w:ascii="Times New Roman" w:hAnsi="Times New Roman" w:eastAsia="方正小标宋_GBK" w:cs="方正小标宋_GBK"/>
          <w:sz w:val="32"/>
          <w:szCs w:val="32"/>
        </w:rPr>
      </w:pPr>
    </w:p>
    <w:p w14:paraId="772C78F3">
      <w:pPr>
        <w:jc w:val="center"/>
        <w:outlineLvl w:val="0"/>
        <w:rPr>
          <w:rFonts w:ascii="Times New Roman" w:hAnsi="Times New Roman" w:eastAsia="方正小标宋_GBK" w:cs="Times New Roman"/>
          <w:sz w:val="32"/>
          <w:szCs w:val="32"/>
        </w:rPr>
      </w:pPr>
      <w:r>
        <w:rPr>
          <w:rFonts w:hint="eastAsia" w:ascii="Times New Roman" w:hAnsi="Times New Roman" w:eastAsia="方正小标宋_GBK" w:cs="方正小标宋_GBK"/>
          <w:sz w:val="32"/>
          <w:szCs w:val="32"/>
        </w:rPr>
        <w:t>部门机构设置情况</w:t>
      </w:r>
    </w:p>
    <w:tbl>
      <w:tblPr>
        <w:tblStyle w:val="6"/>
        <w:tblW w:w="8629" w:type="dxa"/>
        <w:jc w:val="center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317"/>
        <w:gridCol w:w="1134"/>
        <w:gridCol w:w="1276"/>
        <w:gridCol w:w="2902"/>
      </w:tblGrid>
      <w:tr w14:paraId="7958838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tblHeader/>
          <w:jc w:val="center"/>
        </w:trPr>
        <w:tc>
          <w:tcPr>
            <w:tcW w:w="3317" w:type="dxa"/>
            <w:vMerge w:val="restart"/>
            <w:vAlign w:val="center"/>
          </w:tcPr>
          <w:p w14:paraId="71EA28EA">
            <w:pPr>
              <w:spacing w:line="300" w:lineRule="exact"/>
              <w:jc w:val="center"/>
              <w:rPr>
                <w:rFonts w:ascii="Times New Roman" w:hAnsi="Times New Roman" w:eastAsia="方正书宋_GBK" w:cs="Times New Roman"/>
                <w:b/>
                <w:bCs/>
              </w:rPr>
            </w:pPr>
            <w:r>
              <w:rPr>
                <w:rFonts w:hint="eastAsia" w:ascii="Times New Roman" w:hAnsi="Times New Roman" w:eastAsia="方正书宋_GBK" w:cs="方正书宋_GBK"/>
                <w:b/>
                <w:bCs/>
              </w:rPr>
              <w:t>单位名称</w:t>
            </w:r>
          </w:p>
        </w:tc>
        <w:tc>
          <w:tcPr>
            <w:tcW w:w="1134" w:type="dxa"/>
            <w:vMerge w:val="restart"/>
            <w:vAlign w:val="center"/>
          </w:tcPr>
          <w:p w14:paraId="55F223BA">
            <w:pPr>
              <w:spacing w:line="300" w:lineRule="exact"/>
              <w:jc w:val="center"/>
              <w:rPr>
                <w:rFonts w:ascii="Times New Roman" w:hAnsi="Times New Roman" w:eastAsia="方正书宋_GBK" w:cs="Times New Roman"/>
                <w:b/>
                <w:bCs/>
              </w:rPr>
            </w:pPr>
            <w:r>
              <w:rPr>
                <w:rFonts w:hint="eastAsia" w:ascii="Times New Roman" w:hAnsi="Times New Roman" w:eastAsia="方正书宋_GBK" w:cs="方正书宋_GBK"/>
                <w:b/>
                <w:bCs/>
              </w:rPr>
              <w:t>单位性质</w:t>
            </w:r>
          </w:p>
        </w:tc>
        <w:tc>
          <w:tcPr>
            <w:tcW w:w="1276" w:type="dxa"/>
            <w:vMerge w:val="restart"/>
            <w:vAlign w:val="center"/>
          </w:tcPr>
          <w:p w14:paraId="2182DCBB">
            <w:pPr>
              <w:spacing w:line="300" w:lineRule="exact"/>
              <w:jc w:val="center"/>
              <w:rPr>
                <w:rFonts w:ascii="Times New Roman" w:hAnsi="Times New Roman" w:eastAsia="方正书宋_GBK" w:cs="Times New Roman"/>
                <w:b/>
                <w:bCs/>
              </w:rPr>
            </w:pPr>
            <w:r>
              <w:rPr>
                <w:rFonts w:hint="eastAsia" w:ascii="Times New Roman" w:hAnsi="Times New Roman" w:eastAsia="方正书宋_GBK" w:cs="方正书宋_GBK"/>
                <w:b/>
                <w:bCs/>
              </w:rPr>
              <w:t>单位规格</w:t>
            </w:r>
          </w:p>
        </w:tc>
        <w:tc>
          <w:tcPr>
            <w:tcW w:w="2902" w:type="dxa"/>
            <w:vMerge w:val="restart"/>
            <w:vAlign w:val="center"/>
          </w:tcPr>
          <w:p w14:paraId="43857B1B">
            <w:pPr>
              <w:spacing w:line="300" w:lineRule="exact"/>
              <w:jc w:val="center"/>
              <w:rPr>
                <w:rFonts w:ascii="Times New Roman" w:hAnsi="Times New Roman" w:eastAsia="方正书宋_GBK" w:cs="Times New Roman"/>
                <w:b/>
                <w:bCs/>
              </w:rPr>
            </w:pPr>
            <w:r>
              <w:rPr>
                <w:rFonts w:hint="eastAsia" w:ascii="Times New Roman" w:hAnsi="Times New Roman" w:eastAsia="方正书宋_GBK" w:cs="方正书宋_GBK"/>
                <w:b/>
                <w:bCs/>
              </w:rPr>
              <w:t>经费保障形式</w:t>
            </w:r>
          </w:p>
        </w:tc>
      </w:tr>
      <w:tr w14:paraId="1A26C25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tblHeader/>
          <w:jc w:val="center"/>
        </w:trPr>
        <w:tc>
          <w:tcPr>
            <w:tcW w:w="3317" w:type="dxa"/>
            <w:vMerge w:val="continue"/>
            <w:vAlign w:val="center"/>
          </w:tcPr>
          <w:p w14:paraId="631EF2A4">
            <w:pPr>
              <w:spacing w:line="300" w:lineRule="exact"/>
              <w:jc w:val="left"/>
              <w:outlineLvl w:val="0"/>
              <w:rPr>
                <w:rFonts w:ascii="Times New Roman" w:hAnsi="Times New Roman" w:eastAsia="宋体" w:cs="Times New Roman"/>
              </w:rPr>
            </w:pPr>
          </w:p>
        </w:tc>
        <w:tc>
          <w:tcPr>
            <w:tcW w:w="1134" w:type="dxa"/>
            <w:vMerge w:val="continue"/>
            <w:vAlign w:val="center"/>
          </w:tcPr>
          <w:p w14:paraId="48A8A3AB">
            <w:pPr>
              <w:spacing w:line="300" w:lineRule="exact"/>
              <w:jc w:val="left"/>
              <w:outlineLvl w:val="0"/>
              <w:rPr>
                <w:rFonts w:ascii="Times New Roman" w:hAnsi="Times New Roman" w:eastAsia="宋体" w:cs="Times New Roman"/>
              </w:rPr>
            </w:pPr>
          </w:p>
        </w:tc>
        <w:tc>
          <w:tcPr>
            <w:tcW w:w="1276" w:type="dxa"/>
            <w:vMerge w:val="continue"/>
            <w:vAlign w:val="center"/>
          </w:tcPr>
          <w:p w14:paraId="283C038A">
            <w:pPr>
              <w:spacing w:line="300" w:lineRule="exact"/>
              <w:jc w:val="left"/>
              <w:outlineLvl w:val="0"/>
              <w:rPr>
                <w:rFonts w:ascii="Times New Roman" w:hAnsi="Times New Roman" w:eastAsia="宋体" w:cs="Times New Roman"/>
              </w:rPr>
            </w:pPr>
          </w:p>
        </w:tc>
        <w:tc>
          <w:tcPr>
            <w:tcW w:w="2902" w:type="dxa"/>
            <w:vMerge w:val="continue"/>
            <w:vAlign w:val="center"/>
          </w:tcPr>
          <w:p w14:paraId="197F9364">
            <w:pPr>
              <w:spacing w:line="300" w:lineRule="exact"/>
              <w:jc w:val="left"/>
              <w:outlineLvl w:val="0"/>
              <w:rPr>
                <w:rFonts w:ascii="Times New Roman" w:hAnsi="Times New Roman" w:eastAsia="宋体" w:cs="Times New Roman"/>
              </w:rPr>
            </w:pPr>
          </w:p>
        </w:tc>
      </w:tr>
      <w:tr w14:paraId="21A2FA0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5" w:hRule="atLeast"/>
          <w:jc w:val="center"/>
        </w:trPr>
        <w:tc>
          <w:tcPr>
            <w:tcW w:w="3317" w:type="dxa"/>
            <w:vAlign w:val="center"/>
          </w:tcPr>
          <w:p w14:paraId="459AA83D">
            <w:pPr>
              <w:spacing w:line="300" w:lineRule="exact"/>
              <w:jc w:val="center"/>
              <w:rPr>
                <w:rFonts w:ascii="Times New Roman" w:hAnsi="Times New Roman" w:eastAsia="方正书宋_GBK" w:cs="Times New Roman"/>
              </w:rPr>
            </w:pPr>
            <w:r>
              <w:rPr>
                <w:rFonts w:hint="eastAsia" w:ascii="Times New Roman" w:hAnsi="Times New Roman" w:eastAsia="方正书宋_GBK" w:cs="Times New Roman"/>
              </w:rPr>
              <w:t>成安县工商业联合会</w:t>
            </w:r>
          </w:p>
        </w:tc>
        <w:tc>
          <w:tcPr>
            <w:tcW w:w="1134" w:type="dxa"/>
            <w:vAlign w:val="center"/>
          </w:tcPr>
          <w:p w14:paraId="7E25AEA4">
            <w:pPr>
              <w:spacing w:line="300" w:lineRule="exact"/>
              <w:jc w:val="center"/>
              <w:rPr>
                <w:rFonts w:ascii="Times New Roman" w:hAnsi="Times New Roman" w:eastAsia="方正书宋_GBK" w:cs="Times New Roman"/>
              </w:rPr>
            </w:pPr>
            <w:r>
              <w:rPr>
                <w:rFonts w:hint="eastAsia" w:ascii="Times New Roman" w:hAnsi="Times New Roman" w:eastAsia="方正书宋_GBK" w:cs="Times New Roman"/>
              </w:rPr>
              <w:t>行政</w:t>
            </w:r>
          </w:p>
        </w:tc>
        <w:tc>
          <w:tcPr>
            <w:tcW w:w="1276" w:type="dxa"/>
            <w:vAlign w:val="center"/>
          </w:tcPr>
          <w:p w14:paraId="05FE3DC4">
            <w:pPr>
              <w:spacing w:line="300" w:lineRule="exact"/>
              <w:jc w:val="center"/>
              <w:rPr>
                <w:rFonts w:ascii="Times New Roman" w:hAnsi="Times New Roman" w:eastAsia="方正书宋_GBK" w:cs="Times New Roman"/>
              </w:rPr>
            </w:pPr>
            <w:r>
              <w:rPr>
                <w:rFonts w:hint="eastAsia" w:ascii="Times New Roman" w:hAnsi="Times New Roman" w:eastAsia="方正书宋_GBK" w:cs="Times New Roman"/>
              </w:rPr>
              <w:t>正科</w:t>
            </w:r>
          </w:p>
        </w:tc>
        <w:tc>
          <w:tcPr>
            <w:tcW w:w="2902" w:type="dxa"/>
            <w:vAlign w:val="center"/>
          </w:tcPr>
          <w:p w14:paraId="69A72014">
            <w:pPr>
              <w:spacing w:line="300" w:lineRule="exact"/>
              <w:jc w:val="center"/>
              <w:rPr>
                <w:rFonts w:ascii="Times New Roman" w:hAnsi="Times New Roman" w:eastAsia="方正书宋_GBK" w:cs="Times New Roman"/>
              </w:rPr>
            </w:pPr>
            <w:r>
              <w:rPr>
                <w:rFonts w:hint="eastAsia" w:ascii="Times New Roman" w:hAnsi="Times New Roman" w:eastAsia="方正书宋_GBK" w:cs="Times New Roman"/>
              </w:rPr>
              <w:t>财政拨款（行政）</w:t>
            </w:r>
          </w:p>
        </w:tc>
      </w:tr>
    </w:tbl>
    <w:p w14:paraId="0F927978">
      <w:pPr>
        <w:spacing w:line="560" w:lineRule="exact"/>
        <w:ind w:firstLine="640"/>
        <w:rPr>
          <w:rFonts w:ascii="黑体" w:hAnsi="黑体" w:eastAsia="黑体" w:cs="Times New Roman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二、部门预算安排的总体情况</w:t>
      </w:r>
    </w:p>
    <w:p w14:paraId="20564DF3">
      <w:pPr>
        <w:spacing w:line="560" w:lineRule="exact"/>
        <w:ind w:firstLine="640"/>
        <w:rPr>
          <w:rFonts w:ascii="仿宋" w:hAnsi="仿宋" w:eastAsia="仿宋" w:cs="Times New Roman"/>
          <w:sz w:val="32"/>
          <w:szCs w:val="32"/>
        </w:rPr>
      </w:pPr>
      <w:r>
        <w:rPr>
          <w:rFonts w:hint="eastAsia" w:ascii="仿宋" w:hAnsi="仿宋" w:eastAsia="仿宋" w:cs="方正仿宋_GBK"/>
          <w:sz w:val="32"/>
          <w:szCs w:val="32"/>
        </w:rPr>
        <w:t>按照预算管理有关规定，目前我部门预算的编制实行综合预算制度，即全部收入和支出都反映在预算中。</w:t>
      </w:r>
    </w:p>
    <w:p w14:paraId="4BB6BF25">
      <w:pPr>
        <w:spacing w:line="560" w:lineRule="exact"/>
        <w:ind w:firstLine="640"/>
        <w:rPr>
          <w:rFonts w:ascii="楷体" w:hAnsi="楷体" w:eastAsia="楷体" w:cs="Times New Roman"/>
          <w:b/>
          <w:bCs/>
          <w:sz w:val="32"/>
          <w:szCs w:val="32"/>
        </w:rPr>
      </w:pPr>
      <w:r>
        <w:rPr>
          <w:rFonts w:ascii="楷体" w:hAnsi="楷体" w:eastAsia="楷体" w:cs="楷体"/>
          <w:b/>
          <w:bCs/>
          <w:sz w:val="32"/>
          <w:szCs w:val="32"/>
        </w:rPr>
        <w:t>1</w:t>
      </w:r>
      <w:r>
        <w:rPr>
          <w:rFonts w:hint="eastAsia" w:ascii="楷体" w:hAnsi="楷体" w:eastAsia="楷体" w:cs="楷体"/>
          <w:b/>
          <w:bCs/>
          <w:sz w:val="32"/>
          <w:szCs w:val="32"/>
        </w:rPr>
        <w:t>、收入说明</w:t>
      </w:r>
    </w:p>
    <w:p w14:paraId="5639AA9B">
      <w:pPr>
        <w:spacing w:line="560" w:lineRule="exact"/>
        <w:ind w:firstLine="640"/>
        <w:rPr>
          <w:rFonts w:ascii="仿宋" w:hAnsi="仿宋" w:eastAsia="仿宋" w:cs="Times New Roman"/>
          <w:sz w:val="32"/>
          <w:szCs w:val="32"/>
        </w:rPr>
      </w:pPr>
      <w:r>
        <w:rPr>
          <w:rFonts w:hint="eastAsia" w:ascii="仿宋" w:hAnsi="仿宋" w:eastAsia="仿宋" w:cs="Times New Roman"/>
          <w:sz w:val="32"/>
          <w:szCs w:val="32"/>
          <w:lang w:eastAsia="zh-CN"/>
        </w:rPr>
        <w:t>2018</w:t>
      </w:r>
      <w:r>
        <w:rPr>
          <w:rFonts w:hint="eastAsia" w:ascii="仿宋" w:hAnsi="仿宋" w:eastAsia="仿宋" w:cs="方正仿宋_GBK"/>
          <w:sz w:val="32"/>
          <w:szCs w:val="32"/>
        </w:rPr>
        <w:t>年预算收入23.42万元，其中：一般公共预算收入23.42万元，政府性基金收入0万元，国有资本经营收入0万元，事业收入0万元，其他收入0万元。</w:t>
      </w:r>
    </w:p>
    <w:p w14:paraId="303C5C7D">
      <w:pPr>
        <w:spacing w:line="560" w:lineRule="exact"/>
        <w:ind w:firstLine="640"/>
        <w:rPr>
          <w:rFonts w:ascii="楷体" w:hAnsi="楷体" w:eastAsia="楷体" w:cs="Times New Roman"/>
          <w:b/>
          <w:bCs/>
          <w:sz w:val="32"/>
          <w:szCs w:val="32"/>
        </w:rPr>
      </w:pPr>
      <w:r>
        <w:rPr>
          <w:rFonts w:ascii="楷体" w:hAnsi="楷体" w:eastAsia="楷体" w:cs="楷体"/>
          <w:b/>
          <w:bCs/>
          <w:sz w:val="32"/>
          <w:szCs w:val="32"/>
        </w:rPr>
        <w:t>2</w:t>
      </w:r>
      <w:r>
        <w:rPr>
          <w:rFonts w:hint="eastAsia" w:ascii="楷体" w:hAnsi="楷体" w:eastAsia="楷体" w:cs="楷体"/>
          <w:b/>
          <w:bCs/>
          <w:sz w:val="32"/>
          <w:szCs w:val="32"/>
        </w:rPr>
        <w:t>、支出说明</w:t>
      </w:r>
    </w:p>
    <w:p w14:paraId="01CC3DB2">
      <w:pPr>
        <w:spacing w:line="560" w:lineRule="exact"/>
        <w:ind w:firstLine="640"/>
        <w:rPr>
          <w:rFonts w:ascii="仿宋" w:hAnsi="仿宋" w:eastAsia="仿宋" w:cs="Times New Roman"/>
          <w:sz w:val="32"/>
          <w:szCs w:val="32"/>
        </w:rPr>
      </w:pPr>
      <w:r>
        <w:rPr>
          <w:rFonts w:hint="eastAsia" w:ascii="仿宋" w:hAnsi="仿宋" w:eastAsia="仿宋" w:cs="Times New Roman"/>
          <w:sz w:val="32"/>
          <w:szCs w:val="32"/>
          <w:lang w:eastAsia="zh-CN"/>
        </w:rPr>
        <w:t>2018</w:t>
      </w:r>
      <w:r>
        <w:rPr>
          <w:rFonts w:hint="eastAsia" w:ascii="仿宋" w:hAnsi="仿宋" w:eastAsia="仿宋" w:cs="方正仿宋_GBK"/>
          <w:sz w:val="32"/>
          <w:szCs w:val="32"/>
        </w:rPr>
        <w:t>年支出预算23.42万元，其中基本支出23.42万元，包括人员经费和日常公用经费；项目支出2万元，主要为招商等。</w:t>
      </w:r>
    </w:p>
    <w:p w14:paraId="32ABF045">
      <w:pPr>
        <w:spacing w:line="560" w:lineRule="exact"/>
        <w:ind w:firstLine="640"/>
        <w:rPr>
          <w:rFonts w:ascii="楷体" w:hAnsi="楷体" w:eastAsia="楷体" w:cs="Times New Roman"/>
          <w:b/>
          <w:bCs/>
          <w:sz w:val="32"/>
          <w:szCs w:val="32"/>
        </w:rPr>
      </w:pPr>
      <w:r>
        <w:rPr>
          <w:rFonts w:ascii="楷体" w:hAnsi="楷体" w:eastAsia="楷体" w:cs="楷体"/>
          <w:b/>
          <w:bCs/>
          <w:sz w:val="32"/>
          <w:szCs w:val="32"/>
        </w:rPr>
        <w:t>3</w:t>
      </w:r>
      <w:r>
        <w:rPr>
          <w:rFonts w:hint="eastAsia" w:ascii="楷体" w:hAnsi="楷体" w:eastAsia="楷体" w:cs="楷体"/>
          <w:b/>
          <w:bCs/>
          <w:sz w:val="32"/>
          <w:szCs w:val="32"/>
        </w:rPr>
        <w:t>、比上年增减变化情况</w:t>
      </w:r>
    </w:p>
    <w:p w14:paraId="72658351">
      <w:pPr>
        <w:spacing w:line="560" w:lineRule="exact"/>
        <w:ind w:firstLine="640"/>
        <w:rPr>
          <w:rFonts w:ascii="仿宋" w:hAnsi="仿宋" w:eastAsia="仿宋" w:cs="Times New Roman"/>
          <w:sz w:val="32"/>
          <w:szCs w:val="32"/>
        </w:rPr>
      </w:pPr>
      <w:r>
        <w:rPr>
          <w:rFonts w:hint="eastAsia" w:ascii="仿宋" w:hAnsi="仿宋" w:eastAsia="仿宋" w:cs="Times New Roman"/>
          <w:sz w:val="32"/>
          <w:szCs w:val="32"/>
          <w:lang w:eastAsia="zh-CN"/>
        </w:rPr>
        <w:t>2018</w:t>
      </w:r>
      <w:r>
        <w:rPr>
          <w:rFonts w:hint="eastAsia" w:ascii="仿宋" w:hAnsi="仿宋" w:eastAsia="仿宋" w:cs="方正仿宋_GBK"/>
          <w:sz w:val="32"/>
          <w:szCs w:val="32"/>
        </w:rPr>
        <w:t>年预算收支安排23.42万元，较</w:t>
      </w:r>
      <w:r>
        <w:rPr>
          <w:rFonts w:ascii="仿宋" w:hAnsi="仿宋" w:eastAsia="仿宋" w:cs="Times New Roman"/>
          <w:sz w:val="32"/>
          <w:szCs w:val="32"/>
        </w:rPr>
        <w:t>2016</w:t>
      </w:r>
      <w:r>
        <w:rPr>
          <w:rFonts w:hint="eastAsia" w:ascii="仿宋" w:hAnsi="仿宋" w:eastAsia="仿宋" w:cs="方正仿宋_GBK"/>
          <w:sz w:val="32"/>
          <w:szCs w:val="32"/>
        </w:rPr>
        <w:t>年预算</w:t>
      </w:r>
      <w:r>
        <w:rPr>
          <w:rFonts w:hint="eastAsia" w:ascii="仿宋" w:hAnsi="仿宋" w:eastAsia="仿宋" w:cs="方正仿宋_GBK"/>
          <w:sz w:val="32"/>
          <w:szCs w:val="32"/>
          <w:lang w:val="en-US" w:eastAsia="zh-CN"/>
        </w:rPr>
        <w:t>减少12.53</w:t>
      </w:r>
      <w:r>
        <w:rPr>
          <w:rFonts w:hint="eastAsia" w:ascii="仿宋" w:hAnsi="仿宋" w:eastAsia="仿宋" w:cs="方正仿宋_GBK"/>
          <w:sz w:val="32"/>
          <w:szCs w:val="32"/>
        </w:rPr>
        <w:t>万元，其中：基本支出</w:t>
      </w:r>
      <w:r>
        <w:rPr>
          <w:rFonts w:hint="eastAsia" w:ascii="仿宋" w:hAnsi="仿宋" w:eastAsia="仿宋" w:cs="方正仿宋_GBK"/>
          <w:sz w:val="32"/>
          <w:szCs w:val="32"/>
          <w:lang w:val="en-US" w:eastAsia="zh-CN"/>
        </w:rPr>
        <w:t>减少12.53</w:t>
      </w:r>
      <w:r>
        <w:rPr>
          <w:rFonts w:hint="eastAsia" w:ascii="仿宋" w:hAnsi="仿宋" w:eastAsia="仿宋" w:cs="方正仿宋_GBK"/>
          <w:sz w:val="32"/>
          <w:szCs w:val="32"/>
        </w:rPr>
        <w:t>万元，主要为</w:t>
      </w:r>
      <w:r>
        <w:rPr>
          <w:rFonts w:hint="eastAsia" w:ascii="仿宋" w:hAnsi="仿宋" w:eastAsia="仿宋" w:cs="方正仿宋_GBK"/>
          <w:sz w:val="32"/>
          <w:szCs w:val="32"/>
          <w:lang w:val="en-US" w:eastAsia="zh-CN"/>
        </w:rPr>
        <w:t>减少</w:t>
      </w:r>
      <w:r>
        <w:rPr>
          <w:rFonts w:hint="eastAsia" w:ascii="仿宋" w:hAnsi="仿宋" w:eastAsia="仿宋" w:cs="方正仿宋_GBK"/>
          <w:sz w:val="32"/>
          <w:szCs w:val="32"/>
        </w:rPr>
        <w:t>加人员经费支出；项目支出增加0万元。</w:t>
      </w:r>
    </w:p>
    <w:p w14:paraId="249AA3EE">
      <w:pPr>
        <w:widowControl/>
        <w:spacing w:line="360" w:lineRule="auto"/>
        <w:jc w:val="left"/>
        <w:rPr>
          <w:rFonts w:ascii="黑体" w:hAnsi="黑体" w:eastAsia="黑体" w:cs="仿宋_GB2312"/>
          <w:bCs/>
          <w:kern w:val="0"/>
          <w:sz w:val="32"/>
          <w:szCs w:val="32"/>
        </w:rPr>
      </w:pPr>
      <w:r>
        <w:rPr>
          <w:rFonts w:hint="eastAsia" w:ascii="黑体" w:hAnsi="黑体" w:eastAsia="黑体" w:cs="仿宋_GB2312"/>
          <w:bCs/>
          <w:kern w:val="0"/>
          <w:sz w:val="32"/>
          <w:szCs w:val="32"/>
        </w:rPr>
        <w:t xml:space="preserve">   三、机关运行经费情况</w:t>
      </w:r>
    </w:p>
    <w:p w14:paraId="66C90F24">
      <w:pPr>
        <w:widowControl/>
        <w:spacing w:line="360" w:lineRule="auto"/>
        <w:jc w:val="left"/>
        <w:rPr>
          <w:rFonts w:ascii="仿宋_GB2312" w:hAnsi="仿宋" w:eastAsia="仿宋_GB2312" w:cs="仿宋"/>
          <w:bCs/>
          <w:kern w:val="0"/>
          <w:sz w:val="32"/>
          <w:szCs w:val="32"/>
        </w:rPr>
      </w:pPr>
      <w:r>
        <w:rPr>
          <w:rFonts w:hint="eastAsia" w:ascii="仿宋_GB2312" w:hAnsi="Calibri" w:eastAsia="仿宋_GB2312" w:cs="仿宋_GB2312"/>
          <w:kern w:val="0"/>
          <w:sz w:val="32"/>
          <w:szCs w:val="32"/>
        </w:rPr>
        <w:t xml:space="preserve">   日常公用经费安排</w:t>
      </w:r>
      <w:r>
        <w:rPr>
          <w:rFonts w:hint="eastAsia" w:ascii="仿宋_GB2312" w:hAnsi="Calibri" w:eastAsia="仿宋_GB2312" w:cs="仿宋_GB2312"/>
          <w:kern w:val="0"/>
          <w:sz w:val="32"/>
          <w:szCs w:val="32"/>
          <w:lang w:val="en-US" w:eastAsia="zh-CN"/>
        </w:rPr>
        <w:t>3.98</w:t>
      </w:r>
      <w:r>
        <w:rPr>
          <w:rFonts w:hint="eastAsia" w:ascii="仿宋_GB2312" w:hAnsi="Calibri" w:eastAsia="仿宋_GB2312" w:cs="仿宋_GB2312"/>
          <w:kern w:val="0"/>
          <w:sz w:val="32"/>
          <w:szCs w:val="32"/>
        </w:rPr>
        <w:t>万元，包括：办公费、差旅费、水费、电费、会议费、招待费、转移支付，其他支出等。</w:t>
      </w:r>
      <w:r>
        <w:rPr>
          <w:rFonts w:hint="eastAsia" w:ascii="仿宋_GB2312" w:hAnsi="Calibri" w:eastAsia="仿宋_GB2312" w:cs="Calibri"/>
          <w:kern w:val="0"/>
          <w:sz w:val="32"/>
          <w:szCs w:val="32"/>
        </w:rPr>
        <w:t>人员经费支出</w:t>
      </w:r>
      <w:r>
        <w:rPr>
          <w:rFonts w:hint="eastAsia" w:ascii="仿宋_GB2312" w:hAnsi="Calibri" w:eastAsia="仿宋_GB2312" w:cs="Calibri"/>
          <w:kern w:val="0"/>
          <w:sz w:val="32"/>
          <w:szCs w:val="32"/>
          <w:lang w:val="en-US" w:eastAsia="zh-CN"/>
        </w:rPr>
        <w:t>19.44</w:t>
      </w:r>
      <w:r>
        <w:rPr>
          <w:rFonts w:hint="eastAsia" w:ascii="仿宋_GB2312" w:hAnsi="Calibri" w:eastAsia="仿宋_GB2312" w:cs="Calibri"/>
          <w:kern w:val="0"/>
          <w:sz w:val="32"/>
          <w:szCs w:val="32"/>
        </w:rPr>
        <w:t>万元，同比去年减少</w:t>
      </w:r>
      <w:r>
        <w:rPr>
          <w:rFonts w:hint="eastAsia" w:ascii="仿宋_GB2312" w:hAnsi="Calibri" w:eastAsia="仿宋_GB2312" w:cs="Calibri"/>
          <w:kern w:val="0"/>
          <w:sz w:val="32"/>
          <w:szCs w:val="32"/>
          <w:lang w:val="en-US" w:eastAsia="zh-CN"/>
        </w:rPr>
        <w:t>14.51</w:t>
      </w:r>
      <w:r>
        <w:rPr>
          <w:rFonts w:hint="eastAsia" w:ascii="仿宋_GB2312" w:hAnsi="Calibri" w:eastAsia="仿宋_GB2312" w:cs="Calibri"/>
          <w:kern w:val="0"/>
          <w:sz w:val="32"/>
          <w:szCs w:val="32"/>
        </w:rPr>
        <w:t>。减少原因是机关调出一人。其中，工资福利支出</w:t>
      </w:r>
      <w:r>
        <w:rPr>
          <w:rFonts w:hint="eastAsia" w:ascii="仿宋_GB2312" w:hAnsi="Calibri" w:eastAsia="仿宋_GB2312" w:cs="Calibri"/>
          <w:kern w:val="0"/>
          <w:sz w:val="32"/>
          <w:szCs w:val="32"/>
          <w:lang w:val="en-US" w:eastAsia="zh-CN"/>
        </w:rPr>
        <w:t>17.26</w:t>
      </w:r>
      <w:r>
        <w:rPr>
          <w:rFonts w:hint="eastAsia" w:ascii="仿宋_GB2312" w:hAnsi="Calibri" w:eastAsia="仿宋_GB2312" w:cs="Calibri"/>
          <w:kern w:val="0"/>
          <w:sz w:val="32"/>
          <w:szCs w:val="32"/>
        </w:rPr>
        <w:t>万元，对个人和家庭的补助支出</w:t>
      </w:r>
      <w:r>
        <w:rPr>
          <w:rFonts w:hint="eastAsia" w:ascii="仿宋_GB2312" w:hAnsi="Calibri" w:eastAsia="仿宋_GB2312" w:cs="Calibri"/>
          <w:kern w:val="0"/>
          <w:sz w:val="32"/>
          <w:szCs w:val="32"/>
          <w:lang w:val="en-US" w:eastAsia="zh-CN"/>
        </w:rPr>
        <w:t>2.18</w:t>
      </w:r>
      <w:r>
        <w:rPr>
          <w:rFonts w:hint="eastAsia" w:ascii="仿宋_GB2312" w:hAnsi="Calibri" w:eastAsia="仿宋_GB2312" w:cs="Calibri"/>
          <w:kern w:val="0"/>
          <w:sz w:val="32"/>
          <w:szCs w:val="32"/>
        </w:rPr>
        <w:t>万元。</w:t>
      </w:r>
    </w:p>
    <w:p w14:paraId="1128ADE2">
      <w:pPr>
        <w:widowControl/>
        <w:spacing w:line="360" w:lineRule="auto"/>
        <w:jc w:val="left"/>
        <w:rPr>
          <w:rFonts w:ascii="黑体" w:hAnsi="黑体" w:eastAsia="黑体" w:cs="仿宋_GB2312"/>
          <w:bCs/>
          <w:kern w:val="0"/>
          <w:sz w:val="32"/>
          <w:szCs w:val="32"/>
        </w:rPr>
      </w:pPr>
      <w:r>
        <w:rPr>
          <w:rFonts w:hint="eastAsia" w:ascii="黑体" w:hAnsi="黑体" w:eastAsia="黑体" w:cs="仿宋_GB2312"/>
          <w:bCs/>
          <w:kern w:val="0"/>
          <w:sz w:val="32"/>
          <w:szCs w:val="32"/>
        </w:rPr>
        <w:t>　四、财政拨款“三公”经费预算情况及增减变化原因</w:t>
      </w:r>
    </w:p>
    <w:p w14:paraId="33A92878">
      <w:pPr>
        <w:widowControl/>
        <w:spacing w:line="360" w:lineRule="auto"/>
        <w:ind w:firstLine="640" w:firstLineChars="200"/>
        <w:jc w:val="left"/>
        <w:rPr>
          <w:rFonts w:ascii="仿宋_GB2312" w:hAnsi="Calibri" w:eastAsia="仿宋_GB2312" w:cs="仿宋_GB2312"/>
          <w:sz w:val="32"/>
          <w:szCs w:val="32"/>
        </w:rPr>
      </w:pPr>
      <w:r>
        <w:rPr>
          <w:rFonts w:hint="eastAsia" w:ascii="仿宋_GB2312" w:hAnsi="Calibri" w:eastAsia="仿宋_GB2312" w:cs="仿宋_GB2312"/>
          <w:kern w:val="0"/>
          <w:sz w:val="32"/>
          <w:szCs w:val="32"/>
          <w:lang w:eastAsia="zh-CN"/>
        </w:rPr>
        <w:t>2018</w:t>
      </w:r>
      <w:r>
        <w:rPr>
          <w:rFonts w:hint="eastAsia" w:ascii="仿宋_GB2312" w:hAnsi="Calibri" w:eastAsia="仿宋_GB2312" w:cs="仿宋_GB2312"/>
          <w:kern w:val="0"/>
          <w:sz w:val="32"/>
          <w:szCs w:val="32"/>
        </w:rPr>
        <w:t>年度“三公”预算支出0万元，其中，因公出国（境）费0元，安排公务用车维护费0元，（其中</w:t>
      </w:r>
      <w:r>
        <w:rPr>
          <w:rFonts w:hint="eastAsia" w:ascii="仿宋_GB2312" w:hAnsi="Calibri" w:eastAsia="仿宋_GB2312" w:cs="仿宋_GB2312"/>
          <w:sz w:val="32"/>
          <w:szCs w:val="32"/>
        </w:rPr>
        <w:t>公务用车购置费0元，公务用车运行维护费0万元），公务接等费0万元，</w:t>
      </w:r>
      <w:r>
        <w:rPr>
          <w:rFonts w:hint="eastAsia" w:ascii="仿宋_GB2312" w:hAnsi="Calibri" w:eastAsia="仿宋_GB2312" w:cs="仿宋_GB2312"/>
          <w:sz w:val="32"/>
          <w:szCs w:val="32"/>
          <w:lang w:eastAsia="zh-CN"/>
        </w:rPr>
        <w:t>2018</w:t>
      </w:r>
      <w:r>
        <w:rPr>
          <w:rFonts w:hint="eastAsia" w:ascii="仿宋_GB2312" w:hAnsi="Calibri" w:eastAsia="仿宋_GB2312" w:cs="仿宋_GB2312"/>
          <w:sz w:val="32"/>
          <w:szCs w:val="32"/>
        </w:rPr>
        <w:t>年“三公”经费预算减少了0%。由于2016年公车拍卖，</w:t>
      </w:r>
      <w:r>
        <w:rPr>
          <w:rFonts w:hint="eastAsia" w:ascii="仿宋_GB2312" w:hAnsi="Calibri" w:eastAsia="仿宋_GB2312" w:cs="仿宋_GB2312"/>
          <w:sz w:val="32"/>
          <w:szCs w:val="32"/>
          <w:lang w:eastAsia="zh-CN"/>
        </w:rPr>
        <w:t>2018</w:t>
      </w:r>
      <w:r>
        <w:rPr>
          <w:rFonts w:hint="eastAsia" w:ascii="仿宋_GB2312" w:hAnsi="Calibri" w:eastAsia="仿宋_GB2312" w:cs="仿宋_GB2312"/>
          <w:sz w:val="32"/>
          <w:szCs w:val="32"/>
        </w:rPr>
        <w:t>年实行车补，油修费用预算</w:t>
      </w:r>
      <w:r>
        <w:rPr>
          <w:rFonts w:hint="eastAsia" w:ascii="仿宋_GB2312" w:hAnsi="Calibri" w:eastAsia="仿宋_GB2312" w:cs="仿宋_GB2312"/>
          <w:sz w:val="32"/>
          <w:szCs w:val="32"/>
          <w:lang w:eastAsia="zh-CN"/>
        </w:rPr>
        <w:t>安排</w:t>
      </w:r>
      <w:r>
        <w:rPr>
          <w:rFonts w:hint="eastAsia" w:ascii="仿宋_GB2312" w:hAnsi="Calibri" w:eastAsia="仿宋_GB2312" w:cs="仿宋_GB2312"/>
          <w:sz w:val="32"/>
          <w:szCs w:val="32"/>
        </w:rPr>
        <w:t>减少。</w:t>
      </w:r>
    </w:p>
    <w:p w14:paraId="0ECCB6F8">
      <w:pPr>
        <w:widowControl/>
        <w:spacing w:line="360" w:lineRule="auto"/>
        <w:jc w:val="left"/>
        <w:rPr>
          <w:rFonts w:ascii="黑体" w:hAnsi="黑体" w:eastAsia="黑体" w:cs="Calibri"/>
          <w:kern w:val="0"/>
          <w:sz w:val="32"/>
          <w:szCs w:val="32"/>
        </w:rPr>
      </w:pPr>
      <w:r>
        <w:rPr>
          <w:rFonts w:hint="eastAsia" w:ascii="黑体" w:hAnsi="黑体" w:eastAsia="黑体" w:cs="Calibri"/>
          <w:kern w:val="0"/>
          <w:sz w:val="32"/>
          <w:szCs w:val="32"/>
        </w:rPr>
        <w:t>　  五、绩效预算情况</w:t>
      </w:r>
    </w:p>
    <w:p w14:paraId="26957795">
      <w:pPr>
        <w:pStyle w:val="10"/>
        <w:widowControl/>
        <w:spacing w:line="360" w:lineRule="auto"/>
        <w:ind w:firstLineChars="0"/>
        <w:jc w:val="left"/>
        <w:rPr>
          <w:rFonts w:ascii="黑体" w:hAnsi="黑体" w:eastAsia="黑体" w:cs="Calibri"/>
          <w:kern w:val="0"/>
          <w:sz w:val="32"/>
          <w:szCs w:val="32"/>
        </w:rPr>
        <w:sectPr>
          <w:headerReference r:id="rId3" w:type="default"/>
          <w:pgSz w:w="11907" w:h="16839"/>
          <w:pgMar w:top="1701" w:right="1418" w:bottom="1440" w:left="1418" w:header="851" w:footer="992" w:gutter="0"/>
          <w:cols w:space="425" w:num="1"/>
          <w:docGrid w:type="lines" w:linePitch="312" w:charSpace="0"/>
        </w:sectPr>
      </w:pPr>
    </w:p>
    <w:tbl>
      <w:tblPr>
        <w:tblStyle w:val="6"/>
        <w:tblW w:w="13934" w:type="dxa"/>
        <w:jc w:val="center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41"/>
        <w:gridCol w:w="1276"/>
        <w:gridCol w:w="2976"/>
        <w:gridCol w:w="2976"/>
        <w:gridCol w:w="1417"/>
        <w:gridCol w:w="737"/>
        <w:gridCol w:w="737"/>
        <w:gridCol w:w="737"/>
        <w:gridCol w:w="737"/>
      </w:tblGrid>
      <w:tr w14:paraId="74E1061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tblHeader/>
          <w:jc w:val="center"/>
        </w:trPr>
        <w:tc>
          <w:tcPr>
            <w:tcW w:w="10986" w:type="dxa"/>
            <w:gridSpan w:val="5"/>
            <w:tcBorders>
              <w:top w:val="single" w:color="FFFFFF" w:sz="6" w:space="0"/>
              <w:left w:val="single" w:color="FFFFFF" w:sz="6" w:space="0"/>
              <w:right w:val="single" w:color="FFFFFF" w:sz="6" w:space="0"/>
            </w:tcBorders>
            <w:shd w:val="clear" w:color="auto" w:fill="auto"/>
            <w:vAlign w:val="center"/>
          </w:tcPr>
          <w:p w14:paraId="53C0A309">
            <w:pPr>
              <w:spacing w:line="300" w:lineRule="exact"/>
              <w:jc w:val="left"/>
              <w:rPr>
                <w:rFonts w:ascii="方正小标宋_GBK" w:hAnsi="Times New Roman" w:eastAsia="方正小标宋_GBK" w:cs="Times New Roman"/>
                <w:sz w:val="24"/>
                <w:szCs w:val="24"/>
              </w:rPr>
            </w:pPr>
            <w:r>
              <w:rPr>
                <w:rFonts w:ascii="方正小标宋_GBK" w:hAnsi="Times New Roman" w:eastAsia="方正小标宋_GBK" w:cs="Times New Roman"/>
                <w:sz w:val="24"/>
                <w:szCs w:val="24"/>
              </w:rPr>
              <w:t>547</w:t>
            </w:r>
            <w:r>
              <w:rPr>
                <w:rFonts w:hint="eastAsia" w:ascii="方正小标宋_GBK" w:hAnsi="Times New Roman" w:eastAsia="方正小标宋_GBK" w:cs="Times New Roman"/>
                <w:sz w:val="24"/>
                <w:szCs w:val="24"/>
              </w:rPr>
              <w:t>成安县工商联</w:t>
            </w:r>
          </w:p>
        </w:tc>
        <w:tc>
          <w:tcPr>
            <w:tcW w:w="2948" w:type="dxa"/>
            <w:gridSpan w:val="4"/>
            <w:tcBorders>
              <w:top w:val="single" w:color="FFFFFF" w:sz="6" w:space="0"/>
              <w:left w:val="single" w:color="FFFFFF" w:sz="6" w:space="0"/>
              <w:right w:val="single" w:color="FFFFFF" w:sz="6" w:space="0"/>
            </w:tcBorders>
            <w:shd w:val="clear" w:color="auto" w:fill="auto"/>
            <w:vAlign w:val="center"/>
          </w:tcPr>
          <w:p w14:paraId="1B41B0D7">
            <w:pPr>
              <w:spacing w:line="300" w:lineRule="exact"/>
              <w:jc w:val="right"/>
              <w:rPr>
                <w:rFonts w:ascii="方正书宋_GBK" w:hAnsi="Times New Roman" w:eastAsia="方正书宋_GBK" w:cs="Times New Roman"/>
                <w:sz w:val="24"/>
                <w:szCs w:val="24"/>
              </w:rPr>
            </w:pPr>
            <w:r>
              <w:rPr>
                <w:rFonts w:hint="eastAsia" w:ascii="方正书宋_GBK" w:hAnsi="Times New Roman" w:eastAsia="方正书宋_GBK" w:cs="Times New Roman"/>
                <w:sz w:val="24"/>
                <w:szCs w:val="24"/>
              </w:rPr>
              <w:t>单位：万元</w:t>
            </w:r>
          </w:p>
        </w:tc>
      </w:tr>
      <w:tr w14:paraId="4F69019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tblHeader/>
          <w:jc w:val="center"/>
        </w:trPr>
        <w:tc>
          <w:tcPr>
            <w:tcW w:w="2341" w:type="dxa"/>
            <w:vMerge w:val="restart"/>
            <w:shd w:val="clear" w:color="auto" w:fill="auto"/>
            <w:vAlign w:val="center"/>
          </w:tcPr>
          <w:p w14:paraId="0B4119CA">
            <w:pPr>
              <w:spacing w:line="300" w:lineRule="exact"/>
              <w:jc w:val="center"/>
              <w:rPr>
                <w:rFonts w:ascii="方正书宋_GBK" w:hAnsi="Times New Roman" w:eastAsia="方正书宋_GBK" w:cs="Times New Roman"/>
                <w:b/>
                <w:szCs w:val="24"/>
              </w:rPr>
            </w:pPr>
            <w:r>
              <w:rPr>
                <w:rFonts w:hint="eastAsia" w:ascii="方正书宋_GBK" w:hAnsi="Times New Roman" w:eastAsia="方正书宋_GBK" w:cs="Times New Roman"/>
                <w:b/>
                <w:szCs w:val="24"/>
              </w:rPr>
              <w:t>职责活动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</w:tcPr>
          <w:p w14:paraId="7780548C">
            <w:pPr>
              <w:spacing w:line="300" w:lineRule="exact"/>
              <w:jc w:val="center"/>
              <w:rPr>
                <w:rFonts w:ascii="方正书宋_GBK" w:hAnsi="Times New Roman" w:eastAsia="方正书宋_GBK" w:cs="Times New Roman"/>
                <w:b/>
                <w:szCs w:val="24"/>
              </w:rPr>
            </w:pPr>
            <w:r>
              <w:rPr>
                <w:rFonts w:hint="eastAsia" w:ascii="方正书宋_GBK" w:hAnsi="Times New Roman" w:eastAsia="方正书宋_GBK" w:cs="Times New Roman"/>
                <w:b/>
                <w:szCs w:val="24"/>
              </w:rPr>
              <w:t>年度预算数</w:t>
            </w:r>
          </w:p>
        </w:tc>
        <w:tc>
          <w:tcPr>
            <w:tcW w:w="2976" w:type="dxa"/>
            <w:vMerge w:val="restart"/>
            <w:shd w:val="clear" w:color="auto" w:fill="auto"/>
            <w:vAlign w:val="center"/>
          </w:tcPr>
          <w:p w14:paraId="1D4890FE">
            <w:pPr>
              <w:spacing w:line="300" w:lineRule="exact"/>
              <w:jc w:val="center"/>
              <w:rPr>
                <w:rFonts w:ascii="方正书宋_GBK" w:hAnsi="Times New Roman" w:eastAsia="方正书宋_GBK" w:cs="Times New Roman"/>
                <w:b/>
                <w:szCs w:val="24"/>
              </w:rPr>
            </w:pPr>
            <w:r>
              <w:rPr>
                <w:rFonts w:hint="eastAsia" w:ascii="方正书宋_GBK" w:hAnsi="Times New Roman" w:eastAsia="方正书宋_GBK" w:cs="Times New Roman"/>
                <w:b/>
                <w:szCs w:val="24"/>
              </w:rPr>
              <w:t>内容描述</w:t>
            </w:r>
          </w:p>
        </w:tc>
        <w:tc>
          <w:tcPr>
            <w:tcW w:w="2976" w:type="dxa"/>
            <w:vMerge w:val="restart"/>
            <w:shd w:val="clear" w:color="auto" w:fill="auto"/>
            <w:vAlign w:val="center"/>
          </w:tcPr>
          <w:p w14:paraId="128EF948">
            <w:pPr>
              <w:spacing w:line="300" w:lineRule="exact"/>
              <w:jc w:val="center"/>
              <w:rPr>
                <w:rFonts w:ascii="方正书宋_GBK" w:hAnsi="Times New Roman" w:eastAsia="方正书宋_GBK" w:cs="Times New Roman"/>
                <w:b/>
                <w:szCs w:val="24"/>
              </w:rPr>
            </w:pPr>
            <w:r>
              <w:rPr>
                <w:rFonts w:hint="eastAsia" w:ascii="方正书宋_GBK" w:hAnsi="Times New Roman" w:eastAsia="方正书宋_GBK" w:cs="Times New Roman"/>
                <w:b/>
                <w:szCs w:val="24"/>
              </w:rPr>
              <w:t>绩效目标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</w:tcPr>
          <w:p w14:paraId="66623148">
            <w:pPr>
              <w:spacing w:line="300" w:lineRule="exact"/>
              <w:jc w:val="center"/>
              <w:rPr>
                <w:rFonts w:ascii="方正书宋_GBK" w:hAnsi="Times New Roman" w:eastAsia="方正书宋_GBK" w:cs="Times New Roman"/>
                <w:b/>
                <w:szCs w:val="24"/>
              </w:rPr>
            </w:pPr>
            <w:r>
              <w:rPr>
                <w:rFonts w:hint="eastAsia" w:ascii="方正书宋_GBK" w:hAnsi="Times New Roman" w:eastAsia="方正书宋_GBK" w:cs="Times New Roman"/>
                <w:b/>
                <w:szCs w:val="24"/>
              </w:rPr>
              <w:t>绩效指标</w:t>
            </w:r>
          </w:p>
        </w:tc>
        <w:tc>
          <w:tcPr>
            <w:tcW w:w="2948" w:type="dxa"/>
            <w:gridSpan w:val="4"/>
            <w:shd w:val="clear" w:color="auto" w:fill="auto"/>
            <w:vAlign w:val="center"/>
          </w:tcPr>
          <w:p w14:paraId="58D77D84">
            <w:pPr>
              <w:spacing w:line="300" w:lineRule="exact"/>
              <w:jc w:val="center"/>
              <w:rPr>
                <w:rFonts w:ascii="方正书宋_GBK" w:hAnsi="Times New Roman" w:eastAsia="方正书宋_GBK" w:cs="Times New Roman"/>
                <w:b/>
                <w:szCs w:val="24"/>
              </w:rPr>
            </w:pPr>
            <w:r>
              <w:rPr>
                <w:rFonts w:hint="eastAsia" w:ascii="方正书宋_GBK" w:hAnsi="Times New Roman" w:eastAsia="方正书宋_GBK" w:cs="Times New Roman"/>
                <w:b/>
                <w:szCs w:val="24"/>
              </w:rPr>
              <w:t>评价标准</w:t>
            </w:r>
          </w:p>
        </w:tc>
      </w:tr>
      <w:tr w14:paraId="3D7CFBA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tblHeader/>
          <w:jc w:val="center"/>
        </w:trPr>
        <w:tc>
          <w:tcPr>
            <w:tcW w:w="2341" w:type="dxa"/>
            <w:vMerge w:val="continue"/>
            <w:shd w:val="clear" w:color="auto" w:fill="auto"/>
            <w:vAlign w:val="center"/>
          </w:tcPr>
          <w:p w14:paraId="308448B4">
            <w:pPr>
              <w:spacing w:line="300" w:lineRule="exact"/>
              <w:jc w:val="left"/>
              <w:outlineLvl w:val="0"/>
              <w:rPr>
                <w:rFonts w:ascii="Times New Roman" w:hAnsi="Times New Roman" w:eastAsia="宋体" w:cs="Times New Roman"/>
                <w:szCs w:val="24"/>
              </w:rPr>
            </w:pPr>
          </w:p>
        </w:tc>
        <w:tc>
          <w:tcPr>
            <w:tcW w:w="1276" w:type="dxa"/>
            <w:vMerge w:val="continue"/>
            <w:shd w:val="clear" w:color="auto" w:fill="auto"/>
            <w:vAlign w:val="center"/>
          </w:tcPr>
          <w:p w14:paraId="1A78F6DF">
            <w:pPr>
              <w:spacing w:line="300" w:lineRule="exact"/>
              <w:jc w:val="left"/>
              <w:outlineLvl w:val="0"/>
              <w:rPr>
                <w:rFonts w:ascii="Times New Roman" w:hAnsi="Times New Roman" w:eastAsia="宋体" w:cs="Times New Roman"/>
                <w:szCs w:val="24"/>
              </w:rPr>
            </w:pPr>
          </w:p>
        </w:tc>
        <w:tc>
          <w:tcPr>
            <w:tcW w:w="2976" w:type="dxa"/>
            <w:vMerge w:val="continue"/>
            <w:shd w:val="clear" w:color="auto" w:fill="auto"/>
            <w:vAlign w:val="center"/>
          </w:tcPr>
          <w:p w14:paraId="358664D2">
            <w:pPr>
              <w:spacing w:line="300" w:lineRule="exact"/>
              <w:jc w:val="left"/>
              <w:outlineLvl w:val="0"/>
              <w:rPr>
                <w:rFonts w:ascii="Times New Roman" w:hAnsi="Times New Roman" w:eastAsia="宋体" w:cs="Times New Roman"/>
                <w:szCs w:val="24"/>
              </w:rPr>
            </w:pPr>
          </w:p>
        </w:tc>
        <w:tc>
          <w:tcPr>
            <w:tcW w:w="2976" w:type="dxa"/>
            <w:vMerge w:val="continue"/>
            <w:shd w:val="clear" w:color="auto" w:fill="auto"/>
            <w:vAlign w:val="center"/>
          </w:tcPr>
          <w:p w14:paraId="445E9084">
            <w:pPr>
              <w:spacing w:line="300" w:lineRule="exact"/>
              <w:jc w:val="left"/>
              <w:outlineLvl w:val="0"/>
              <w:rPr>
                <w:rFonts w:ascii="Times New Roman" w:hAnsi="Times New Roman" w:eastAsia="宋体" w:cs="Times New Roman"/>
                <w:szCs w:val="24"/>
              </w:rPr>
            </w:pPr>
          </w:p>
        </w:tc>
        <w:tc>
          <w:tcPr>
            <w:tcW w:w="1417" w:type="dxa"/>
            <w:vMerge w:val="continue"/>
            <w:shd w:val="clear" w:color="auto" w:fill="auto"/>
            <w:vAlign w:val="center"/>
          </w:tcPr>
          <w:p w14:paraId="582C0426">
            <w:pPr>
              <w:spacing w:line="300" w:lineRule="exact"/>
              <w:jc w:val="left"/>
              <w:outlineLvl w:val="0"/>
              <w:rPr>
                <w:rFonts w:ascii="Times New Roman" w:hAnsi="Times New Roman" w:eastAsia="宋体" w:cs="Times New Roman"/>
                <w:szCs w:val="24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 w14:paraId="4D7BD190">
            <w:pPr>
              <w:spacing w:line="300" w:lineRule="exact"/>
              <w:jc w:val="center"/>
              <w:rPr>
                <w:rFonts w:ascii="方正书宋_GBK" w:hAnsi="Times New Roman" w:eastAsia="方正书宋_GBK" w:cs="Times New Roman"/>
                <w:b/>
                <w:szCs w:val="24"/>
              </w:rPr>
            </w:pPr>
            <w:r>
              <w:rPr>
                <w:rFonts w:hint="eastAsia" w:ascii="方正书宋_GBK" w:hAnsi="Times New Roman" w:eastAsia="方正书宋_GBK" w:cs="Times New Roman"/>
                <w:b/>
                <w:szCs w:val="24"/>
              </w:rPr>
              <w:t>优</w:t>
            </w:r>
          </w:p>
        </w:tc>
        <w:tc>
          <w:tcPr>
            <w:tcW w:w="737" w:type="dxa"/>
            <w:shd w:val="clear" w:color="auto" w:fill="auto"/>
            <w:vAlign w:val="center"/>
          </w:tcPr>
          <w:p w14:paraId="5D16CEA5">
            <w:pPr>
              <w:spacing w:line="300" w:lineRule="exact"/>
              <w:jc w:val="center"/>
              <w:rPr>
                <w:rFonts w:ascii="方正书宋_GBK" w:hAnsi="Times New Roman" w:eastAsia="方正书宋_GBK" w:cs="Times New Roman"/>
                <w:b/>
                <w:szCs w:val="24"/>
              </w:rPr>
            </w:pPr>
            <w:r>
              <w:rPr>
                <w:rFonts w:hint="eastAsia" w:ascii="方正书宋_GBK" w:hAnsi="Times New Roman" w:eastAsia="方正书宋_GBK" w:cs="Times New Roman"/>
                <w:b/>
                <w:szCs w:val="24"/>
              </w:rPr>
              <w:t>良</w:t>
            </w:r>
          </w:p>
        </w:tc>
        <w:tc>
          <w:tcPr>
            <w:tcW w:w="737" w:type="dxa"/>
            <w:shd w:val="clear" w:color="auto" w:fill="auto"/>
            <w:vAlign w:val="center"/>
          </w:tcPr>
          <w:p w14:paraId="2FEEB9E0">
            <w:pPr>
              <w:spacing w:line="300" w:lineRule="exact"/>
              <w:jc w:val="center"/>
              <w:rPr>
                <w:rFonts w:ascii="方正书宋_GBK" w:hAnsi="Times New Roman" w:eastAsia="方正书宋_GBK" w:cs="Times New Roman"/>
                <w:b/>
                <w:szCs w:val="24"/>
              </w:rPr>
            </w:pPr>
            <w:r>
              <w:rPr>
                <w:rFonts w:hint="eastAsia" w:ascii="方正书宋_GBK" w:hAnsi="Times New Roman" w:eastAsia="方正书宋_GBK" w:cs="Times New Roman"/>
                <w:b/>
                <w:szCs w:val="24"/>
              </w:rPr>
              <w:t>中</w:t>
            </w:r>
          </w:p>
        </w:tc>
        <w:tc>
          <w:tcPr>
            <w:tcW w:w="737" w:type="dxa"/>
            <w:shd w:val="clear" w:color="auto" w:fill="auto"/>
            <w:vAlign w:val="center"/>
          </w:tcPr>
          <w:p w14:paraId="45B52A16">
            <w:pPr>
              <w:spacing w:line="300" w:lineRule="exact"/>
              <w:jc w:val="center"/>
              <w:rPr>
                <w:rFonts w:ascii="方正书宋_GBK" w:hAnsi="Times New Roman" w:eastAsia="方正书宋_GBK" w:cs="Times New Roman"/>
                <w:b/>
                <w:szCs w:val="24"/>
              </w:rPr>
            </w:pPr>
            <w:r>
              <w:rPr>
                <w:rFonts w:hint="eastAsia" w:ascii="方正书宋_GBK" w:hAnsi="Times New Roman" w:eastAsia="方正书宋_GBK" w:cs="Times New Roman"/>
                <w:b/>
                <w:szCs w:val="24"/>
              </w:rPr>
              <w:t>差</w:t>
            </w:r>
          </w:p>
        </w:tc>
      </w:tr>
      <w:tr w14:paraId="66D3780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2341" w:type="dxa"/>
            <w:shd w:val="clear" w:color="auto" w:fill="auto"/>
            <w:vAlign w:val="center"/>
          </w:tcPr>
          <w:p w14:paraId="0D79DF8F">
            <w:pPr>
              <w:spacing w:line="240" w:lineRule="exact"/>
              <w:jc w:val="left"/>
              <w:rPr>
                <w:rFonts w:ascii="方正书宋_GBK" w:hAnsi="Times New Roman" w:eastAsia="方正书宋_GBK" w:cs="Times New Roman"/>
                <w:b/>
                <w:szCs w:val="24"/>
              </w:rPr>
            </w:pPr>
            <w:r>
              <w:rPr>
                <w:rFonts w:hint="eastAsia" w:ascii="方正书宋_GBK" w:hAnsi="Times New Roman" w:eastAsia="方正书宋_GBK" w:cs="Times New Roman"/>
                <w:b/>
                <w:szCs w:val="24"/>
              </w:rPr>
              <w:t>参政议政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15E57C1">
            <w:pPr>
              <w:spacing w:line="240" w:lineRule="exact"/>
              <w:jc w:val="left"/>
              <w:rPr>
                <w:rFonts w:ascii="方正书宋_GBK" w:hAnsi="Times New Roman" w:eastAsia="方正书宋_GBK" w:cs="Times New Roman"/>
                <w:szCs w:val="24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14:paraId="66903419">
            <w:pPr>
              <w:spacing w:line="240" w:lineRule="exact"/>
              <w:jc w:val="left"/>
              <w:rPr>
                <w:rFonts w:ascii="方正书宋_GBK" w:hAnsi="Times New Roman" w:eastAsia="方正书宋_GBK" w:cs="Times New Roman"/>
                <w:szCs w:val="24"/>
              </w:rPr>
            </w:pPr>
            <w:r>
              <w:rPr>
                <w:rFonts w:hint="eastAsia" w:ascii="方正书宋_GBK" w:hAnsi="Times New Roman" w:eastAsia="方正书宋_GBK" w:cs="Times New Roman"/>
                <w:szCs w:val="24"/>
              </w:rPr>
              <w:t>参政议政、社会服务等事项。</w:t>
            </w:r>
          </w:p>
        </w:tc>
        <w:tc>
          <w:tcPr>
            <w:tcW w:w="2976" w:type="dxa"/>
            <w:shd w:val="clear" w:color="auto" w:fill="auto"/>
            <w:vAlign w:val="center"/>
          </w:tcPr>
          <w:p w14:paraId="0530981F">
            <w:pPr>
              <w:spacing w:line="240" w:lineRule="exact"/>
              <w:jc w:val="left"/>
              <w:rPr>
                <w:rFonts w:ascii="方正书宋_GBK" w:hAnsi="Times New Roman" w:eastAsia="方正书宋_GBK" w:cs="Times New Roman"/>
                <w:szCs w:val="24"/>
              </w:rPr>
            </w:pPr>
            <w:r>
              <w:rPr>
                <w:rFonts w:hint="eastAsia" w:ascii="方正书宋_GBK" w:hAnsi="Times New Roman" w:eastAsia="方正书宋_GBK" w:cs="Times New Roman"/>
                <w:szCs w:val="24"/>
              </w:rPr>
              <w:t>组织开展调研，向县政协提交大会发言和集体提案，反映社情民意，组织会员企业参与农村面貌改造提升行动、社会扶贫和公益事业。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1C1BD70">
            <w:pPr>
              <w:spacing w:line="240" w:lineRule="exact"/>
              <w:jc w:val="left"/>
              <w:rPr>
                <w:rFonts w:ascii="方正书宋_GBK" w:hAnsi="Times New Roman" w:eastAsia="方正书宋_GBK" w:cs="Times New Roman"/>
                <w:szCs w:val="24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 w14:paraId="61D3581A">
            <w:pPr>
              <w:spacing w:line="240" w:lineRule="exact"/>
              <w:jc w:val="center"/>
              <w:rPr>
                <w:rFonts w:ascii="方正书宋_GBK" w:hAnsi="Times New Roman" w:eastAsia="方正书宋_GBK" w:cs="Times New Roman"/>
                <w:szCs w:val="24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 w14:paraId="47690416">
            <w:pPr>
              <w:spacing w:line="240" w:lineRule="exact"/>
              <w:jc w:val="center"/>
              <w:rPr>
                <w:rFonts w:ascii="方正书宋_GBK" w:hAnsi="Times New Roman" w:eastAsia="方正书宋_GBK" w:cs="Times New Roman"/>
                <w:szCs w:val="24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 w14:paraId="47FE9764">
            <w:pPr>
              <w:spacing w:line="240" w:lineRule="exact"/>
              <w:jc w:val="center"/>
              <w:rPr>
                <w:rFonts w:ascii="方正书宋_GBK" w:hAnsi="Times New Roman" w:eastAsia="方正书宋_GBK" w:cs="Times New Roman"/>
                <w:szCs w:val="24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 w14:paraId="020913FF">
            <w:pPr>
              <w:spacing w:line="240" w:lineRule="exact"/>
              <w:jc w:val="center"/>
              <w:rPr>
                <w:rFonts w:ascii="方正书宋_GBK" w:hAnsi="Times New Roman" w:eastAsia="方正书宋_GBK" w:cs="Times New Roman"/>
                <w:szCs w:val="24"/>
              </w:rPr>
            </w:pPr>
          </w:p>
        </w:tc>
      </w:tr>
      <w:tr w14:paraId="68A40B1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2341" w:type="dxa"/>
            <w:vMerge w:val="restart"/>
            <w:shd w:val="clear" w:color="auto" w:fill="auto"/>
            <w:vAlign w:val="center"/>
          </w:tcPr>
          <w:p w14:paraId="6C164862">
            <w:pPr>
              <w:spacing w:line="240" w:lineRule="exact"/>
              <w:jc w:val="left"/>
              <w:rPr>
                <w:rFonts w:ascii="方正书宋_GBK" w:hAnsi="Times New Roman" w:eastAsia="方正书宋_GBK" w:cs="Times New Roman"/>
                <w:b/>
                <w:szCs w:val="24"/>
              </w:rPr>
            </w:pPr>
            <w:r>
              <w:rPr>
                <w:rFonts w:hint="eastAsia" w:ascii="方正书宋_GBK" w:hAnsi="Times New Roman" w:eastAsia="方正书宋_GBK" w:cs="Times New Roman"/>
                <w:b/>
                <w:szCs w:val="24"/>
              </w:rPr>
              <w:t>　　参政议政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</w:tcPr>
          <w:p w14:paraId="46E0EAB7">
            <w:pPr>
              <w:spacing w:line="240" w:lineRule="exact"/>
              <w:jc w:val="left"/>
              <w:rPr>
                <w:rFonts w:ascii="方正书宋_GBK" w:hAnsi="Times New Roman" w:eastAsia="方正书宋_GBK" w:cs="Times New Roman"/>
                <w:szCs w:val="24"/>
              </w:rPr>
            </w:pPr>
          </w:p>
        </w:tc>
        <w:tc>
          <w:tcPr>
            <w:tcW w:w="2976" w:type="dxa"/>
            <w:vMerge w:val="restart"/>
            <w:shd w:val="clear" w:color="auto" w:fill="auto"/>
            <w:vAlign w:val="center"/>
          </w:tcPr>
          <w:p w14:paraId="72211F2A">
            <w:pPr>
              <w:spacing w:line="240" w:lineRule="exact"/>
              <w:jc w:val="left"/>
              <w:rPr>
                <w:rFonts w:ascii="方正书宋_GBK" w:hAnsi="Times New Roman" w:eastAsia="方正书宋_GBK" w:cs="Times New Roman"/>
                <w:szCs w:val="24"/>
              </w:rPr>
            </w:pPr>
            <w:r>
              <w:rPr>
                <w:rFonts w:hint="eastAsia" w:ascii="方正书宋_GBK" w:hAnsi="Times New Roman" w:eastAsia="方正书宋_GBK" w:cs="Times New Roman"/>
                <w:szCs w:val="24"/>
              </w:rPr>
              <w:t>组织开展调研，向县政协提交大会发言和集体提案，反映社情民意。</w:t>
            </w:r>
          </w:p>
        </w:tc>
        <w:tc>
          <w:tcPr>
            <w:tcW w:w="2976" w:type="dxa"/>
            <w:vMerge w:val="restart"/>
            <w:shd w:val="clear" w:color="auto" w:fill="auto"/>
            <w:vAlign w:val="center"/>
          </w:tcPr>
          <w:p w14:paraId="0676EB3D">
            <w:pPr>
              <w:spacing w:line="240" w:lineRule="exact"/>
              <w:jc w:val="left"/>
              <w:rPr>
                <w:rFonts w:ascii="方正书宋_GBK" w:hAnsi="Times New Roman" w:eastAsia="方正书宋_GBK" w:cs="Times New Roman"/>
                <w:szCs w:val="24"/>
              </w:rPr>
            </w:pPr>
            <w:r>
              <w:rPr>
                <w:rFonts w:hint="eastAsia" w:ascii="方正书宋_GBK" w:hAnsi="Times New Roman" w:eastAsia="方正书宋_GBK" w:cs="Times New Roman"/>
                <w:szCs w:val="24"/>
              </w:rPr>
              <w:t>提升参政议政水平，为国家治理和社会发展建言献策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0C0122A">
            <w:pPr>
              <w:spacing w:line="240" w:lineRule="exact"/>
              <w:jc w:val="left"/>
              <w:rPr>
                <w:rFonts w:ascii="方正书宋_GBK" w:hAnsi="Times New Roman" w:eastAsia="方正书宋_GBK" w:cs="Times New Roman"/>
                <w:szCs w:val="24"/>
              </w:rPr>
            </w:pPr>
            <w:r>
              <w:rPr>
                <w:rFonts w:hint="eastAsia" w:ascii="方正书宋_GBK" w:hAnsi="Times New Roman" w:eastAsia="方正书宋_GBK" w:cs="Times New Roman"/>
                <w:szCs w:val="24"/>
              </w:rPr>
              <w:t>提交提案数</w:t>
            </w:r>
          </w:p>
        </w:tc>
        <w:tc>
          <w:tcPr>
            <w:tcW w:w="737" w:type="dxa"/>
            <w:shd w:val="clear" w:color="auto" w:fill="auto"/>
            <w:vAlign w:val="center"/>
          </w:tcPr>
          <w:p w14:paraId="74B5B414">
            <w:pPr>
              <w:spacing w:line="240" w:lineRule="exact"/>
              <w:jc w:val="center"/>
              <w:rPr>
                <w:rFonts w:ascii="方正书宋_GBK" w:hAnsi="Times New Roman" w:eastAsia="方正书宋_GBK" w:cs="Times New Roman"/>
                <w:szCs w:val="24"/>
              </w:rPr>
            </w:pPr>
            <w:r>
              <w:rPr>
                <w:rFonts w:ascii="方正书宋_GBK" w:hAnsi="Times New Roman" w:eastAsia="方正书宋_GBK" w:cs="Times New Roman"/>
                <w:szCs w:val="24"/>
              </w:rPr>
              <w:t>3</w:t>
            </w:r>
          </w:p>
        </w:tc>
        <w:tc>
          <w:tcPr>
            <w:tcW w:w="737" w:type="dxa"/>
            <w:shd w:val="clear" w:color="auto" w:fill="auto"/>
            <w:vAlign w:val="center"/>
          </w:tcPr>
          <w:p w14:paraId="0D2650D3">
            <w:pPr>
              <w:spacing w:line="240" w:lineRule="exact"/>
              <w:jc w:val="center"/>
              <w:rPr>
                <w:rFonts w:ascii="方正书宋_GBK" w:hAnsi="Times New Roman" w:eastAsia="方正书宋_GBK" w:cs="Times New Roman"/>
                <w:szCs w:val="24"/>
              </w:rPr>
            </w:pPr>
            <w:r>
              <w:rPr>
                <w:rFonts w:ascii="方正书宋_GBK" w:hAnsi="Times New Roman" w:eastAsia="方正书宋_GBK" w:cs="Times New Roman"/>
                <w:szCs w:val="24"/>
              </w:rPr>
              <w:t>2</w:t>
            </w:r>
          </w:p>
        </w:tc>
        <w:tc>
          <w:tcPr>
            <w:tcW w:w="737" w:type="dxa"/>
            <w:shd w:val="clear" w:color="auto" w:fill="auto"/>
            <w:vAlign w:val="center"/>
          </w:tcPr>
          <w:p w14:paraId="7DF1F77C">
            <w:pPr>
              <w:spacing w:line="240" w:lineRule="exact"/>
              <w:jc w:val="center"/>
              <w:rPr>
                <w:rFonts w:ascii="方正书宋_GBK" w:hAnsi="Times New Roman" w:eastAsia="方正书宋_GBK" w:cs="Times New Roman"/>
                <w:szCs w:val="24"/>
              </w:rPr>
            </w:pPr>
            <w:r>
              <w:rPr>
                <w:rFonts w:ascii="方正书宋_GBK" w:hAnsi="Times New Roman" w:eastAsia="方正书宋_GBK" w:cs="Times New Roman"/>
                <w:szCs w:val="24"/>
              </w:rPr>
              <w:t>1</w:t>
            </w:r>
          </w:p>
        </w:tc>
        <w:tc>
          <w:tcPr>
            <w:tcW w:w="737" w:type="dxa"/>
            <w:shd w:val="clear" w:color="auto" w:fill="auto"/>
            <w:vAlign w:val="center"/>
          </w:tcPr>
          <w:p w14:paraId="5A85A8E7">
            <w:pPr>
              <w:spacing w:line="240" w:lineRule="exact"/>
              <w:jc w:val="center"/>
              <w:rPr>
                <w:rFonts w:ascii="方正书宋_GBK" w:hAnsi="Times New Roman" w:eastAsia="方正书宋_GBK" w:cs="Times New Roman"/>
                <w:szCs w:val="24"/>
              </w:rPr>
            </w:pPr>
            <w:r>
              <w:rPr>
                <w:rFonts w:ascii="方正书宋_GBK" w:hAnsi="Times New Roman" w:eastAsia="方正书宋_GBK" w:cs="Times New Roman"/>
                <w:szCs w:val="24"/>
              </w:rPr>
              <w:t>0</w:t>
            </w:r>
          </w:p>
        </w:tc>
      </w:tr>
      <w:tr w14:paraId="1B32F9A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2341" w:type="dxa"/>
            <w:vMerge w:val="continue"/>
            <w:shd w:val="clear" w:color="auto" w:fill="auto"/>
            <w:vAlign w:val="center"/>
          </w:tcPr>
          <w:p w14:paraId="44799FDA">
            <w:pPr>
              <w:spacing w:line="240" w:lineRule="exact"/>
              <w:jc w:val="left"/>
              <w:rPr>
                <w:rFonts w:ascii="方正书宋_GBK" w:hAnsi="Times New Roman" w:eastAsia="方正书宋_GBK" w:cs="Times New Roman"/>
                <w:b/>
                <w:szCs w:val="24"/>
              </w:rPr>
            </w:pPr>
          </w:p>
        </w:tc>
        <w:tc>
          <w:tcPr>
            <w:tcW w:w="1276" w:type="dxa"/>
            <w:vMerge w:val="continue"/>
            <w:shd w:val="clear" w:color="auto" w:fill="auto"/>
            <w:vAlign w:val="center"/>
          </w:tcPr>
          <w:p w14:paraId="6626EAA1">
            <w:pPr>
              <w:spacing w:line="240" w:lineRule="exact"/>
              <w:jc w:val="left"/>
              <w:rPr>
                <w:rFonts w:ascii="方正书宋_GBK" w:hAnsi="Times New Roman" w:eastAsia="方正书宋_GBK" w:cs="Times New Roman"/>
                <w:szCs w:val="24"/>
              </w:rPr>
            </w:pPr>
          </w:p>
        </w:tc>
        <w:tc>
          <w:tcPr>
            <w:tcW w:w="2976" w:type="dxa"/>
            <w:vMerge w:val="continue"/>
            <w:shd w:val="clear" w:color="auto" w:fill="auto"/>
            <w:vAlign w:val="center"/>
          </w:tcPr>
          <w:p w14:paraId="00851C0B">
            <w:pPr>
              <w:spacing w:line="240" w:lineRule="exact"/>
              <w:jc w:val="left"/>
              <w:rPr>
                <w:rFonts w:ascii="方正书宋_GBK" w:hAnsi="Times New Roman" w:eastAsia="方正书宋_GBK" w:cs="Times New Roman"/>
                <w:szCs w:val="24"/>
              </w:rPr>
            </w:pPr>
          </w:p>
        </w:tc>
        <w:tc>
          <w:tcPr>
            <w:tcW w:w="2976" w:type="dxa"/>
            <w:vMerge w:val="continue"/>
            <w:shd w:val="clear" w:color="auto" w:fill="auto"/>
            <w:vAlign w:val="center"/>
          </w:tcPr>
          <w:p w14:paraId="6113532F">
            <w:pPr>
              <w:spacing w:line="240" w:lineRule="exact"/>
              <w:jc w:val="left"/>
              <w:rPr>
                <w:rFonts w:ascii="方正书宋_GBK" w:hAnsi="Times New Roman" w:eastAsia="方正书宋_GBK" w:cs="Times New Roman"/>
                <w:szCs w:val="24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5BA028B2">
            <w:pPr>
              <w:spacing w:line="240" w:lineRule="exact"/>
              <w:jc w:val="left"/>
              <w:rPr>
                <w:rFonts w:ascii="方正书宋_GBK" w:hAnsi="Times New Roman" w:eastAsia="方正书宋_GBK" w:cs="Times New Roman"/>
                <w:szCs w:val="24"/>
              </w:rPr>
            </w:pPr>
            <w:r>
              <w:rPr>
                <w:rFonts w:hint="eastAsia" w:ascii="方正书宋_GBK" w:hAnsi="Times New Roman" w:eastAsia="方正书宋_GBK" w:cs="Times New Roman"/>
                <w:szCs w:val="24"/>
              </w:rPr>
              <w:t>反映社情民意数</w:t>
            </w:r>
          </w:p>
        </w:tc>
        <w:tc>
          <w:tcPr>
            <w:tcW w:w="737" w:type="dxa"/>
            <w:shd w:val="clear" w:color="auto" w:fill="auto"/>
            <w:vAlign w:val="center"/>
          </w:tcPr>
          <w:p w14:paraId="6AD57D4B">
            <w:pPr>
              <w:spacing w:line="240" w:lineRule="exact"/>
              <w:jc w:val="center"/>
              <w:rPr>
                <w:rFonts w:ascii="方正书宋_GBK" w:hAnsi="Times New Roman" w:eastAsia="方正书宋_GBK" w:cs="Times New Roman"/>
                <w:szCs w:val="24"/>
              </w:rPr>
            </w:pPr>
            <w:r>
              <w:rPr>
                <w:rFonts w:ascii="方正书宋_GBK" w:hAnsi="Times New Roman" w:eastAsia="方正书宋_GBK" w:cs="Times New Roman"/>
                <w:szCs w:val="24"/>
              </w:rPr>
              <w:t>3</w:t>
            </w:r>
          </w:p>
        </w:tc>
        <w:tc>
          <w:tcPr>
            <w:tcW w:w="737" w:type="dxa"/>
            <w:shd w:val="clear" w:color="auto" w:fill="auto"/>
            <w:vAlign w:val="center"/>
          </w:tcPr>
          <w:p w14:paraId="74563A69">
            <w:pPr>
              <w:spacing w:line="240" w:lineRule="exact"/>
              <w:jc w:val="center"/>
              <w:rPr>
                <w:rFonts w:ascii="方正书宋_GBK" w:hAnsi="Times New Roman" w:eastAsia="方正书宋_GBK" w:cs="Times New Roman"/>
                <w:szCs w:val="24"/>
              </w:rPr>
            </w:pPr>
            <w:r>
              <w:rPr>
                <w:rFonts w:ascii="方正书宋_GBK" w:hAnsi="Times New Roman" w:eastAsia="方正书宋_GBK" w:cs="Times New Roman"/>
                <w:szCs w:val="24"/>
              </w:rPr>
              <w:t>2</w:t>
            </w:r>
          </w:p>
        </w:tc>
        <w:tc>
          <w:tcPr>
            <w:tcW w:w="737" w:type="dxa"/>
            <w:shd w:val="clear" w:color="auto" w:fill="auto"/>
            <w:vAlign w:val="center"/>
          </w:tcPr>
          <w:p w14:paraId="223F6FAD">
            <w:pPr>
              <w:spacing w:line="240" w:lineRule="exact"/>
              <w:jc w:val="center"/>
              <w:rPr>
                <w:rFonts w:ascii="方正书宋_GBK" w:hAnsi="Times New Roman" w:eastAsia="方正书宋_GBK" w:cs="Times New Roman"/>
                <w:szCs w:val="24"/>
              </w:rPr>
            </w:pPr>
            <w:r>
              <w:rPr>
                <w:rFonts w:ascii="方正书宋_GBK" w:hAnsi="Times New Roman" w:eastAsia="方正书宋_GBK" w:cs="Times New Roman"/>
                <w:szCs w:val="24"/>
              </w:rPr>
              <w:t>1</w:t>
            </w:r>
          </w:p>
        </w:tc>
        <w:tc>
          <w:tcPr>
            <w:tcW w:w="737" w:type="dxa"/>
            <w:shd w:val="clear" w:color="auto" w:fill="auto"/>
            <w:vAlign w:val="center"/>
          </w:tcPr>
          <w:p w14:paraId="7957C974">
            <w:pPr>
              <w:spacing w:line="240" w:lineRule="exact"/>
              <w:jc w:val="center"/>
              <w:rPr>
                <w:rFonts w:ascii="方正书宋_GBK" w:hAnsi="Times New Roman" w:eastAsia="方正书宋_GBK" w:cs="Times New Roman"/>
                <w:szCs w:val="24"/>
              </w:rPr>
            </w:pPr>
            <w:r>
              <w:rPr>
                <w:rFonts w:ascii="方正书宋_GBK" w:hAnsi="Times New Roman" w:eastAsia="方正书宋_GBK" w:cs="Times New Roman"/>
                <w:szCs w:val="24"/>
              </w:rPr>
              <w:t>0</w:t>
            </w:r>
          </w:p>
        </w:tc>
      </w:tr>
      <w:tr w14:paraId="270E387C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2341" w:type="dxa"/>
            <w:vMerge w:val="continue"/>
            <w:shd w:val="clear" w:color="auto" w:fill="auto"/>
            <w:vAlign w:val="center"/>
          </w:tcPr>
          <w:p w14:paraId="68F09819">
            <w:pPr>
              <w:spacing w:line="240" w:lineRule="exact"/>
              <w:jc w:val="left"/>
              <w:rPr>
                <w:rFonts w:ascii="方正书宋_GBK" w:hAnsi="Times New Roman" w:eastAsia="方正书宋_GBK" w:cs="Times New Roman"/>
                <w:b/>
                <w:szCs w:val="24"/>
              </w:rPr>
            </w:pPr>
          </w:p>
        </w:tc>
        <w:tc>
          <w:tcPr>
            <w:tcW w:w="1276" w:type="dxa"/>
            <w:vMerge w:val="continue"/>
            <w:shd w:val="clear" w:color="auto" w:fill="auto"/>
            <w:vAlign w:val="center"/>
          </w:tcPr>
          <w:p w14:paraId="00CDD7AE">
            <w:pPr>
              <w:spacing w:line="240" w:lineRule="exact"/>
              <w:jc w:val="left"/>
              <w:rPr>
                <w:rFonts w:ascii="方正书宋_GBK" w:hAnsi="Times New Roman" w:eastAsia="方正书宋_GBK" w:cs="Times New Roman"/>
                <w:szCs w:val="24"/>
              </w:rPr>
            </w:pPr>
          </w:p>
        </w:tc>
        <w:tc>
          <w:tcPr>
            <w:tcW w:w="2976" w:type="dxa"/>
            <w:vMerge w:val="continue"/>
            <w:shd w:val="clear" w:color="auto" w:fill="auto"/>
            <w:vAlign w:val="center"/>
          </w:tcPr>
          <w:p w14:paraId="15F11877">
            <w:pPr>
              <w:spacing w:line="240" w:lineRule="exact"/>
              <w:jc w:val="left"/>
              <w:rPr>
                <w:rFonts w:ascii="方正书宋_GBK" w:hAnsi="Times New Roman" w:eastAsia="方正书宋_GBK" w:cs="Times New Roman"/>
                <w:szCs w:val="24"/>
              </w:rPr>
            </w:pPr>
          </w:p>
        </w:tc>
        <w:tc>
          <w:tcPr>
            <w:tcW w:w="2976" w:type="dxa"/>
            <w:vMerge w:val="continue"/>
            <w:shd w:val="clear" w:color="auto" w:fill="auto"/>
            <w:vAlign w:val="center"/>
          </w:tcPr>
          <w:p w14:paraId="7C21DEC4">
            <w:pPr>
              <w:spacing w:line="240" w:lineRule="exact"/>
              <w:jc w:val="left"/>
              <w:rPr>
                <w:rFonts w:ascii="方正书宋_GBK" w:hAnsi="Times New Roman" w:eastAsia="方正书宋_GBK" w:cs="Times New Roman"/>
                <w:szCs w:val="24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7F1115D7">
            <w:pPr>
              <w:spacing w:line="240" w:lineRule="exact"/>
              <w:jc w:val="left"/>
              <w:rPr>
                <w:rFonts w:ascii="方正书宋_GBK" w:hAnsi="Times New Roman" w:eastAsia="方正书宋_GBK" w:cs="Times New Roman"/>
                <w:szCs w:val="24"/>
              </w:rPr>
            </w:pPr>
            <w:r>
              <w:rPr>
                <w:rFonts w:hint="eastAsia" w:ascii="方正书宋_GBK" w:hAnsi="Times New Roman" w:eastAsia="方正书宋_GBK" w:cs="Times New Roman"/>
                <w:szCs w:val="24"/>
              </w:rPr>
              <w:t>提交调研报告数</w:t>
            </w:r>
          </w:p>
        </w:tc>
        <w:tc>
          <w:tcPr>
            <w:tcW w:w="737" w:type="dxa"/>
            <w:shd w:val="clear" w:color="auto" w:fill="auto"/>
            <w:vAlign w:val="center"/>
          </w:tcPr>
          <w:p w14:paraId="17EB08DF">
            <w:pPr>
              <w:spacing w:line="240" w:lineRule="exact"/>
              <w:jc w:val="center"/>
              <w:rPr>
                <w:rFonts w:ascii="方正书宋_GBK" w:hAnsi="Times New Roman" w:eastAsia="方正书宋_GBK" w:cs="Times New Roman"/>
                <w:szCs w:val="24"/>
              </w:rPr>
            </w:pPr>
            <w:r>
              <w:rPr>
                <w:rFonts w:ascii="方正书宋_GBK" w:hAnsi="Times New Roman" w:eastAsia="方正书宋_GBK" w:cs="Times New Roman"/>
                <w:szCs w:val="24"/>
              </w:rPr>
              <w:t>3</w:t>
            </w:r>
          </w:p>
        </w:tc>
        <w:tc>
          <w:tcPr>
            <w:tcW w:w="737" w:type="dxa"/>
            <w:shd w:val="clear" w:color="auto" w:fill="auto"/>
            <w:vAlign w:val="center"/>
          </w:tcPr>
          <w:p w14:paraId="2057DF92">
            <w:pPr>
              <w:spacing w:line="240" w:lineRule="exact"/>
              <w:jc w:val="center"/>
              <w:rPr>
                <w:rFonts w:ascii="方正书宋_GBK" w:hAnsi="Times New Roman" w:eastAsia="方正书宋_GBK" w:cs="Times New Roman"/>
                <w:szCs w:val="24"/>
              </w:rPr>
            </w:pPr>
            <w:r>
              <w:rPr>
                <w:rFonts w:ascii="方正书宋_GBK" w:hAnsi="Times New Roman" w:eastAsia="方正书宋_GBK" w:cs="Times New Roman"/>
                <w:szCs w:val="24"/>
              </w:rPr>
              <w:t>2</w:t>
            </w:r>
          </w:p>
        </w:tc>
        <w:tc>
          <w:tcPr>
            <w:tcW w:w="737" w:type="dxa"/>
            <w:shd w:val="clear" w:color="auto" w:fill="auto"/>
            <w:vAlign w:val="center"/>
          </w:tcPr>
          <w:p w14:paraId="1259C074">
            <w:pPr>
              <w:spacing w:line="240" w:lineRule="exact"/>
              <w:jc w:val="center"/>
              <w:rPr>
                <w:rFonts w:ascii="方正书宋_GBK" w:hAnsi="Times New Roman" w:eastAsia="方正书宋_GBK" w:cs="Times New Roman"/>
                <w:szCs w:val="24"/>
              </w:rPr>
            </w:pPr>
            <w:r>
              <w:rPr>
                <w:rFonts w:ascii="方正书宋_GBK" w:hAnsi="Times New Roman" w:eastAsia="方正书宋_GBK" w:cs="Times New Roman"/>
                <w:szCs w:val="24"/>
              </w:rPr>
              <w:t>0</w:t>
            </w:r>
          </w:p>
        </w:tc>
        <w:tc>
          <w:tcPr>
            <w:tcW w:w="737" w:type="dxa"/>
            <w:shd w:val="clear" w:color="auto" w:fill="auto"/>
            <w:vAlign w:val="center"/>
          </w:tcPr>
          <w:p w14:paraId="728FCB75">
            <w:pPr>
              <w:spacing w:line="240" w:lineRule="exact"/>
              <w:jc w:val="center"/>
              <w:rPr>
                <w:rFonts w:ascii="方正书宋_GBK" w:hAnsi="Times New Roman" w:eastAsia="方正书宋_GBK" w:cs="Times New Roman"/>
                <w:szCs w:val="24"/>
              </w:rPr>
            </w:pPr>
            <w:r>
              <w:rPr>
                <w:rFonts w:ascii="方正书宋_GBK" w:hAnsi="Times New Roman" w:eastAsia="方正书宋_GBK" w:cs="Times New Roman"/>
                <w:szCs w:val="24"/>
              </w:rPr>
              <w:t>0</w:t>
            </w:r>
          </w:p>
        </w:tc>
      </w:tr>
      <w:tr w14:paraId="738D1B4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2341" w:type="dxa"/>
            <w:vMerge w:val="restart"/>
            <w:shd w:val="clear" w:color="auto" w:fill="auto"/>
            <w:vAlign w:val="center"/>
          </w:tcPr>
          <w:p w14:paraId="280B15B8">
            <w:pPr>
              <w:spacing w:line="240" w:lineRule="exact"/>
              <w:jc w:val="left"/>
              <w:rPr>
                <w:rFonts w:ascii="方正书宋_GBK" w:hAnsi="Times New Roman" w:eastAsia="方正书宋_GBK" w:cs="Times New Roman"/>
                <w:b/>
                <w:szCs w:val="24"/>
              </w:rPr>
            </w:pPr>
            <w:r>
              <w:rPr>
                <w:rFonts w:hint="eastAsia" w:ascii="方正书宋_GBK" w:hAnsi="Times New Roman" w:eastAsia="方正书宋_GBK" w:cs="Times New Roman"/>
                <w:b/>
                <w:szCs w:val="24"/>
              </w:rPr>
              <w:t>　　社会服务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</w:tcPr>
          <w:p w14:paraId="0F6D212B">
            <w:pPr>
              <w:spacing w:line="240" w:lineRule="exact"/>
              <w:jc w:val="left"/>
              <w:rPr>
                <w:rFonts w:ascii="方正书宋_GBK" w:hAnsi="Times New Roman" w:eastAsia="方正书宋_GBK" w:cs="Times New Roman"/>
                <w:szCs w:val="24"/>
              </w:rPr>
            </w:pPr>
          </w:p>
        </w:tc>
        <w:tc>
          <w:tcPr>
            <w:tcW w:w="2976" w:type="dxa"/>
            <w:vMerge w:val="restart"/>
            <w:shd w:val="clear" w:color="auto" w:fill="auto"/>
            <w:vAlign w:val="center"/>
          </w:tcPr>
          <w:p w14:paraId="477F4EC5">
            <w:pPr>
              <w:spacing w:line="240" w:lineRule="exact"/>
              <w:jc w:val="left"/>
              <w:rPr>
                <w:rFonts w:ascii="方正书宋_GBK" w:hAnsi="Times New Roman" w:eastAsia="方正书宋_GBK" w:cs="Times New Roman"/>
                <w:szCs w:val="24"/>
              </w:rPr>
            </w:pPr>
            <w:r>
              <w:rPr>
                <w:rFonts w:hint="eastAsia" w:ascii="方正书宋_GBK" w:hAnsi="Times New Roman" w:eastAsia="方正书宋_GBK" w:cs="Times New Roman"/>
                <w:szCs w:val="24"/>
              </w:rPr>
              <w:t>积极搭建服务平台，举办招商会、银企对接会、招商引资，民企入县活动及法律维权、科技进民企活动。加强与国内知名企业、海外工商社团的合作交流。组织会员企业参与农村面貌改造提升行动、社会扶贫和公益事业。</w:t>
            </w:r>
          </w:p>
        </w:tc>
        <w:tc>
          <w:tcPr>
            <w:tcW w:w="2976" w:type="dxa"/>
            <w:vMerge w:val="restart"/>
            <w:shd w:val="clear" w:color="auto" w:fill="auto"/>
            <w:vAlign w:val="center"/>
          </w:tcPr>
          <w:p w14:paraId="0A6511F3">
            <w:pPr>
              <w:spacing w:line="240" w:lineRule="exact"/>
              <w:jc w:val="left"/>
              <w:rPr>
                <w:rFonts w:ascii="方正书宋_GBK" w:hAnsi="Times New Roman" w:eastAsia="方正书宋_GBK" w:cs="Times New Roman"/>
                <w:szCs w:val="24"/>
              </w:rPr>
            </w:pPr>
            <w:r>
              <w:rPr>
                <w:rFonts w:hint="eastAsia" w:ascii="方正书宋_GBK" w:hAnsi="Times New Roman" w:eastAsia="方正书宋_GBK" w:cs="Times New Roman"/>
                <w:szCs w:val="24"/>
              </w:rPr>
              <w:t>助力</w:t>
            </w:r>
            <w:r>
              <w:rPr>
                <w:rFonts w:hint="cs" w:ascii="方正书宋_GBK" w:hAnsi="Times New Roman" w:eastAsia="方正书宋_GBK" w:cs="Times New Roman"/>
                <w:szCs w:val="24"/>
              </w:rPr>
              <w:t>“</w:t>
            </w:r>
            <w:r>
              <w:rPr>
                <w:rFonts w:hint="eastAsia" w:ascii="方正书宋_GBK" w:hAnsi="Times New Roman" w:eastAsia="方正书宋_GBK" w:cs="Times New Roman"/>
                <w:szCs w:val="24"/>
              </w:rPr>
              <w:t>京津冀</w:t>
            </w:r>
            <w:r>
              <w:rPr>
                <w:rFonts w:hint="cs" w:ascii="方正书宋_GBK" w:hAnsi="Times New Roman" w:eastAsia="方正书宋_GBK" w:cs="Times New Roman"/>
                <w:szCs w:val="24"/>
              </w:rPr>
              <w:t>”</w:t>
            </w:r>
            <w:r>
              <w:rPr>
                <w:rFonts w:hint="eastAsia" w:ascii="方正书宋_GBK" w:hAnsi="Times New Roman" w:eastAsia="方正书宋_GBK" w:cs="Times New Roman"/>
                <w:szCs w:val="24"/>
              </w:rPr>
              <w:t>三地民营企业经济协同发展及三地工商联工作协同化，引导会员积极承担社会职责，热心公益事业，投身光彩事业，加强与海外社团沟通交流，发挥工商联在政府管理和服务非公有制经济中的助手作用，助力河北经济发展。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792E495">
            <w:pPr>
              <w:spacing w:line="240" w:lineRule="exact"/>
              <w:jc w:val="left"/>
              <w:rPr>
                <w:rFonts w:ascii="方正书宋_GBK" w:hAnsi="Times New Roman" w:eastAsia="方正书宋_GBK" w:cs="Times New Roman"/>
                <w:szCs w:val="24"/>
              </w:rPr>
            </w:pPr>
            <w:r>
              <w:rPr>
                <w:rFonts w:hint="eastAsia" w:ascii="方正书宋_GBK" w:hAnsi="Times New Roman" w:eastAsia="方正书宋_GBK" w:cs="Times New Roman"/>
                <w:szCs w:val="24"/>
              </w:rPr>
              <w:t>招商引资活动数</w:t>
            </w:r>
          </w:p>
        </w:tc>
        <w:tc>
          <w:tcPr>
            <w:tcW w:w="737" w:type="dxa"/>
            <w:shd w:val="clear" w:color="auto" w:fill="auto"/>
            <w:vAlign w:val="center"/>
          </w:tcPr>
          <w:p w14:paraId="3C0417EE">
            <w:pPr>
              <w:spacing w:line="240" w:lineRule="exact"/>
              <w:jc w:val="center"/>
              <w:rPr>
                <w:rFonts w:ascii="方正书宋_GBK" w:hAnsi="Times New Roman" w:eastAsia="方正书宋_GBK" w:cs="Times New Roman"/>
                <w:szCs w:val="24"/>
              </w:rPr>
            </w:pPr>
            <w:r>
              <w:rPr>
                <w:rFonts w:ascii="方正书宋_GBK" w:hAnsi="Times New Roman" w:eastAsia="方正书宋_GBK" w:cs="Times New Roman"/>
                <w:szCs w:val="24"/>
              </w:rPr>
              <w:t>3</w:t>
            </w:r>
          </w:p>
        </w:tc>
        <w:tc>
          <w:tcPr>
            <w:tcW w:w="737" w:type="dxa"/>
            <w:shd w:val="clear" w:color="auto" w:fill="auto"/>
            <w:vAlign w:val="center"/>
          </w:tcPr>
          <w:p w14:paraId="2137E6FC">
            <w:pPr>
              <w:spacing w:line="240" w:lineRule="exact"/>
              <w:jc w:val="center"/>
              <w:rPr>
                <w:rFonts w:ascii="方正书宋_GBK" w:hAnsi="Times New Roman" w:eastAsia="方正书宋_GBK" w:cs="Times New Roman"/>
                <w:szCs w:val="24"/>
              </w:rPr>
            </w:pPr>
            <w:r>
              <w:rPr>
                <w:rFonts w:ascii="方正书宋_GBK" w:hAnsi="Times New Roman" w:eastAsia="方正书宋_GBK" w:cs="Times New Roman"/>
                <w:szCs w:val="24"/>
              </w:rPr>
              <w:t>2</w:t>
            </w:r>
          </w:p>
        </w:tc>
        <w:tc>
          <w:tcPr>
            <w:tcW w:w="737" w:type="dxa"/>
            <w:shd w:val="clear" w:color="auto" w:fill="auto"/>
            <w:vAlign w:val="center"/>
          </w:tcPr>
          <w:p w14:paraId="6B5F6067">
            <w:pPr>
              <w:spacing w:line="240" w:lineRule="exact"/>
              <w:jc w:val="center"/>
              <w:rPr>
                <w:rFonts w:ascii="方正书宋_GBK" w:hAnsi="Times New Roman" w:eastAsia="方正书宋_GBK" w:cs="Times New Roman"/>
                <w:szCs w:val="24"/>
              </w:rPr>
            </w:pPr>
            <w:r>
              <w:rPr>
                <w:rFonts w:ascii="方正书宋_GBK" w:hAnsi="Times New Roman" w:eastAsia="方正书宋_GBK" w:cs="Times New Roman"/>
                <w:szCs w:val="24"/>
              </w:rPr>
              <w:t>1</w:t>
            </w:r>
          </w:p>
        </w:tc>
        <w:tc>
          <w:tcPr>
            <w:tcW w:w="737" w:type="dxa"/>
            <w:shd w:val="clear" w:color="auto" w:fill="auto"/>
            <w:vAlign w:val="center"/>
          </w:tcPr>
          <w:p w14:paraId="5EC994B8">
            <w:pPr>
              <w:spacing w:line="240" w:lineRule="exact"/>
              <w:jc w:val="center"/>
              <w:rPr>
                <w:rFonts w:ascii="方正书宋_GBK" w:hAnsi="Times New Roman" w:eastAsia="方正书宋_GBK" w:cs="Times New Roman"/>
                <w:szCs w:val="24"/>
              </w:rPr>
            </w:pPr>
            <w:r>
              <w:rPr>
                <w:rFonts w:ascii="方正书宋_GBK" w:hAnsi="Times New Roman" w:eastAsia="方正书宋_GBK" w:cs="Times New Roman"/>
                <w:szCs w:val="24"/>
              </w:rPr>
              <w:t>0</w:t>
            </w:r>
          </w:p>
        </w:tc>
      </w:tr>
      <w:tr w14:paraId="1D7352D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2341" w:type="dxa"/>
            <w:vMerge w:val="continue"/>
            <w:shd w:val="clear" w:color="auto" w:fill="auto"/>
            <w:vAlign w:val="center"/>
          </w:tcPr>
          <w:p w14:paraId="0DE878C1">
            <w:pPr>
              <w:spacing w:line="240" w:lineRule="exact"/>
              <w:jc w:val="left"/>
              <w:rPr>
                <w:rFonts w:ascii="方正书宋_GBK" w:hAnsi="Times New Roman" w:eastAsia="方正书宋_GBK" w:cs="Times New Roman"/>
                <w:b/>
                <w:szCs w:val="24"/>
              </w:rPr>
            </w:pPr>
          </w:p>
        </w:tc>
        <w:tc>
          <w:tcPr>
            <w:tcW w:w="1276" w:type="dxa"/>
            <w:vMerge w:val="continue"/>
            <w:shd w:val="clear" w:color="auto" w:fill="auto"/>
            <w:vAlign w:val="center"/>
          </w:tcPr>
          <w:p w14:paraId="6C410415">
            <w:pPr>
              <w:spacing w:line="240" w:lineRule="exact"/>
              <w:jc w:val="left"/>
              <w:rPr>
                <w:rFonts w:ascii="方正书宋_GBK" w:hAnsi="Times New Roman" w:eastAsia="方正书宋_GBK" w:cs="Times New Roman"/>
                <w:szCs w:val="24"/>
              </w:rPr>
            </w:pPr>
          </w:p>
        </w:tc>
        <w:tc>
          <w:tcPr>
            <w:tcW w:w="2976" w:type="dxa"/>
            <w:vMerge w:val="continue"/>
            <w:shd w:val="clear" w:color="auto" w:fill="auto"/>
            <w:vAlign w:val="center"/>
          </w:tcPr>
          <w:p w14:paraId="732F637A">
            <w:pPr>
              <w:spacing w:line="240" w:lineRule="exact"/>
              <w:jc w:val="left"/>
              <w:rPr>
                <w:rFonts w:ascii="方正书宋_GBK" w:hAnsi="Times New Roman" w:eastAsia="方正书宋_GBK" w:cs="Times New Roman"/>
                <w:szCs w:val="24"/>
              </w:rPr>
            </w:pPr>
          </w:p>
        </w:tc>
        <w:tc>
          <w:tcPr>
            <w:tcW w:w="2976" w:type="dxa"/>
            <w:vMerge w:val="continue"/>
            <w:shd w:val="clear" w:color="auto" w:fill="auto"/>
            <w:vAlign w:val="center"/>
          </w:tcPr>
          <w:p w14:paraId="56296359">
            <w:pPr>
              <w:spacing w:line="240" w:lineRule="exact"/>
              <w:jc w:val="left"/>
              <w:rPr>
                <w:rFonts w:ascii="方正书宋_GBK" w:hAnsi="Times New Roman" w:eastAsia="方正书宋_GBK" w:cs="Times New Roman"/>
                <w:szCs w:val="24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6571DD31">
            <w:pPr>
              <w:spacing w:line="240" w:lineRule="exact"/>
              <w:jc w:val="left"/>
              <w:rPr>
                <w:rFonts w:ascii="方正书宋_GBK" w:hAnsi="Times New Roman" w:eastAsia="方正书宋_GBK" w:cs="Times New Roman"/>
                <w:szCs w:val="24"/>
              </w:rPr>
            </w:pPr>
            <w:r>
              <w:rPr>
                <w:rFonts w:hint="eastAsia" w:ascii="方正书宋_GBK" w:hAnsi="Times New Roman" w:eastAsia="方正书宋_GBK" w:cs="Times New Roman"/>
                <w:szCs w:val="24"/>
              </w:rPr>
              <w:t>合作与交流次数</w:t>
            </w:r>
          </w:p>
        </w:tc>
        <w:tc>
          <w:tcPr>
            <w:tcW w:w="737" w:type="dxa"/>
            <w:shd w:val="clear" w:color="auto" w:fill="auto"/>
            <w:vAlign w:val="center"/>
          </w:tcPr>
          <w:p w14:paraId="6B253AE1">
            <w:pPr>
              <w:spacing w:line="240" w:lineRule="exact"/>
              <w:jc w:val="center"/>
              <w:rPr>
                <w:rFonts w:ascii="方正书宋_GBK" w:hAnsi="Times New Roman" w:eastAsia="方正书宋_GBK" w:cs="Times New Roman"/>
                <w:szCs w:val="24"/>
              </w:rPr>
            </w:pPr>
            <w:r>
              <w:rPr>
                <w:rFonts w:ascii="方正书宋_GBK" w:hAnsi="Times New Roman" w:eastAsia="方正书宋_GBK" w:cs="Times New Roman"/>
                <w:szCs w:val="24"/>
              </w:rPr>
              <w:t>3</w:t>
            </w:r>
          </w:p>
        </w:tc>
        <w:tc>
          <w:tcPr>
            <w:tcW w:w="737" w:type="dxa"/>
            <w:shd w:val="clear" w:color="auto" w:fill="auto"/>
            <w:vAlign w:val="center"/>
          </w:tcPr>
          <w:p w14:paraId="7C7121F4">
            <w:pPr>
              <w:spacing w:line="240" w:lineRule="exact"/>
              <w:jc w:val="center"/>
              <w:rPr>
                <w:rFonts w:ascii="方正书宋_GBK" w:hAnsi="Times New Roman" w:eastAsia="方正书宋_GBK" w:cs="Times New Roman"/>
                <w:szCs w:val="24"/>
              </w:rPr>
            </w:pPr>
            <w:r>
              <w:rPr>
                <w:rFonts w:ascii="方正书宋_GBK" w:hAnsi="Times New Roman" w:eastAsia="方正书宋_GBK" w:cs="Times New Roman"/>
                <w:szCs w:val="24"/>
              </w:rPr>
              <w:t>2</w:t>
            </w:r>
          </w:p>
        </w:tc>
        <w:tc>
          <w:tcPr>
            <w:tcW w:w="737" w:type="dxa"/>
            <w:shd w:val="clear" w:color="auto" w:fill="auto"/>
            <w:vAlign w:val="center"/>
          </w:tcPr>
          <w:p w14:paraId="26EC3DE0">
            <w:pPr>
              <w:spacing w:line="240" w:lineRule="exact"/>
              <w:jc w:val="center"/>
              <w:rPr>
                <w:rFonts w:ascii="方正书宋_GBK" w:hAnsi="Times New Roman" w:eastAsia="方正书宋_GBK" w:cs="Times New Roman"/>
                <w:szCs w:val="24"/>
              </w:rPr>
            </w:pPr>
            <w:r>
              <w:rPr>
                <w:rFonts w:ascii="方正书宋_GBK" w:hAnsi="Times New Roman" w:eastAsia="方正书宋_GBK" w:cs="Times New Roman"/>
                <w:szCs w:val="24"/>
              </w:rPr>
              <w:t>1</w:t>
            </w:r>
          </w:p>
        </w:tc>
        <w:tc>
          <w:tcPr>
            <w:tcW w:w="737" w:type="dxa"/>
            <w:shd w:val="clear" w:color="auto" w:fill="auto"/>
            <w:vAlign w:val="center"/>
          </w:tcPr>
          <w:p w14:paraId="052CB1DC">
            <w:pPr>
              <w:spacing w:line="240" w:lineRule="exact"/>
              <w:jc w:val="center"/>
              <w:rPr>
                <w:rFonts w:ascii="方正书宋_GBK" w:hAnsi="Times New Roman" w:eastAsia="方正书宋_GBK" w:cs="Times New Roman"/>
                <w:szCs w:val="24"/>
              </w:rPr>
            </w:pPr>
            <w:r>
              <w:rPr>
                <w:rFonts w:ascii="方正书宋_GBK" w:hAnsi="Times New Roman" w:eastAsia="方正书宋_GBK" w:cs="Times New Roman"/>
                <w:szCs w:val="24"/>
              </w:rPr>
              <w:t>0</w:t>
            </w:r>
          </w:p>
        </w:tc>
      </w:tr>
      <w:tr w14:paraId="6A9B143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2341" w:type="dxa"/>
            <w:vMerge w:val="continue"/>
            <w:shd w:val="clear" w:color="auto" w:fill="auto"/>
            <w:vAlign w:val="center"/>
          </w:tcPr>
          <w:p w14:paraId="3B46AADE">
            <w:pPr>
              <w:spacing w:line="240" w:lineRule="exact"/>
              <w:jc w:val="left"/>
              <w:rPr>
                <w:rFonts w:ascii="方正书宋_GBK" w:hAnsi="Times New Roman" w:eastAsia="方正书宋_GBK" w:cs="Times New Roman"/>
                <w:b/>
                <w:szCs w:val="24"/>
              </w:rPr>
            </w:pPr>
          </w:p>
        </w:tc>
        <w:tc>
          <w:tcPr>
            <w:tcW w:w="1276" w:type="dxa"/>
            <w:vMerge w:val="continue"/>
            <w:shd w:val="clear" w:color="auto" w:fill="auto"/>
            <w:vAlign w:val="center"/>
          </w:tcPr>
          <w:p w14:paraId="480373E5">
            <w:pPr>
              <w:spacing w:line="240" w:lineRule="exact"/>
              <w:jc w:val="left"/>
              <w:rPr>
                <w:rFonts w:ascii="方正书宋_GBK" w:hAnsi="Times New Roman" w:eastAsia="方正书宋_GBK" w:cs="Times New Roman"/>
                <w:szCs w:val="24"/>
              </w:rPr>
            </w:pPr>
          </w:p>
        </w:tc>
        <w:tc>
          <w:tcPr>
            <w:tcW w:w="2976" w:type="dxa"/>
            <w:vMerge w:val="continue"/>
            <w:shd w:val="clear" w:color="auto" w:fill="auto"/>
            <w:vAlign w:val="center"/>
          </w:tcPr>
          <w:p w14:paraId="623AB0C4">
            <w:pPr>
              <w:spacing w:line="240" w:lineRule="exact"/>
              <w:jc w:val="left"/>
              <w:rPr>
                <w:rFonts w:ascii="方正书宋_GBK" w:hAnsi="Times New Roman" w:eastAsia="方正书宋_GBK" w:cs="Times New Roman"/>
                <w:szCs w:val="24"/>
              </w:rPr>
            </w:pPr>
          </w:p>
        </w:tc>
        <w:tc>
          <w:tcPr>
            <w:tcW w:w="2976" w:type="dxa"/>
            <w:vMerge w:val="continue"/>
            <w:shd w:val="clear" w:color="auto" w:fill="auto"/>
            <w:vAlign w:val="center"/>
          </w:tcPr>
          <w:p w14:paraId="2A42D3F8">
            <w:pPr>
              <w:spacing w:line="240" w:lineRule="exact"/>
              <w:jc w:val="left"/>
              <w:rPr>
                <w:rFonts w:ascii="方正书宋_GBK" w:hAnsi="Times New Roman" w:eastAsia="方正书宋_GBK" w:cs="Times New Roman"/>
                <w:szCs w:val="24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324C3CD9">
            <w:pPr>
              <w:spacing w:line="240" w:lineRule="exact"/>
              <w:jc w:val="left"/>
              <w:rPr>
                <w:rFonts w:ascii="方正书宋_GBK" w:hAnsi="Times New Roman" w:eastAsia="方正书宋_GBK" w:cs="Times New Roman"/>
                <w:szCs w:val="24"/>
              </w:rPr>
            </w:pPr>
            <w:r>
              <w:rPr>
                <w:rFonts w:hint="eastAsia" w:ascii="方正书宋_GBK" w:hAnsi="Times New Roman" w:eastAsia="方正书宋_GBK" w:cs="Times New Roman"/>
                <w:szCs w:val="24"/>
              </w:rPr>
              <w:t>法律维权次数</w:t>
            </w:r>
          </w:p>
        </w:tc>
        <w:tc>
          <w:tcPr>
            <w:tcW w:w="737" w:type="dxa"/>
            <w:shd w:val="clear" w:color="auto" w:fill="auto"/>
            <w:vAlign w:val="center"/>
          </w:tcPr>
          <w:p w14:paraId="1872F83C">
            <w:pPr>
              <w:spacing w:line="240" w:lineRule="exact"/>
              <w:jc w:val="center"/>
              <w:rPr>
                <w:rFonts w:ascii="方正书宋_GBK" w:hAnsi="Times New Roman" w:eastAsia="方正书宋_GBK" w:cs="Times New Roman"/>
                <w:szCs w:val="24"/>
              </w:rPr>
            </w:pPr>
            <w:r>
              <w:rPr>
                <w:rFonts w:ascii="方正书宋_GBK" w:hAnsi="Times New Roman" w:eastAsia="方正书宋_GBK" w:cs="Times New Roman"/>
                <w:szCs w:val="24"/>
              </w:rPr>
              <w:t>3</w:t>
            </w:r>
          </w:p>
        </w:tc>
        <w:tc>
          <w:tcPr>
            <w:tcW w:w="737" w:type="dxa"/>
            <w:shd w:val="clear" w:color="auto" w:fill="auto"/>
            <w:vAlign w:val="center"/>
          </w:tcPr>
          <w:p w14:paraId="33DA7132">
            <w:pPr>
              <w:spacing w:line="240" w:lineRule="exact"/>
              <w:jc w:val="center"/>
              <w:rPr>
                <w:rFonts w:ascii="方正书宋_GBK" w:hAnsi="Times New Roman" w:eastAsia="方正书宋_GBK" w:cs="Times New Roman"/>
                <w:szCs w:val="24"/>
              </w:rPr>
            </w:pPr>
            <w:r>
              <w:rPr>
                <w:rFonts w:ascii="方正书宋_GBK" w:hAnsi="Times New Roman" w:eastAsia="方正书宋_GBK" w:cs="Times New Roman"/>
                <w:szCs w:val="24"/>
              </w:rPr>
              <w:t>2</w:t>
            </w:r>
          </w:p>
        </w:tc>
        <w:tc>
          <w:tcPr>
            <w:tcW w:w="737" w:type="dxa"/>
            <w:shd w:val="clear" w:color="auto" w:fill="auto"/>
            <w:vAlign w:val="center"/>
          </w:tcPr>
          <w:p w14:paraId="629A3631">
            <w:pPr>
              <w:spacing w:line="240" w:lineRule="exact"/>
              <w:jc w:val="center"/>
              <w:rPr>
                <w:rFonts w:ascii="方正书宋_GBK" w:hAnsi="Times New Roman" w:eastAsia="方正书宋_GBK" w:cs="Times New Roman"/>
                <w:szCs w:val="24"/>
              </w:rPr>
            </w:pPr>
            <w:r>
              <w:rPr>
                <w:rFonts w:ascii="方正书宋_GBK" w:hAnsi="Times New Roman" w:eastAsia="方正书宋_GBK" w:cs="Times New Roman"/>
                <w:szCs w:val="24"/>
              </w:rPr>
              <w:t>1</w:t>
            </w:r>
          </w:p>
        </w:tc>
        <w:tc>
          <w:tcPr>
            <w:tcW w:w="737" w:type="dxa"/>
            <w:shd w:val="clear" w:color="auto" w:fill="auto"/>
            <w:vAlign w:val="center"/>
          </w:tcPr>
          <w:p w14:paraId="6219DE73">
            <w:pPr>
              <w:spacing w:line="240" w:lineRule="exact"/>
              <w:jc w:val="center"/>
              <w:rPr>
                <w:rFonts w:ascii="方正书宋_GBK" w:hAnsi="Times New Roman" w:eastAsia="方正书宋_GBK" w:cs="Times New Roman"/>
                <w:szCs w:val="24"/>
              </w:rPr>
            </w:pPr>
            <w:r>
              <w:rPr>
                <w:rFonts w:ascii="方正书宋_GBK" w:hAnsi="Times New Roman" w:eastAsia="方正书宋_GBK" w:cs="Times New Roman"/>
                <w:szCs w:val="24"/>
              </w:rPr>
              <w:t>0</w:t>
            </w:r>
          </w:p>
        </w:tc>
      </w:tr>
      <w:tr w14:paraId="505FDFE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2341" w:type="dxa"/>
            <w:vMerge w:val="continue"/>
            <w:shd w:val="clear" w:color="auto" w:fill="auto"/>
            <w:vAlign w:val="center"/>
          </w:tcPr>
          <w:p w14:paraId="422DF64E">
            <w:pPr>
              <w:spacing w:line="240" w:lineRule="exact"/>
              <w:jc w:val="left"/>
              <w:rPr>
                <w:rFonts w:ascii="方正书宋_GBK" w:hAnsi="Times New Roman" w:eastAsia="方正书宋_GBK" w:cs="Times New Roman"/>
                <w:b/>
                <w:szCs w:val="24"/>
              </w:rPr>
            </w:pPr>
          </w:p>
        </w:tc>
        <w:tc>
          <w:tcPr>
            <w:tcW w:w="1276" w:type="dxa"/>
            <w:vMerge w:val="continue"/>
            <w:shd w:val="clear" w:color="auto" w:fill="auto"/>
            <w:vAlign w:val="center"/>
          </w:tcPr>
          <w:p w14:paraId="07EAF0F4">
            <w:pPr>
              <w:spacing w:line="240" w:lineRule="exact"/>
              <w:jc w:val="left"/>
              <w:rPr>
                <w:rFonts w:ascii="方正书宋_GBK" w:hAnsi="Times New Roman" w:eastAsia="方正书宋_GBK" w:cs="Times New Roman"/>
                <w:szCs w:val="24"/>
              </w:rPr>
            </w:pPr>
          </w:p>
        </w:tc>
        <w:tc>
          <w:tcPr>
            <w:tcW w:w="2976" w:type="dxa"/>
            <w:vMerge w:val="continue"/>
            <w:shd w:val="clear" w:color="auto" w:fill="auto"/>
            <w:vAlign w:val="center"/>
          </w:tcPr>
          <w:p w14:paraId="269F8F12">
            <w:pPr>
              <w:spacing w:line="240" w:lineRule="exact"/>
              <w:jc w:val="left"/>
              <w:rPr>
                <w:rFonts w:ascii="方正书宋_GBK" w:hAnsi="Times New Roman" w:eastAsia="方正书宋_GBK" w:cs="Times New Roman"/>
                <w:szCs w:val="24"/>
              </w:rPr>
            </w:pPr>
          </w:p>
        </w:tc>
        <w:tc>
          <w:tcPr>
            <w:tcW w:w="2976" w:type="dxa"/>
            <w:vMerge w:val="continue"/>
            <w:shd w:val="clear" w:color="auto" w:fill="auto"/>
            <w:vAlign w:val="center"/>
          </w:tcPr>
          <w:p w14:paraId="055EE1FF">
            <w:pPr>
              <w:spacing w:line="240" w:lineRule="exact"/>
              <w:jc w:val="left"/>
              <w:rPr>
                <w:rFonts w:ascii="方正书宋_GBK" w:hAnsi="Times New Roman" w:eastAsia="方正书宋_GBK" w:cs="Times New Roman"/>
                <w:szCs w:val="24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4BFAF4B8">
            <w:pPr>
              <w:spacing w:line="240" w:lineRule="exact"/>
              <w:jc w:val="left"/>
              <w:rPr>
                <w:rFonts w:ascii="方正书宋_GBK" w:hAnsi="Times New Roman" w:eastAsia="方正书宋_GBK" w:cs="Times New Roman"/>
                <w:szCs w:val="24"/>
              </w:rPr>
            </w:pPr>
            <w:r>
              <w:rPr>
                <w:rFonts w:hint="eastAsia" w:ascii="方正书宋_GBK" w:hAnsi="Times New Roman" w:eastAsia="方正书宋_GBK" w:cs="Times New Roman"/>
                <w:szCs w:val="24"/>
              </w:rPr>
              <w:t>帮扶任务完成率</w:t>
            </w:r>
          </w:p>
        </w:tc>
        <w:tc>
          <w:tcPr>
            <w:tcW w:w="737" w:type="dxa"/>
            <w:shd w:val="clear" w:color="auto" w:fill="auto"/>
            <w:vAlign w:val="center"/>
          </w:tcPr>
          <w:p w14:paraId="42DD1881">
            <w:pPr>
              <w:spacing w:line="240" w:lineRule="exact"/>
              <w:jc w:val="center"/>
              <w:rPr>
                <w:rFonts w:ascii="方正书宋_GBK" w:hAnsi="Times New Roman" w:eastAsia="方正书宋_GBK" w:cs="Times New Roman"/>
                <w:szCs w:val="24"/>
              </w:rPr>
            </w:pPr>
            <w:r>
              <w:rPr>
                <w:rFonts w:ascii="方正书宋_GBK" w:hAnsi="Times New Roman" w:eastAsia="方正书宋_GBK" w:cs="Times New Roman"/>
                <w:szCs w:val="24"/>
              </w:rPr>
              <w:t>3</w:t>
            </w:r>
          </w:p>
        </w:tc>
        <w:tc>
          <w:tcPr>
            <w:tcW w:w="737" w:type="dxa"/>
            <w:shd w:val="clear" w:color="auto" w:fill="auto"/>
            <w:vAlign w:val="center"/>
          </w:tcPr>
          <w:p w14:paraId="52054E86">
            <w:pPr>
              <w:spacing w:line="240" w:lineRule="exact"/>
              <w:jc w:val="center"/>
              <w:rPr>
                <w:rFonts w:ascii="方正书宋_GBK" w:hAnsi="Times New Roman" w:eastAsia="方正书宋_GBK" w:cs="Times New Roman"/>
                <w:szCs w:val="24"/>
              </w:rPr>
            </w:pPr>
            <w:r>
              <w:rPr>
                <w:rFonts w:ascii="方正书宋_GBK" w:hAnsi="Times New Roman" w:eastAsia="方正书宋_GBK" w:cs="Times New Roman"/>
                <w:szCs w:val="24"/>
              </w:rPr>
              <w:t>2</w:t>
            </w:r>
          </w:p>
        </w:tc>
        <w:tc>
          <w:tcPr>
            <w:tcW w:w="737" w:type="dxa"/>
            <w:shd w:val="clear" w:color="auto" w:fill="auto"/>
            <w:vAlign w:val="center"/>
          </w:tcPr>
          <w:p w14:paraId="629437E3">
            <w:pPr>
              <w:spacing w:line="240" w:lineRule="exact"/>
              <w:jc w:val="center"/>
              <w:rPr>
                <w:rFonts w:ascii="方正书宋_GBK" w:hAnsi="Times New Roman" w:eastAsia="方正书宋_GBK" w:cs="Times New Roman"/>
                <w:szCs w:val="24"/>
              </w:rPr>
            </w:pPr>
            <w:r>
              <w:rPr>
                <w:rFonts w:ascii="方正书宋_GBK" w:hAnsi="Times New Roman" w:eastAsia="方正书宋_GBK" w:cs="Times New Roman"/>
                <w:szCs w:val="24"/>
              </w:rPr>
              <w:t>1</w:t>
            </w:r>
          </w:p>
        </w:tc>
        <w:tc>
          <w:tcPr>
            <w:tcW w:w="737" w:type="dxa"/>
            <w:shd w:val="clear" w:color="auto" w:fill="auto"/>
            <w:vAlign w:val="center"/>
          </w:tcPr>
          <w:p w14:paraId="72D5976C">
            <w:pPr>
              <w:spacing w:line="240" w:lineRule="exact"/>
              <w:jc w:val="center"/>
              <w:rPr>
                <w:rFonts w:ascii="方正书宋_GBK" w:hAnsi="Times New Roman" w:eastAsia="方正书宋_GBK" w:cs="Times New Roman"/>
                <w:szCs w:val="24"/>
              </w:rPr>
            </w:pPr>
            <w:r>
              <w:rPr>
                <w:rFonts w:ascii="方正书宋_GBK" w:hAnsi="Times New Roman" w:eastAsia="方正书宋_GBK" w:cs="Times New Roman"/>
                <w:szCs w:val="24"/>
              </w:rPr>
              <w:t>0</w:t>
            </w:r>
          </w:p>
        </w:tc>
      </w:tr>
      <w:tr w14:paraId="5CCAC8C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2341" w:type="dxa"/>
            <w:shd w:val="clear" w:color="auto" w:fill="auto"/>
            <w:vAlign w:val="center"/>
          </w:tcPr>
          <w:p w14:paraId="732ABE62">
            <w:pPr>
              <w:spacing w:line="240" w:lineRule="exact"/>
              <w:jc w:val="left"/>
              <w:rPr>
                <w:rFonts w:ascii="方正书宋_GBK" w:hAnsi="Times New Roman" w:eastAsia="方正书宋_GBK" w:cs="Times New Roman"/>
                <w:b/>
                <w:szCs w:val="24"/>
              </w:rPr>
            </w:pPr>
            <w:r>
              <w:rPr>
                <w:rFonts w:hint="eastAsia" w:ascii="方正书宋_GBK" w:hAnsi="Times New Roman" w:eastAsia="方正书宋_GBK" w:cs="Times New Roman"/>
                <w:b/>
                <w:szCs w:val="24"/>
              </w:rPr>
              <w:t>组织建设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6FADADF">
            <w:pPr>
              <w:spacing w:line="240" w:lineRule="exact"/>
              <w:jc w:val="left"/>
              <w:rPr>
                <w:rFonts w:ascii="方正书宋_GBK" w:hAnsi="Times New Roman" w:eastAsia="方正书宋_GBK" w:cs="Times New Roman"/>
                <w:szCs w:val="24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14:paraId="168BEE7D">
            <w:pPr>
              <w:spacing w:line="240" w:lineRule="exact"/>
              <w:jc w:val="left"/>
              <w:rPr>
                <w:rFonts w:ascii="方正书宋_GBK" w:hAnsi="Times New Roman" w:eastAsia="方正书宋_GBK" w:cs="Times New Roman"/>
                <w:szCs w:val="24"/>
              </w:rPr>
            </w:pPr>
            <w:r>
              <w:rPr>
                <w:rFonts w:hint="eastAsia" w:ascii="方正书宋_GBK" w:hAnsi="Times New Roman" w:eastAsia="方正书宋_GBK" w:cs="Times New Roman"/>
                <w:szCs w:val="24"/>
              </w:rPr>
              <w:t>发展工商联会员，指导基层工商联组织建设等各项工作。</w:t>
            </w:r>
          </w:p>
        </w:tc>
        <w:tc>
          <w:tcPr>
            <w:tcW w:w="2976" w:type="dxa"/>
            <w:shd w:val="clear" w:color="auto" w:fill="auto"/>
            <w:vAlign w:val="center"/>
          </w:tcPr>
          <w:p w14:paraId="4B456488">
            <w:pPr>
              <w:spacing w:line="240" w:lineRule="exact"/>
              <w:jc w:val="left"/>
              <w:rPr>
                <w:rFonts w:ascii="方正书宋_GBK" w:hAnsi="Times New Roman" w:eastAsia="方正书宋_GBK" w:cs="Times New Roman"/>
                <w:szCs w:val="24"/>
              </w:rPr>
            </w:pPr>
            <w:r>
              <w:rPr>
                <w:rFonts w:hint="eastAsia" w:ascii="方正书宋_GBK" w:hAnsi="Times New Roman" w:eastAsia="方正书宋_GBK" w:cs="Times New Roman"/>
                <w:szCs w:val="24"/>
              </w:rPr>
              <w:t>贯彻全国工商联组织建设工作方针，指导全县工商联各级组织的建设，维护会员合法权益；组织换届，培训、思想政治和基层建设工作；对非公有制经济优秀进行宣传。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C32CD07">
            <w:pPr>
              <w:spacing w:line="240" w:lineRule="exact"/>
              <w:jc w:val="left"/>
              <w:rPr>
                <w:rFonts w:ascii="方正书宋_GBK" w:hAnsi="Times New Roman" w:eastAsia="方正书宋_GBK" w:cs="Times New Roman"/>
                <w:szCs w:val="24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 w14:paraId="19A93F72">
            <w:pPr>
              <w:spacing w:line="240" w:lineRule="exact"/>
              <w:jc w:val="center"/>
              <w:rPr>
                <w:rFonts w:ascii="方正书宋_GBK" w:hAnsi="Times New Roman" w:eastAsia="方正书宋_GBK" w:cs="Times New Roman"/>
                <w:szCs w:val="24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 w14:paraId="7D9BE7FD">
            <w:pPr>
              <w:spacing w:line="240" w:lineRule="exact"/>
              <w:jc w:val="center"/>
              <w:rPr>
                <w:rFonts w:ascii="方正书宋_GBK" w:hAnsi="Times New Roman" w:eastAsia="方正书宋_GBK" w:cs="Times New Roman"/>
                <w:szCs w:val="24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 w14:paraId="2EDE5F8E">
            <w:pPr>
              <w:spacing w:line="240" w:lineRule="exact"/>
              <w:jc w:val="center"/>
              <w:rPr>
                <w:rFonts w:ascii="方正书宋_GBK" w:hAnsi="Times New Roman" w:eastAsia="方正书宋_GBK" w:cs="Times New Roman"/>
                <w:szCs w:val="24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 w14:paraId="6FDED19F">
            <w:pPr>
              <w:spacing w:line="240" w:lineRule="exact"/>
              <w:jc w:val="center"/>
              <w:rPr>
                <w:rFonts w:ascii="方正书宋_GBK" w:hAnsi="Times New Roman" w:eastAsia="方正书宋_GBK" w:cs="Times New Roman"/>
                <w:szCs w:val="24"/>
              </w:rPr>
            </w:pPr>
          </w:p>
        </w:tc>
      </w:tr>
      <w:tr w14:paraId="7946762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2341" w:type="dxa"/>
            <w:shd w:val="clear" w:color="auto" w:fill="auto"/>
            <w:vAlign w:val="center"/>
          </w:tcPr>
          <w:p w14:paraId="0DC3E38D">
            <w:pPr>
              <w:spacing w:line="240" w:lineRule="exact"/>
              <w:jc w:val="left"/>
              <w:rPr>
                <w:rFonts w:ascii="方正书宋_GBK" w:hAnsi="Times New Roman" w:eastAsia="方正书宋_GBK" w:cs="Times New Roman"/>
                <w:b/>
                <w:szCs w:val="24"/>
              </w:rPr>
            </w:pPr>
            <w:r>
              <w:rPr>
                <w:rFonts w:hint="eastAsia" w:ascii="方正书宋_GBK" w:hAnsi="Times New Roman" w:eastAsia="方正书宋_GBK" w:cs="Times New Roman"/>
                <w:b/>
                <w:szCs w:val="24"/>
              </w:rPr>
              <w:t>　　组织建设及宣传教育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767CEAF">
            <w:pPr>
              <w:spacing w:line="240" w:lineRule="exact"/>
              <w:jc w:val="left"/>
              <w:rPr>
                <w:rFonts w:ascii="方正书宋_GBK" w:hAnsi="Times New Roman" w:eastAsia="方正书宋_GBK" w:cs="Times New Roman"/>
                <w:szCs w:val="24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14:paraId="2725E898">
            <w:pPr>
              <w:spacing w:line="240" w:lineRule="exact"/>
              <w:jc w:val="left"/>
              <w:rPr>
                <w:rFonts w:ascii="方正书宋_GBK" w:hAnsi="Times New Roman" w:eastAsia="方正书宋_GBK" w:cs="Times New Roman"/>
                <w:szCs w:val="24"/>
              </w:rPr>
            </w:pPr>
            <w:r>
              <w:rPr>
                <w:rFonts w:hint="eastAsia" w:ascii="方正书宋_GBK" w:hAnsi="Times New Roman" w:eastAsia="方正书宋_GBK" w:cs="Times New Roman"/>
                <w:szCs w:val="24"/>
              </w:rPr>
              <w:t>贯彻全国工商联组织建设工作方针，指导全县各级组织的建设，维护会员合法权益，组织换届、培训、思想政治和基层建设工作，对非公有制经济优秀事迹进行宣传。</w:t>
            </w:r>
          </w:p>
        </w:tc>
        <w:tc>
          <w:tcPr>
            <w:tcW w:w="2976" w:type="dxa"/>
            <w:shd w:val="clear" w:color="auto" w:fill="auto"/>
            <w:vAlign w:val="center"/>
          </w:tcPr>
          <w:p w14:paraId="02024FC6">
            <w:pPr>
              <w:spacing w:line="240" w:lineRule="exact"/>
              <w:jc w:val="left"/>
              <w:rPr>
                <w:rFonts w:ascii="方正书宋_GBK" w:hAnsi="Times New Roman" w:eastAsia="方正书宋_GBK" w:cs="Times New Roman"/>
                <w:szCs w:val="24"/>
              </w:rPr>
            </w:pPr>
            <w:r>
              <w:rPr>
                <w:rFonts w:hint="eastAsia" w:ascii="方正书宋_GBK" w:hAnsi="Times New Roman" w:eastAsia="方正书宋_GBK" w:cs="Times New Roman"/>
                <w:szCs w:val="24"/>
              </w:rPr>
              <w:t>提升民营企业家素质以及工商联、商会工作影响力。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4C0BD57">
            <w:pPr>
              <w:spacing w:line="240" w:lineRule="exact"/>
              <w:jc w:val="left"/>
              <w:rPr>
                <w:rFonts w:ascii="方正书宋_GBK" w:hAnsi="Times New Roman" w:eastAsia="方正书宋_GBK" w:cs="Times New Roman"/>
                <w:szCs w:val="24"/>
              </w:rPr>
            </w:pPr>
            <w:r>
              <w:rPr>
                <w:rFonts w:hint="eastAsia" w:ascii="方正书宋_GBK" w:hAnsi="Times New Roman" w:eastAsia="方正书宋_GBK" w:cs="Times New Roman"/>
                <w:szCs w:val="24"/>
              </w:rPr>
              <w:t>培训任务完成率</w:t>
            </w:r>
          </w:p>
        </w:tc>
        <w:tc>
          <w:tcPr>
            <w:tcW w:w="737" w:type="dxa"/>
            <w:shd w:val="clear" w:color="auto" w:fill="auto"/>
            <w:vAlign w:val="center"/>
          </w:tcPr>
          <w:p w14:paraId="7A3B2FE8">
            <w:pPr>
              <w:spacing w:line="240" w:lineRule="exact"/>
              <w:jc w:val="center"/>
              <w:rPr>
                <w:rFonts w:ascii="方正书宋_GBK" w:hAnsi="Times New Roman" w:eastAsia="方正书宋_GBK" w:cs="Times New Roman"/>
                <w:szCs w:val="24"/>
              </w:rPr>
            </w:pPr>
            <w:r>
              <w:rPr>
                <w:rFonts w:ascii="方正书宋_GBK" w:hAnsi="Times New Roman" w:eastAsia="方正书宋_GBK" w:cs="Times New Roman"/>
                <w:szCs w:val="24"/>
              </w:rPr>
              <w:t>100%</w:t>
            </w:r>
          </w:p>
        </w:tc>
        <w:tc>
          <w:tcPr>
            <w:tcW w:w="737" w:type="dxa"/>
            <w:shd w:val="clear" w:color="auto" w:fill="auto"/>
            <w:vAlign w:val="center"/>
          </w:tcPr>
          <w:p w14:paraId="492066CD">
            <w:pPr>
              <w:spacing w:line="240" w:lineRule="exact"/>
              <w:jc w:val="center"/>
              <w:rPr>
                <w:rFonts w:ascii="方正书宋_GBK" w:hAnsi="Times New Roman" w:eastAsia="方正书宋_GBK" w:cs="Times New Roman"/>
                <w:szCs w:val="24"/>
              </w:rPr>
            </w:pPr>
            <w:r>
              <w:rPr>
                <w:rFonts w:ascii="方正书宋_GBK" w:hAnsi="Times New Roman" w:eastAsia="方正书宋_GBK" w:cs="Times New Roman"/>
                <w:szCs w:val="24"/>
              </w:rPr>
              <w:t>80%</w:t>
            </w:r>
          </w:p>
        </w:tc>
        <w:tc>
          <w:tcPr>
            <w:tcW w:w="737" w:type="dxa"/>
            <w:shd w:val="clear" w:color="auto" w:fill="auto"/>
            <w:vAlign w:val="center"/>
          </w:tcPr>
          <w:p w14:paraId="4EF13916">
            <w:pPr>
              <w:spacing w:line="240" w:lineRule="exact"/>
              <w:jc w:val="center"/>
              <w:rPr>
                <w:rFonts w:ascii="方正书宋_GBK" w:hAnsi="Times New Roman" w:eastAsia="方正书宋_GBK" w:cs="Times New Roman"/>
                <w:szCs w:val="24"/>
              </w:rPr>
            </w:pPr>
            <w:r>
              <w:rPr>
                <w:rFonts w:ascii="方正书宋_GBK" w:hAnsi="Times New Roman" w:eastAsia="方正书宋_GBK" w:cs="Times New Roman"/>
                <w:szCs w:val="24"/>
              </w:rPr>
              <w:t>60%</w:t>
            </w:r>
          </w:p>
        </w:tc>
        <w:tc>
          <w:tcPr>
            <w:tcW w:w="737" w:type="dxa"/>
            <w:shd w:val="clear" w:color="auto" w:fill="auto"/>
            <w:vAlign w:val="center"/>
          </w:tcPr>
          <w:p w14:paraId="5D2205E5">
            <w:pPr>
              <w:spacing w:line="240" w:lineRule="exact"/>
              <w:jc w:val="center"/>
              <w:rPr>
                <w:rFonts w:ascii="方正书宋_GBK" w:hAnsi="Times New Roman" w:eastAsia="方正书宋_GBK" w:cs="Times New Roman"/>
                <w:szCs w:val="24"/>
              </w:rPr>
            </w:pPr>
            <w:r>
              <w:rPr>
                <w:rFonts w:ascii="方正书宋_GBK" w:hAnsi="Times New Roman" w:eastAsia="方正书宋_GBK" w:cs="Times New Roman"/>
                <w:szCs w:val="24"/>
              </w:rPr>
              <w:t>40%</w:t>
            </w:r>
          </w:p>
        </w:tc>
      </w:tr>
    </w:tbl>
    <w:p w14:paraId="535DCE35">
      <w:pPr>
        <w:widowControl/>
        <w:spacing w:line="360" w:lineRule="auto"/>
        <w:jc w:val="left"/>
        <w:rPr>
          <w:rFonts w:ascii="仿宋_GB2312" w:hAnsi="Calibri" w:eastAsia="仿宋_GB2312" w:cs="Calibri"/>
          <w:b/>
          <w:kern w:val="0"/>
          <w:sz w:val="32"/>
          <w:szCs w:val="32"/>
        </w:rPr>
        <w:sectPr>
          <w:pgSz w:w="16839" w:h="11907" w:orient="landscape"/>
          <w:pgMar w:top="1418" w:right="1701" w:bottom="1418" w:left="1440" w:header="851" w:footer="992" w:gutter="0"/>
          <w:cols w:space="425" w:num="1"/>
          <w:docGrid w:type="lines" w:linePitch="312" w:charSpace="0"/>
        </w:sectPr>
      </w:pPr>
    </w:p>
    <w:p w14:paraId="22D092D2">
      <w:pPr>
        <w:pStyle w:val="10"/>
        <w:widowControl/>
        <w:numPr>
          <w:ilvl w:val="0"/>
          <w:numId w:val="2"/>
        </w:numPr>
        <w:spacing w:line="360" w:lineRule="auto"/>
        <w:ind w:firstLineChars="0"/>
        <w:jc w:val="left"/>
        <w:rPr>
          <w:rFonts w:ascii="黑体" w:hAnsi="黑体" w:eastAsia="黑体" w:cs="Calibri"/>
          <w:kern w:val="0"/>
          <w:sz w:val="32"/>
          <w:szCs w:val="32"/>
        </w:rPr>
      </w:pPr>
      <w:r>
        <w:rPr>
          <w:rFonts w:hint="eastAsia" w:ascii="黑体" w:hAnsi="黑体" w:eastAsia="黑体" w:cs="Calibri"/>
          <w:kern w:val="0"/>
          <w:sz w:val="32"/>
          <w:szCs w:val="32"/>
        </w:rPr>
        <w:t>政府采购预算情况</w:t>
      </w:r>
    </w:p>
    <w:p w14:paraId="668CCAFB">
      <w:pPr>
        <w:widowControl/>
        <w:spacing w:line="360" w:lineRule="auto"/>
        <w:ind w:firstLine="640" w:firstLineChars="200"/>
        <w:jc w:val="left"/>
        <w:rPr>
          <w:rFonts w:ascii="仿宋_GB2312" w:hAnsi="微软雅黑" w:eastAsia="仿宋_GB2312" w:cs="仿宋_GB2312"/>
          <w:kern w:val="0"/>
          <w:sz w:val="32"/>
          <w:szCs w:val="32"/>
        </w:rPr>
      </w:pPr>
      <w:r>
        <w:rPr>
          <w:rFonts w:hint="eastAsia" w:ascii="仿宋_GB2312" w:hAnsi="微软雅黑" w:eastAsia="仿宋_GB2312" w:cs="仿宋_GB2312"/>
          <w:kern w:val="0"/>
          <w:sz w:val="32"/>
          <w:szCs w:val="32"/>
        </w:rPr>
        <w:t>政府采购指国家机关、事业单位和社会团体组织，使用财政性资金，购买集中采购目录以内的或者采购限额标准以上的货物、工程或服务的行为。政府采购应遵循公开透明、公平竞争、公正和诚实信用的原则。凡使用纳入预算管理的资金采购符合《河北省政府采购集中采购目录和限额标准》（冀财采[2015]11号）要求的货物、工程或服务的项目，采购人均应编入政府采购预算。按照政府采购相关法律法规要求，结合我局实际，</w:t>
      </w:r>
      <w:r>
        <w:rPr>
          <w:rFonts w:hint="eastAsia" w:ascii="仿宋_GB2312" w:hAnsi="微软雅黑" w:eastAsia="仿宋_GB2312" w:cs="仿宋_GB2312"/>
          <w:kern w:val="0"/>
          <w:sz w:val="32"/>
          <w:szCs w:val="32"/>
          <w:lang w:eastAsia="zh-CN"/>
        </w:rPr>
        <w:t>2018</w:t>
      </w:r>
      <w:r>
        <w:rPr>
          <w:rFonts w:hint="eastAsia" w:ascii="仿宋_GB2312" w:hAnsi="微软雅黑" w:eastAsia="仿宋_GB2312" w:cs="仿宋_GB2312"/>
          <w:kern w:val="0"/>
          <w:sz w:val="32"/>
          <w:szCs w:val="32"/>
        </w:rPr>
        <w:t>年我局政府采购事项为</w:t>
      </w:r>
      <w:r>
        <w:rPr>
          <w:rFonts w:hint="eastAsia" w:ascii="仿宋_GB2312" w:hAnsi="微软雅黑" w:eastAsia="仿宋_GB2312" w:cs="仿宋_GB2312"/>
          <w:kern w:val="0"/>
          <w:sz w:val="32"/>
          <w:szCs w:val="32"/>
          <w:lang w:val="en-US" w:eastAsia="zh-CN"/>
        </w:rPr>
        <w:t>0</w:t>
      </w:r>
      <w:r>
        <w:rPr>
          <w:rFonts w:hint="eastAsia" w:ascii="仿宋_GB2312" w:hAnsi="微软雅黑" w:eastAsia="仿宋_GB2312" w:cs="仿宋_GB2312"/>
          <w:kern w:val="0"/>
          <w:sz w:val="32"/>
          <w:szCs w:val="32"/>
        </w:rPr>
        <w:t>万元，办公家具</w:t>
      </w:r>
      <w:r>
        <w:rPr>
          <w:rFonts w:hint="eastAsia" w:ascii="仿宋_GB2312" w:hAnsi="微软雅黑" w:eastAsia="仿宋_GB2312" w:cs="仿宋_GB2312"/>
          <w:kern w:val="0"/>
          <w:sz w:val="32"/>
          <w:szCs w:val="32"/>
          <w:lang w:val="en-US" w:eastAsia="zh-CN"/>
        </w:rPr>
        <w:t>0</w:t>
      </w:r>
      <w:r>
        <w:rPr>
          <w:rFonts w:hint="eastAsia" w:ascii="仿宋_GB2312" w:hAnsi="微软雅黑" w:eastAsia="仿宋_GB2312" w:cs="仿宋_GB2312"/>
          <w:kern w:val="0"/>
          <w:sz w:val="32"/>
          <w:szCs w:val="32"/>
        </w:rPr>
        <w:t>组，</w:t>
      </w:r>
      <w:r>
        <w:rPr>
          <w:rFonts w:hint="eastAsia" w:ascii="仿宋_GB2312" w:hAnsi="微软雅黑" w:eastAsia="仿宋_GB2312" w:cs="仿宋_GB2312"/>
          <w:kern w:val="0"/>
          <w:sz w:val="32"/>
          <w:szCs w:val="32"/>
          <w:lang w:val="en-US" w:eastAsia="zh-CN"/>
        </w:rPr>
        <w:t>0</w:t>
      </w:r>
      <w:r>
        <w:rPr>
          <w:rFonts w:hint="eastAsia" w:ascii="仿宋_GB2312" w:hAnsi="微软雅黑" w:eastAsia="仿宋_GB2312" w:cs="仿宋_GB2312"/>
          <w:kern w:val="0"/>
          <w:sz w:val="32"/>
          <w:szCs w:val="32"/>
        </w:rPr>
        <w:t>万元。</w:t>
      </w:r>
      <w:r>
        <w:rPr>
          <w:rFonts w:hint="eastAsia" w:ascii="仿宋_GB2312" w:hAnsi="Calibri" w:eastAsia="仿宋_GB2312" w:cs="仿宋_GB2312"/>
          <w:kern w:val="0"/>
          <w:sz w:val="32"/>
          <w:szCs w:val="32"/>
        </w:rPr>
        <w:t>本年拟用于政府采购微机等办公设备</w:t>
      </w:r>
      <w:r>
        <w:rPr>
          <w:rFonts w:hint="eastAsia" w:ascii="仿宋_GB2312" w:hAnsi="Calibri" w:eastAsia="仿宋_GB2312" w:cs="仿宋_GB2312"/>
          <w:kern w:val="0"/>
          <w:sz w:val="32"/>
          <w:szCs w:val="32"/>
          <w:lang w:val="en-US" w:eastAsia="zh-CN"/>
        </w:rPr>
        <w:t>0</w:t>
      </w:r>
      <w:r>
        <w:rPr>
          <w:rFonts w:hint="eastAsia" w:ascii="仿宋_GB2312" w:hAnsi="Calibri" w:eastAsia="仿宋_GB2312" w:cs="仿宋_GB2312"/>
          <w:kern w:val="0"/>
          <w:sz w:val="32"/>
          <w:szCs w:val="32"/>
        </w:rPr>
        <w:t>万元，</w:t>
      </w:r>
      <w:r>
        <w:rPr>
          <w:rFonts w:hint="eastAsia" w:ascii="仿宋_GB2312" w:hAnsi="微软雅黑" w:eastAsia="仿宋_GB2312" w:cs="仿宋_GB2312"/>
          <w:kern w:val="0"/>
          <w:sz w:val="32"/>
          <w:szCs w:val="32"/>
        </w:rPr>
        <w:t>办公家具</w:t>
      </w:r>
      <w:r>
        <w:rPr>
          <w:rFonts w:hint="eastAsia" w:ascii="仿宋_GB2312" w:hAnsi="微软雅黑" w:eastAsia="仿宋_GB2312" w:cs="仿宋_GB2312"/>
          <w:kern w:val="0"/>
          <w:sz w:val="32"/>
          <w:szCs w:val="32"/>
          <w:lang w:val="en-US" w:eastAsia="zh-CN"/>
        </w:rPr>
        <w:t>0</w:t>
      </w:r>
      <w:r>
        <w:rPr>
          <w:rFonts w:hint="eastAsia" w:ascii="仿宋_GB2312" w:hAnsi="微软雅黑" w:eastAsia="仿宋_GB2312" w:cs="仿宋_GB2312"/>
          <w:kern w:val="0"/>
          <w:sz w:val="32"/>
          <w:szCs w:val="32"/>
        </w:rPr>
        <w:t>组，</w:t>
      </w:r>
      <w:r>
        <w:rPr>
          <w:rFonts w:hint="eastAsia" w:ascii="仿宋_GB2312" w:hAnsi="微软雅黑" w:eastAsia="仿宋_GB2312" w:cs="仿宋_GB2312"/>
          <w:kern w:val="0"/>
          <w:sz w:val="32"/>
          <w:szCs w:val="32"/>
          <w:lang w:val="en-US" w:eastAsia="zh-CN"/>
        </w:rPr>
        <w:t>0</w:t>
      </w:r>
      <w:bookmarkStart w:id="0" w:name="_GoBack"/>
      <w:bookmarkEnd w:id="0"/>
      <w:r>
        <w:rPr>
          <w:rFonts w:hint="eastAsia" w:ascii="仿宋_GB2312" w:hAnsi="微软雅黑" w:eastAsia="仿宋_GB2312" w:cs="仿宋_GB2312"/>
          <w:kern w:val="0"/>
          <w:sz w:val="32"/>
          <w:szCs w:val="32"/>
        </w:rPr>
        <w:t>万元。具体内容见下表。</w:t>
      </w:r>
    </w:p>
    <w:p w14:paraId="54640DAE">
      <w:pPr>
        <w:spacing w:line="560" w:lineRule="exact"/>
        <w:jc w:val="center"/>
        <w:outlineLvl w:val="0"/>
        <w:rPr>
          <w:rFonts w:ascii="华文楷体" w:hAnsi="华文楷体" w:eastAsia="华文楷体" w:cs="Times New Roman"/>
          <w:b/>
          <w:sz w:val="32"/>
          <w:szCs w:val="32"/>
        </w:rPr>
      </w:pPr>
      <w:r>
        <w:rPr>
          <w:rFonts w:hint="eastAsia" w:ascii="华文楷体" w:hAnsi="华文楷体" w:eastAsia="华文楷体" w:cs="方正小标宋_GBK"/>
          <w:b/>
          <w:sz w:val="32"/>
          <w:szCs w:val="32"/>
        </w:rPr>
        <w:t>部门政府采购预算</w:t>
      </w:r>
    </w:p>
    <w:tbl>
      <w:tblPr>
        <w:tblStyle w:val="6"/>
        <w:tblW w:w="5000" w:type="pct"/>
        <w:jc w:val="center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15"/>
        <w:gridCol w:w="672"/>
        <w:gridCol w:w="550"/>
        <w:gridCol w:w="882"/>
        <w:gridCol w:w="550"/>
        <w:gridCol w:w="550"/>
        <w:gridCol w:w="747"/>
        <w:gridCol w:w="563"/>
        <w:gridCol w:w="563"/>
        <w:gridCol w:w="563"/>
        <w:gridCol w:w="511"/>
        <w:gridCol w:w="552"/>
        <w:gridCol w:w="555"/>
        <w:gridCol w:w="514"/>
      </w:tblGrid>
      <w:tr w14:paraId="367DF8A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  <w:jc w:val="center"/>
        </w:trPr>
        <w:tc>
          <w:tcPr>
            <w:tcW w:w="2943" w:type="pct"/>
            <w:gridSpan w:val="7"/>
            <w:tcBorders>
              <w:top w:val="single" w:color="FFFFFF" w:sz="6" w:space="0"/>
              <w:left w:val="single" w:color="FFFFFF" w:sz="6" w:space="0"/>
              <w:right w:val="single" w:color="FFFFFF" w:sz="6" w:space="0"/>
            </w:tcBorders>
            <w:vAlign w:val="center"/>
          </w:tcPr>
          <w:p w14:paraId="55959128">
            <w:pPr>
              <w:spacing w:line="560" w:lineRule="exact"/>
              <w:jc w:val="left"/>
              <w:rPr>
                <w:rFonts w:ascii="仿宋" w:hAnsi="仿宋" w:eastAsia="仿宋" w:cs="Times New Roman"/>
                <w:sz w:val="24"/>
                <w:szCs w:val="24"/>
              </w:rPr>
            </w:pPr>
            <w:r>
              <w:rPr>
                <w:rFonts w:hint="eastAsia" w:ascii="仿宋" w:hAnsi="仿宋" w:eastAsia="仿宋" w:cs="方正小标宋_GBK"/>
                <w:sz w:val="24"/>
                <w:szCs w:val="24"/>
              </w:rPr>
              <w:t>部门（单位）名称：成安县工商联</w:t>
            </w:r>
          </w:p>
        </w:tc>
        <w:tc>
          <w:tcPr>
            <w:tcW w:w="2057" w:type="pct"/>
            <w:gridSpan w:val="7"/>
            <w:tcBorders>
              <w:top w:val="single" w:color="FFFFFF" w:sz="6" w:space="0"/>
              <w:left w:val="single" w:color="FFFFFF" w:sz="6" w:space="0"/>
              <w:right w:val="single" w:color="FFFFFF" w:sz="6" w:space="0"/>
            </w:tcBorders>
            <w:vAlign w:val="center"/>
          </w:tcPr>
          <w:p w14:paraId="38542FBF">
            <w:pPr>
              <w:spacing w:line="560" w:lineRule="exact"/>
              <w:jc w:val="right"/>
              <w:rPr>
                <w:rFonts w:ascii="仿宋" w:hAnsi="仿宋" w:eastAsia="仿宋" w:cs="Times New Roman"/>
                <w:sz w:val="24"/>
                <w:szCs w:val="24"/>
              </w:rPr>
            </w:pPr>
            <w:r>
              <w:rPr>
                <w:rFonts w:hint="eastAsia" w:ascii="仿宋" w:hAnsi="仿宋" w:eastAsia="仿宋" w:cs="方正书宋_GBK"/>
                <w:sz w:val="24"/>
                <w:szCs w:val="24"/>
              </w:rPr>
              <w:t>单位：万元</w:t>
            </w:r>
          </w:p>
        </w:tc>
      </w:tr>
      <w:tr w14:paraId="6F903AC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  <w:tblHeader/>
          <w:jc w:val="center"/>
        </w:trPr>
        <w:tc>
          <w:tcPr>
            <w:tcW w:w="1178" w:type="pct"/>
            <w:gridSpan w:val="2"/>
            <w:vAlign w:val="center"/>
          </w:tcPr>
          <w:p w14:paraId="568ED0A0">
            <w:pPr>
              <w:spacing w:line="560" w:lineRule="exact"/>
              <w:jc w:val="center"/>
              <w:rPr>
                <w:rFonts w:ascii="仿宋" w:hAnsi="仿宋" w:eastAsia="仿宋" w:cs="Times New Roman"/>
                <w:b/>
                <w:bCs/>
              </w:rPr>
            </w:pPr>
            <w:r>
              <w:rPr>
                <w:rFonts w:hint="eastAsia" w:ascii="仿宋" w:hAnsi="仿宋" w:eastAsia="仿宋" w:cs="方正书宋_GBK"/>
                <w:b/>
                <w:bCs/>
              </w:rPr>
              <w:t>政府采购项目来源</w:t>
            </w:r>
          </w:p>
        </w:tc>
        <w:tc>
          <w:tcPr>
            <w:tcW w:w="296" w:type="pct"/>
            <w:vMerge w:val="restart"/>
            <w:vAlign w:val="center"/>
          </w:tcPr>
          <w:p w14:paraId="098825E6">
            <w:pPr>
              <w:spacing w:line="260" w:lineRule="exact"/>
              <w:jc w:val="center"/>
              <w:rPr>
                <w:rFonts w:ascii="仿宋" w:hAnsi="仿宋" w:eastAsia="仿宋" w:cs="Times New Roman"/>
                <w:b/>
                <w:bCs/>
              </w:rPr>
            </w:pPr>
            <w:r>
              <w:rPr>
                <w:rFonts w:hint="eastAsia" w:ascii="仿宋" w:hAnsi="仿宋" w:eastAsia="仿宋" w:cs="方正书宋_GBK"/>
                <w:b/>
                <w:bCs/>
              </w:rPr>
              <w:t>采购物品名称</w:t>
            </w:r>
          </w:p>
        </w:tc>
        <w:tc>
          <w:tcPr>
            <w:tcW w:w="475" w:type="pct"/>
            <w:vMerge w:val="restart"/>
            <w:vAlign w:val="center"/>
          </w:tcPr>
          <w:p w14:paraId="506B91D2">
            <w:pPr>
              <w:spacing w:line="560" w:lineRule="exact"/>
              <w:jc w:val="center"/>
              <w:rPr>
                <w:rFonts w:ascii="仿宋" w:hAnsi="仿宋" w:eastAsia="仿宋" w:cs="Times New Roman"/>
                <w:b/>
                <w:bCs/>
              </w:rPr>
            </w:pPr>
            <w:r>
              <w:rPr>
                <w:rFonts w:hint="eastAsia" w:ascii="仿宋" w:hAnsi="仿宋" w:eastAsia="仿宋" w:cs="方正书宋_GBK"/>
                <w:b/>
                <w:bCs/>
              </w:rPr>
              <w:t>政府采购目录序号</w:t>
            </w:r>
          </w:p>
        </w:tc>
        <w:tc>
          <w:tcPr>
            <w:tcW w:w="296" w:type="pct"/>
            <w:vMerge w:val="restart"/>
            <w:vAlign w:val="center"/>
          </w:tcPr>
          <w:p w14:paraId="629387EC">
            <w:pPr>
              <w:spacing w:line="560" w:lineRule="exact"/>
              <w:jc w:val="center"/>
              <w:rPr>
                <w:rFonts w:ascii="仿宋" w:hAnsi="仿宋" w:eastAsia="仿宋" w:cs="Times New Roman"/>
                <w:b/>
                <w:bCs/>
              </w:rPr>
            </w:pPr>
            <w:r>
              <w:rPr>
                <w:rFonts w:hint="eastAsia" w:ascii="仿宋" w:hAnsi="仿宋" w:eastAsia="仿宋" w:cs="方正书宋_GBK"/>
                <w:b/>
                <w:bCs/>
              </w:rPr>
              <w:t>数量</w:t>
            </w:r>
            <w:r>
              <w:rPr>
                <w:rFonts w:ascii="仿宋" w:hAnsi="仿宋" w:eastAsia="仿宋" w:cs="方正书宋_GBK"/>
                <w:b/>
                <w:bCs/>
              </w:rPr>
              <w:t xml:space="preserve">  </w:t>
            </w:r>
            <w:r>
              <w:rPr>
                <w:rFonts w:hint="eastAsia" w:ascii="仿宋" w:hAnsi="仿宋" w:eastAsia="仿宋" w:cs="方正书宋_GBK"/>
                <w:b/>
                <w:bCs/>
              </w:rPr>
              <w:t>单位</w:t>
            </w:r>
          </w:p>
        </w:tc>
        <w:tc>
          <w:tcPr>
            <w:tcW w:w="296" w:type="pct"/>
            <w:vMerge w:val="restart"/>
            <w:vAlign w:val="center"/>
          </w:tcPr>
          <w:p w14:paraId="5B0B1269">
            <w:pPr>
              <w:spacing w:line="560" w:lineRule="exact"/>
              <w:jc w:val="center"/>
              <w:rPr>
                <w:rFonts w:ascii="仿宋" w:hAnsi="仿宋" w:eastAsia="仿宋" w:cs="Times New Roman"/>
                <w:b/>
                <w:bCs/>
              </w:rPr>
            </w:pPr>
            <w:r>
              <w:rPr>
                <w:rFonts w:hint="eastAsia" w:ascii="仿宋" w:hAnsi="仿宋" w:eastAsia="仿宋" w:cs="方正书宋_GBK"/>
                <w:b/>
                <w:bCs/>
              </w:rPr>
              <w:t>数量</w:t>
            </w:r>
          </w:p>
        </w:tc>
        <w:tc>
          <w:tcPr>
            <w:tcW w:w="402" w:type="pct"/>
            <w:vMerge w:val="restart"/>
            <w:vAlign w:val="center"/>
          </w:tcPr>
          <w:p w14:paraId="03A4E9C1">
            <w:pPr>
              <w:spacing w:line="560" w:lineRule="exact"/>
              <w:jc w:val="center"/>
              <w:rPr>
                <w:rFonts w:ascii="仿宋" w:hAnsi="仿宋" w:eastAsia="仿宋" w:cs="Times New Roman"/>
                <w:b/>
                <w:bCs/>
              </w:rPr>
            </w:pPr>
            <w:r>
              <w:rPr>
                <w:rFonts w:hint="eastAsia" w:ascii="仿宋" w:hAnsi="仿宋" w:eastAsia="仿宋" w:cs="方正书宋_GBK"/>
                <w:b/>
                <w:bCs/>
              </w:rPr>
              <w:t>单价</w:t>
            </w:r>
          </w:p>
        </w:tc>
        <w:tc>
          <w:tcPr>
            <w:tcW w:w="2057" w:type="pct"/>
            <w:gridSpan w:val="7"/>
            <w:vAlign w:val="center"/>
          </w:tcPr>
          <w:p w14:paraId="22DBFFFA">
            <w:pPr>
              <w:spacing w:line="560" w:lineRule="exact"/>
              <w:jc w:val="center"/>
              <w:rPr>
                <w:rFonts w:ascii="仿宋" w:hAnsi="仿宋" w:eastAsia="仿宋" w:cs="Times New Roman"/>
                <w:b/>
                <w:bCs/>
              </w:rPr>
            </w:pPr>
            <w:r>
              <w:rPr>
                <w:rFonts w:hint="eastAsia" w:ascii="仿宋" w:hAnsi="仿宋" w:eastAsia="仿宋" w:cs="方正书宋_GBK"/>
                <w:b/>
                <w:bCs/>
              </w:rPr>
              <w:t>政府采购金额</w:t>
            </w:r>
          </w:p>
        </w:tc>
      </w:tr>
      <w:tr w14:paraId="391B59C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1" w:hRule="atLeast"/>
          <w:tblHeader/>
          <w:jc w:val="center"/>
        </w:trPr>
        <w:tc>
          <w:tcPr>
            <w:tcW w:w="816" w:type="pct"/>
            <w:vMerge w:val="restart"/>
            <w:vAlign w:val="center"/>
          </w:tcPr>
          <w:p w14:paraId="22F703DC">
            <w:pPr>
              <w:spacing w:line="560" w:lineRule="exact"/>
              <w:jc w:val="center"/>
              <w:rPr>
                <w:rFonts w:ascii="仿宋" w:hAnsi="仿宋" w:eastAsia="仿宋" w:cs="Times New Roman"/>
                <w:b/>
                <w:bCs/>
              </w:rPr>
            </w:pPr>
            <w:r>
              <w:rPr>
                <w:rFonts w:hint="eastAsia" w:ascii="仿宋" w:hAnsi="仿宋" w:eastAsia="仿宋" w:cs="方正书宋_GBK"/>
                <w:b/>
                <w:bCs/>
              </w:rPr>
              <w:t>项目名称</w:t>
            </w:r>
          </w:p>
        </w:tc>
        <w:tc>
          <w:tcPr>
            <w:tcW w:w="362" w:type="pct"/>
            <w:vMerge w:val="restart"/>
            <w:vAlign w:val="center"/>
          </w:tcPr>
          <w:p w14:paraId="4E711FEE">
            <w:pPr>
              <w:spacing w:line="560" w:lineRule="exact"/>
              <w:jc w:val="center"/>
              <w:rPr>
                <w:rFonts w:ascii="仿宋" w:hAnsi="仿宋" w:eastAsia="仿宋" w:cs="Times New Roman"/>
                <w:b/>
                <w:bCs/>
              </w:rPr>
            </w:pPr>
            <w:r>
              <w:rPr>
                <w:rFonts w:hint="eastAsia" w:ascii="仿宋" w:hAnsi="仿宋" w:eastAsia="仿宋" w:cs="方正书宋_GBK"/>
                <w:b/>
                <w:bCs/>
              </w:rPr>
              <w:t>预算资金</w:t>
            </w:r>
          </w:p>
        </w:tc>
        <w:tc>
          <w:tcPr>
            <w:tcW w:w="296" w:type="pct"/>
            <w:vMerge w:val="continue"/>
            <w:vAlign w:val="center"/>
          </w:tcPr>
          <w:p w14:paraId="6B684D44">
            <w:pPr>
              <w:spacing w:line="560" w:lineRule="exact"/>
              <w:jc w:val="left"/>
              <w:outlineLvl w:val="0"/>
              <w:rPr>
                <w:rFonts w:ascii="仿宋" w:hAnsi="仿宋" w:eastAsia="仿宋" w:cs="Times New Roman"/>
              </w:rPr>
            </w:pPr>
          </w:p>
        </w:tc>
        <w:tc>
          <w:tcPr>
            <w:tcW w:w="475" w:type="pct"/>
            <w:vMerge w:val="continue"/>
            <w:vAlign w:val="center"/>
          </w:tcPr>
          <w:p w14:paraId="76A82798">
            <w:pPr>
              <w:spacing w:line="560" w:lineRule="exact"/>
              <w:jc w:val="left"/>
              <w:outlineLvl w:val="0"/>
              <w:rPr>
                <w:rFonts w:ascii="仿宋" w:hAnsi="仿宋" w:eastAsia="仿宋" w:cs="Times New Roman"/>
              </w:rPr>
            </w:pPr>
          </w:p>
        </w:tc>
        <w:tc>
          <w:tcPr>
            <w:tcW w:w="296" w:type="pct"/>
            <w:vMerge w:val="continue"/>
            <w:vAlign w:val="center"/>
          </w:tcPr>
          <w:p w14:paraId="02884F48">
            <w:pPr>
              <w:spacing w:line="560" w:lineRule="exact"/>
              <w:jc w:val="left"/>
              <w:outlineLvl w:val="0"/>
              <w:rPr>
                <w:rFonts w:ascii="仿宋" w:hAnsi="仿宋" w:eastAsia="仿宋" w:cs="Times New Roman"/>
              </w:rPr>
            </w:pPr>
          </w:p>
        </w:tc>
        <w:tc>
          <w:tcPr>
            <w:tcW w:w="296" w:type="pct"/>
            <w:vMerge w:val="continue"/>
            <w:vAlign w:val="center"/>
          </w:tcPr>
          <w:p w14:paraId="270815AB">
            <w:pPr>
              <w:spacing w:line="560" w:lineRule="exact"/>
              <w:jc w:val="left"/>
              <w:outlineLvl w:val="0"/>
              <w:rPr>
                <w:rFonts w:ascii="仿宋" w:hAnsi="仿宋" w:eastAsia="仿宋" w:cs="Times New Roman"/>
              </w:rPr>
            </w:pPr>
          </w:p>
        </w:tc>
        <w:tc>
          <w:tcPr>
            <w:tcW w:w="402" w:type="pct"/>
            <w:vMerge w:val="continue"/>
            <w:vAlign w:val="center"/>
          </w:tcPr>
          <w:p w14:paraId="4C8E609B">
            <w:pPr>
              <w:spacing w:line="560" w:lineRule="exact"/>
              <w:jc w:val="left"/>
              <w:outlineLvl w:val="0"/>
              <w:rPr>
                <w:rFonts w:ascii="仿宋" w:hAnsi="仿宋" w:eastAsia="仿宋" w:cs="Times New Roman"/>
              </w:rPr>
            </w:pPr>
          </w:p>
        </w:tc>
        <w:tc>
          <w:tcPr>
            <w:tcW w:w="303" w:type="pct"/>
            <w:vMerge w:val="restart"/>
            <w:vAlign w:val="center"/>
          </w:tcPr>
          <w:p w14:paraId="5A6282AA">
            <w:pPr>
              <w:spacing w:line="560" w:lineRule="exact"/>
              <w:jc w:val="center"/>
              <w:rPr>
                <w:rFonts w:ascii="仿宋" w:hAnsi="仿宋" w:eastAsia="仿宋" w:cs="Times New Roman"/>
                <w:b/>
                <w:bCs/>
              </w:rPr>
            </w:pPr>
            <w:r>
              <w:rPr>
                <w:rFonts w:hint="eastAsia" w:ascii="仿宋" w:hAnsi="仿宋" w:eastAsia="仿宋" w:cs="方正书宋_GBK"/>
                <w:b/>
                <w:bCs/>
              </w:rPr>
              <w:t>总计</w:t>
            </w:r>
          </w:p>
        </w:tc>
        <w:tc>
          <w:tcPr>
            <w:tcW w:w="1477" w:type="pct"/>
            <w:gridSpan w:val="5"/>
            <w:vAlign w:val="center"/>
          </w:tcPr>
          <w:p w14:paraId="545736D1">
            <w:pPr>
              <w:spacing w:line="260" w:lineRule="exact"/>
              <w:jc w:val="center"/>
              <w:rPr>
                <w:rFonts w:ascii="仿宋" w:hAnsi="仿宋" w:eastAsia="仿宋" w:cs="Times New Roman"/>
                <w:b/>
                <w:bCs/>
              </w:rPr>
            </w:pPr>
            <w:r>
              <w:rPr>
                <w:rFonts w:hint="eastAsia" w:ascii="仿宋" w:hAnsi="仿宋" w:eastAsia="仿宋" w:cs="方正书宋_GBK"/>
                <w:b/>
                <w:bCs/>
              </w:rPr>
              <w:t>当年部门预算安排资金</w:t>
            </w:r>
          </w:p>
        </w:tc>
        <w:tc>
          <w:tcPr>
            <w:tcW w:w="277" w:type="pct"/>
            <w:vMerge w:val="restart"/>
            <w:vAlign w:val="center"/>
          </w:tcPr>
          <w:p w14:paraId="6EF47413">
            <w:pPr>
              <w:spacing w:line="260" w:lineRule="exact"/>
              <w:jc w:val="center"/>
              <w:rPr>
                <w:rFonts w:ascii="仿宋" w:hAnsi="仿宋" w:eastAsia="仿宋" w:cs="Times New Roman"/>
                <w:b/>
                <w:bCs/>
              </w:rPr>
            </w:pPr>
            <w:r>
              <w:rPr>
                <w:rFonts w:hint="eastAsia" w:ascii="仿宋" w:hAnsi="仿宋" w:eastAsia="仿宋" w:cs="方正书宋_GBK"/>
                <w:b/>
                <w:bCs/>
              </w:rPr>
              <w:t>其他渠道资金</w:t>
            </w:r>
          </w:p>
        </w:tc>
      </w:tr>
      <w:tr w14:paraId="2544A01C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  <w:jc w:val="center"/>
        </w:trPr>
        <w:tc>
          <w:tcPr>
            <w:tcW w:w="816" w:type="pct"/>
            <w:vMerge w:val="continue"/>
            <w:vAlign w:val="center"/>
          </w:tcPr>
          <w:p w14:paraId="3068B958">
            <w:pPr>
              <w:spacing w:line="560" w:lineRule="exact"/>
              <w:jc w:val="left"/>
              <w:outlineLvl w:val="0"/>
              <w:rPr>
                <w:rFonts w:ascii="仿宋" w:hAnsi="仿宋" w:eastAsia="仿宋" w:cs="Times New Roman"/>
              </w:rPr>
            </w:pPr>
          </w:p>
        </w:tc>
        <w:tc>
          <w:tcPr>
            <w:tcW w:w="362" w:type="pct"/>
            <w:vMerge w:val="continue"/>
            <w:vAlign w:val="center"/>
          </w:tcPr>
          <w:p w14:paraId="0E5567B9">
            <w:pPr>
              <w:spacing w:line="560" w:lineRule="exact"/>
              <w:jc w:val="left"/>
              <w:outlineLvl w:val="0"/>
              <w:rPr>
                <w:rFonts w:ascii="仿宋" w:hAnsi="仿宋" w:eastAsia="仿宋" w:cs="Times New Roman"/>
              </w:rPr>
            </w:pPr>
          </w:p>
        </w:tc>
        <w:tc>
          <w:tcPr>
            <w:tcW w:w="296" w:type="pct"/>
            <w:vMerge w:val="continue"/>
            <w:vAlign w:val="center"/>
          </w:tcPr>
          <w:p w14:paraId="37E0E3E1">
            <w:pPr>
              <w:spacing w:line="560" w:lineRule="exact"/>
              <w:jc w:val="left"/>
              <w:outlineLvl w:val="0"/>
              <w:rPr>
                <w:rFonts w:ascii="仿宋" w:hAnsi="仿宋" w:eastAsia="仿宋" w:cs="Times New Roman"/>
              </w:rPr>
            </w:pPr>
          </w:p>
        </w:tc>
        <w:tc>
          <w:tcPr>
            <w:tcW w:w="475" w:type="pct"/>
            <w:vMerge w:val="continue"/>
            <w:vAlign w:val="center"/>
          </w:tcPr>
          <w:p w14:paraId="10C16BA4">
            <w:pPr>
              <w:spacing w:line="560" w:lineRule="exact"/>
              <w:jc w:val="left"/>
              <w:outlineLvl w:val="0"/>
              <w:rPr>
                <w:rFonts w:ascii="仿宋" w:hAnsi="仿宋" w:eastAsia="仿宋" w:cs="Times New Roman"/>
              </w:rPr>
            </w:pPr>
          </w:p>
        </w:tc>
        <w:tc>
          <w:tcPr>
            <w:tcW w:w="296" w:type="pct"/>
            <w:vMerge w:val="continue"/>
            <w:vAlign w:val="center"/>
          </w:tcPr>
          <w:p w14:paraId="709E541C">
            <w:pPr>
              <w:spacing w:line="560" w:lineRule="exact"/>
              <w:jc w:val="left"/>
              <w:outlineLvl w:val="0"/>
              <w:rPr>
                <w:rFonts w:ascii="仿宋" w:hAnsi="仿宋" w:eastAsia="仿宋" w:cs="Times New Roman"/>
              </w:rPr>
            </w:pPr>
          </w:p>
        </w:tc>
        <w:tc>
          <w:tcPr>
            <w:tcW w:w="296" w:type="pct"/>
            <w:vMerge w:val="continue"/>
            <w:vAlign w:val="center"/>
          </w:tcPr>
          <w:p w14:paraId="7FEBC977">
            <w:pPr>
              <w:spacing w:line="560" w:lineRule="exact"/>
              <w:jc w:val="left"/>
              <w:outlineLvl w:val="0"/>
              <w:rPr>
                <w:rFonts w:ascii="仿宋" w:hAnsi="仿宋" w:eastAsia="仿宋" w:cs="Times New Roman"/>
              </w:rPr>
            </w:pPr>
          </w:p>
        </w:tc>
        <w:tc>
          <w:tcPr>
            <w:tcW w:w="402" w:type="pct"/>
            <w:vMerge w:val="continue"/>
            <w:vAlign w:val="center"/>
          </w:tcPr>
          <w:p w14:paraId="14404D49">
            <w:pPr>
              <w:spacing w:line="560" w:lineRule="exact"/>
              <w:jc w:val="left"/>
              <w:outlineLvl w:val="0"/>
              <w:rPr>
                <w:rFonts w:ascii="仿宋" w:hAnsi="仿宋" w:eastAsia="仿宋" w:cs="Times New Roman"/>
              </w:rPr>
            </w:pPr>
          </w:p>
        </w:tc>
        <w:tc>
          <w:tcPr>
            <w:tcW w:w="303" w:type="pct"/>
            <w:vMerge w:val="continue"/>
            <w:vAlign w:val="center"/>
          </w:tcPr>
          <w:p w14:paraId="56BC8E0F">
            <w:pPr>
              <w:spacing w:line="560" w:lineRule="exact"/>
              <w:jc w:val="left"/>
              <w:outlineLvl w:val="0"/>
              <w:rPr>
                <w:rFonts w:ascii="仿宋" w:hAnsi="仿宋" w:eastAsia="仿宋" w:cs="Times New Roman"/>
              </w:rPr>
            </w:pPr>
          </w:p>
        </w:tc>
        <w:tc>
          <w:tcPr>
            <w:tcW w:w="303" w:type="pct"/>
            <w:vAlign w:val="center"/>
          </w:tcPr>
          <w:p w14:paraId="2CF52410">
            <w:pPr>
              <w:spacing w:line="560" w:lineRule="exact"/>
              <w:jc w:val="center"/>
              <w:rPr>
                <w:rFonts w:ascii="仿宋" w:hAnsi="仿宋" w:eastAsia="仿宋" w:cs="Times New Roman"/>
                <w:b/>
                <w:bCs/>
              </w:rPr>
            </w:pPr>
            <w:r>
              <w:rPr>
                <w:rFonts w:hint="eastAsia" w:ascii="仿宋" w:hAnsi="仿宋" w:eastAsia="仿宋" w:cs="方正书宋_GBK"/>
                <w:b/>
                <w:bCs/>
              </w:rPr>
              <w:t>合计</w:t>
            </w:r>
          </w:p>
        </w:tc>
        <w:tc>
          <w:tcPr>
            <w:tcW w:w="303" w:type="pct"/>
            <w:vAlign w:val="center"/>
          </w:tcPr>
          <w:p w14:paraId="74540D5C">
            <w:pPr>
              <w:spacing w:line="220" w:lineRule="exact"/>
              <w:jc w:val="center"/>
              <w:rPr>
                <w:rFonts w:ascii="仿宋" w:hAnsi="仿宋" w:eastAsia="仿宋" w:cs="Times New Roman"/>
                <w:b/>
                <w:bCs/>
              </w:rPr>
            </w:pPr>
            <w:r>
              <w:rPr>
                <w:rFonts w:hint="eastAsia" w:ascii="仿宋" w:hAnsi="仿宋" w:eastAsia="仿宋" w:cs="方正书宋_GBK"/>
                <w:b/>
                <w:bCs/>
              </w:rPr>
              <w:t>一般公共预算拨款</w:t>
            </w:r>
          </w:p>
        </w:tc>
        <w:tc>
          <w:tcPr>
            <w:tcW w:w="275" w:type="pct"/>
            <w:vAlign w:val="center"/>
          </w:tcPr>
          <w:p w14:paraId="1B8B74B0">
            <w:pPr>
              <w:spacing w:line="260" w:lineRule="exact"/>
              <w:jc w:val="center"/>
              <w:rPr>
                <w:rFonts w:ascii="仿宋" w:hAnsi="仿宋" w:eastAsia="仿宋" w:cs="Times New Roman"/>
                <w:b/>
                <w:bCs/>
              </w:rPr>
            </w:pPr>
            <w:r>
              <w:rPr>
                <w:rFonts w:hint="eastAsia" w:ascii="仿宋" w:hAnsi="仿宋" w:eastAsia="仿宋" w:cs="方正书宋_GBK"/>
                <w:b/>
                <w:bCs/>
              </w:rPr>
              <w:t>基金预算拨款</w:t>
            </w:r>
          </w:p>
        </w:tc>
        <w:tc>
          <w:tcPr>
            <w:tcW w:w="297" w:type="pct"/>
            <w:vAlign w:val="center"/>
          </w:tcPr>
          <w:p w14:paraId="70CB79B9">
            <w:pPr>
              <w:spacing w:line="260" w:lineRule="exact"/>
              <w:jc w:val="center"/>
              <w:rPr>
                <w:rFonts w:ascii="仿宋" w:hAnsi="仿宋" w:eastAsia="仿宋" w:cs="Times New Roman"/>
                <w:b/>
                <w:bCs/>
              </w:rPr>
            </w:pPr>
            <w:r>
              <w:rPr>
                <w:rFonts w:hint="eastAsia" w:ascii="仿宋" w:hAnsi="仿宋" w:eastAsia="仿宋" w:cs="方正书宋_GBK"/>
                <w:b/>
                <w:bCs/>
              </w:rPr>
              <w:t>财政专户核拨</w:t>
            </w:r>
          </w:p>
        </w:tc>
        <w:tc>
          <w:tcPr>
            <w:tcW w:w="298" w:type="pct"/>
            <w:vAlign w:val="center"/>
          </w:tcPr>
          <w:p w14:paraId="064B081E">
            <w:pPr>
              <w:spacing w:line="260" w:lineRule="exact"/>
              <w:jc w:val="center"/>
              <w:rPr>
                <w:rFonts w:ascii="仿宋" w:hAnsi="仿宋" w:eastAsia="仿宋" w:cs="Times New Roman"/>
                <w:b/>
                <w:bCs/>
              </w:rPr>
            </w:pPr>
            <w:r>
              <w:rPr>
                <w:rFonts w:hint="eastAsia" w:ascii="仿宋" w:hAnsi="仿宋" w:eastAsia="仿宋" w:cs="方正书宋_GBK"/>
                <w:b/>
                <w:bCs/>
              </w:rPr>
              <w:t>其他来源收入</w:t>
            </w:r>
          </w:p>
        </w:tc>
        <w:tc>
          <w:tcPr>
            <w:tcW w:w="277" w:type="pct"/>
            <w:vMerge w:val="continue"/>
            <w:vAlign w:val="center"/>
          </w:tcPr>
          <w:p w14:paraId="26605888">
            <w:pPr>
              <w:spacing w:line="260" w:lineRule="exact"/>
              <w:jc w:val="left"/>
              <w:outlineLvl w:val="0"/>
              <w:rPr>
                <w:rFonts w:ascii="仿宋" w:hAnsi="仿宋" w:eastAsia="仿宋" w:cs="Times New Roman"/>
              </w:rPr>
            </w:pPr>
          </w:p>
        </w:tc>
      </w:tr>
      <w:tr w14:paraId="29902406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16" w:type="pct"/>
            <w:vAlign w:val="center"/>
          </w:tcPr>
          <w:p w14:paraId="05E59128">
            <w:pPr>
              <w:spacing w:line="560" w:lineRule="exact"/>
              <w:jc w:val="center"/>
              <w:rPr>
                <w:rFonts w:ascii="仿宋" w:hAnsi="仿宋" w:eastAsia="仿宋" w:cs="Times New Roman"/>
                <w:b/>
                <w:bCs/>
              </w:rPr>
            </w:pPr>
            <w:r>
              <w:rPr>
                <w:rFonts w:hint="eastAsia" w:ascii="仿宋" w:hAnsi="仿宋" w:eastAsia="仿宋" w:cs="方正书宋_GBK"/>
                <w:b/>
                <w:bCs/>
              </w:rPr>
              <w:t>合　计</w:t>
            </w:r>
          </w:p>
        </w:tc>
        <w:tc>
          <w:tcPr>
            <w:tcW w:w="362" w:type="pct"/>
            <w:vAlign w:val="center"/>
          </w:tcPr>
          <w:p w14:paraId="4AF3D891">
            <w:pPr>
              <w:spacing w:line="560" w:lineRule="exact"/>
              <w:jc w:val="right"/>
              <w:rPr>
                <w:rFonts w:hint="eastAsia" w:ascii="仿宋" w:hAnsi="仿宋" w:eastAsia="仿宋" w:cs="Times New Roman"/>
                <w:b/>
                <w:bCs/>
                <w:lang w:eastAsia="zh-CN"/>
              </w:rPr>
            </w:pPr>
            <w:r>
              <w:rPr>
                <w:rFonts w:hint="eastAsia" w:ascii="仿宋" w:hAnsi="仿宋" w:eastAsia="仿宋" w:cs="Times New Roman"/>
                <w:b/>
                <w:bCs/>
                <w:lang w:val="en-US" w:eastAsia="zh-CN"/>
              </w:rPr>
              <w:t>0</w:t>
            </w:r>
          </w:p>
        </w:tc>
        <w:tc>
          <w:tcPr>
            <w:tcW w:w="296" w:type="pct"/>
            <w:vAlign w:val="center"/>
          </w:tcPr>
          <w:p w14:paraId="7EF8C132">
            <w:pPr>
              <w:spacing w:line="560" w:lineRule="exact"/>
              <w:jc w:val="left"/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475" w:type="pct"/>
            <w:vAlign w:val="center"/>
          </w:tcPr>
          <w:p w14:paraId="53354158">
            <w:pPr>
              <w:spacing w:line="560" w:lineRule="exact"/>
              <w:jc w:val="left"/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296" w:type="pct"/>
            <w:vAlign w:val="center"/>
          </w:tcPr>
          <w:p w14:paraId="60E54CDF">
            <w:pPr>
              <w:spacing w:line="560" w:lineRule="exact"/>
              <w:jc w:val="left"/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296" w:type="pct"/>
            <w:vAlign w:val="center"/>
          </w:tcPr>
          <w:p w14:paraId="1E6410BB">
            <w:pPr>
              <w:spacing w:line="560" w:lineRule="exact"/>
              <w:jc w:val="right"/>
              <w:rPr>
                <w:rFonts w:hint="eastAsia" w:ascii="仿宋" w:hAnsi="仿宋" w:eastAsia="仿宋" w:cs="Times New Roman"/>
                <w:b/>
                <w:bCs/>
                <w:lang w:eastAsia="zh-CN"/>
              </w:rPr>
            </w:pPr>
            <w:r>
              <w:rPr>
                <w:rFonts w:hint="eastAsia" w:ascii="仿宋" w:hAnsi="仿宋" w:eastAsia="仿宋" w:cs="Times New Roman"/>
                <w:b/>
                <w:bCs/>
                <w:lang w:val="en-US" w:eastAsia="zh-CN"/>
              </w:rPr>
              <w:t>0</w:t>
            </w:r>
          </w:p>
        </w:tc>
        <w:tc>
          <w:tcPr>
            <w:tcW w:w="402" w:type="pct"/>
            <w:vAlign w:val="center"/>
          </w:tcPr>
          <w:p w14:paraId="15DE3D70">
            <w:pPr>
              <w:spacing w:line="560" w:lineRule="exact"/>
              <w:jc w:val="right"/>
              <w:rPr>
                <w:rFonts w:hint="eastAsia" w:ascii="仿宋" w:hAnsi="仿宋" w:eastAsia="仿宋" w:cs="Times New Roman"/>
                <w:b/>
                <w:bCs/>
                <w:lang w:eastAsia="zh-CN"/>
              </w:rPr>
            </w:pPr>
            <w:r>
              <w:rPr>
                <w:rFonts w:hint="eastAsia" w:ascii="仿宋" w:hAnsi="仿宋" w:eastAsia="仿宋" w:cs="Times New Roman"/>
                <w:b/>
                <w:bCs/>
                <w:lang w:val="en-US" w:eastAsia="zh-CN"/>
              </w:rPr>
              <w:t>0</w:t>
            </w:r>
          </w:p>
        </w:tc>
        <w:tc>
          <w:tcPr>
            <w:tcW w:w="303" w:type="pct"/>
            <w:vAlign w:val="center"/>
          </w:tcPr>
          <w:p w14:paraId="7AAF335F">
            <w:pPr>
              <w:spacing w:line="560" w:lineRule="exact"/>
              <w:jc w:val="right"/>
              <w:rPr>
                <w:rFonts w:hint="eastAsia" w:ascii="仿宋" w:hAnsi="仿宋" w:eastAsia="仿宋" w:cs="Times New Roman"/>
                <w:b/>
                <w:bCs/>
                <w:lang w:eastAsia="zh-CN"/>
              </w:rPr>
            </w:pPr>
            <w:r>
              <w:rPr>
                <w:rFonts w:hint="eastAsia" w:ascii="仿宋" w:hAnsi="仿宋" w:eastAsia="仿宋" w:cs="Times New Roman"/>
                <w:b/>
                <w:bCs/>
                <w:lang w:val="en-US" w:eastAsia="zh-CN"/>
              </w:rPr>
              <w:t>0</w:t>
            </w:r>
          </w:p>
        </w:tc>
        <w:tc>
          <w:tcPr>
            <w:tcW w:w="303" w:type="pct"/>
            <w:vAlign w:val="center"/>
          </w:tcPr>
          <w:p w14:paraId="28DC4829">
            <w:pPr>
              <w:spacing w:line="560" w:lineRule="exact"/>
              <w:jc w:val="right"/>
              <w:rPr>
                <w:rFonts w:hint="eastAsia" w:ascii="仿宋" w:hAnsi="仿宋" w:eastAsia="仿宋" w:cs="Times New Roman"/>
                <w:b/>
                <w:bCs/>
                <w:lang w:eastAsia="zh-CN"/>
              </w:rPr>
            </w:pPr>
            <w:r>
              <w:rPr>
                <w:rFonts w:hint="eastAsia" w:ascii="仿宋" w:hAnsi="仿宋" w:eastAsia="仿宋" w:cs="Times New Roman"/>
                <w:b/>
                <w:bCs/>
                <w:lang w:val="en-US" w:eastAsia="zh-CN"/>
              </w:rPr>
              <w:t>0</w:t>
            </w:r>
          </w:p>
        </w:tc>
        <w:tc>
          <w:tcPr>
            <w:tcW w:w="303" w:type="pct"/>
            <w:vAlign w:val="center"/>
          </w:tcPr>
          <w:p w14:paraId="5FD264E2">
            <w:pPr>
              <w:spacing w:line="560" w:lineRule="exact"/>
              <w:jc w:val="right"/>
              <w:rPr>
                <w:rFonts w:hint="eastAsia" w:ascii="仿宋" w:hAnsi="仿宋" w:eastAsia="仿宋" w:cs="Times New Roman"/>
                <w:b/>
                <w:bCs/>
                <w:lang w:eastAsia="zh-CN"/>
              </w:rPr>
            </w:pPr>
            <w:r>
              <w:rPr>
                <w:rFonts w:hint="eastAsia" w:ascii="仿宋" w:hAnsi="仿宋" w:eastAsia="仿宋" w:cs="Times New Roman"/>
                <w:b/>
                <w:bCs/>
                <w:lang w:val="en-US" w:eastAsia="zh-CN"/>
              </w:rPr>
              <w:t>0</w:t>
            </w:r>
          </w:p>
        </w:tc>
        <w:tc>
          <w:tcPr>
            <w:tcW w:w="275" w:type="pct"/>
            <w:vAlign w:val="center"/>
          </w:tcPr>
          <w:p w14:paraId="1041B565">
            <w:pPr>
              <w:spacing w:line="560" w:lineRule="exact"/>
              <w:jc w:val="right"/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297" w:type="pct"/>
            <w:vAlign w:val="center"/>
          </w:tcPr>
          <w:p w14:paraId="39E95A69">
            <w:pPr>
              <w:spacing w:line="560" w:lineRule="exact"/>
              <w:jc w:val="right"/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298" w:type="pct"/>
            <w:vAlign w:val="center"/>
          </w:tcPr>
          <w:p w14:paraId="35E3FBFD">
            <w:pPr>
              <w:spacing w:line="560" w:lineRule="exact"/>
              <w:jc w:val="right"/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277" w:type="pct"/>
            <w:vAlign w:val="center"/>
          </w:tcPr>
          <w:p w14:paraId="3A3F4658">
            <w:pPr>
              <w:spacing w:line="560" w:lineRule="exact"/>
              <w:jc w:val="right"/>
              <w:rPr>
                <w:rFonts w:ascii="仿宋" w:hAnsi="仿宋" w:eastAsia="仿宋" w:cs="Times New Roman"/>
                <w:b/>
                <w:bCs/>
              </w:rPr>
            </w:pPr>
          </w:p>
        </w:tc>
      </w:tr>
      <w:tr w14:paraId="25330FE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16" w:type="pct"/>
            <w:vAlign w:val="center"/>
          </w:tcPr>
          <w:p w14:paraId="38965B82">
            <w:pPr>
              <w:spacing w:line="560" w:lineRule="exact"/>
              <w:jc w:val="center"/>
              <w:rPr>
                <w:rFonts w:ascii="仿宋" w:hAnsi="仿宋" w:eastAsia="仿宋" w:cs="Times New Roman"/>
                <w:b/>
                <w:bCs/>
              </w:rPr>
            </w:pPr>
            <w:r>
              <w:rPr>
                <w:rFonts w:hint="eastAsia" w:ascii="仿宋" w:hAnsi="仿宋" w:eastAsia="仿宋" w:cs="Times New Roman"/>
                <w:b/>
                <w:bCs/>
              </w:rPr>
              <w:t>电脑</w:t>
            </w:r>
          </w:p>
        </w:tc>
        <w:tc>
          <w:tcPr>
            <w:tcW w:w="362" w:type="pct"/>
            <w:vAlign w:val="center"/>
          </w:tcPr>
          <w:p w14:paraId="04A21184">
            <w:pPr>
              <w:spacing w:line="560" w:lineRule="exact"/>
              <w:jc w:val="right"/>
              <w:rPr>
                <w:rFonts w:hint="eastAsia" w:ascii="仿宋" w:hAnsi="仿宋" w:eastAsia="仿宋" w:cs="Times New Roman"/>
                <w:b/>
                <w:bCs/>
                <w:lang w:eastAsia="zh-CN"/>
              </w:rPr>
            </w:pPr>
            <w:r>
              <w:rPr>
                <w:rFonts w:hint="eastAsia" w:ascii="仿宋" w:hAnsi="仿宋" w:eastAsia="仿宋" w:cs="Times New Roman"/>
                <w:b/>
                <w:bCs/>
                <w:lang w:val="en-US" w:eastAsia="zh-CN"/>
              </w:rPr>
              <w:t>0</w:t>
            </w:r>
          </w:p>
        </w:tc>
        <w:tc>
          <w:tcPr>
            <w:tcW w:w="296" w:type="pct"/>
            <w:vAlign w:val="center"/>
          </w:tcPr>
          <w:p w14:paraId="20EDF73B">
            <w:pPr>
              <w:spacing w:line="560" w:lineRule="exact"/>
              <w:jc w:val="left"/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475" w:type="pct"/>
            <w:vAlign w:val="center"/>
          </w:tcPr>
          <w:p w14:paraId="6C47C2F3">
            <w:pPr>
              <w:spacing w:line="560" w:lineRule="exact"/>
              <w:jc w:val="left"/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296" w:type="pct"/>
            <w:vAlign w:val="center"/>
          </w:tcPr>
          <w:p w14:paraId="03A5729A">
            <w:pPr>
              <w:spacing w:line="560" w:lineRule="exact"/>
              <w:jc w:val="left"/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296" w:type="pct"/>
            <w:vAlign w:val="center"/>
          </w:tcPr>
          <w:p w14:paraId="4B8BF4F3">
            <w:pPr>
              <w:spacing w:line="560" w:lineRule="exact"/>
              <w:jc w:val="right"/>
              <w:rPr>
                <w:rFonts w:hint="eastAsia" w:ascii="仿宋" w:hAnsi="仿宋" w:eastAsia="仿宋" w:cs="Times New Roman"/>
                <w:b/>
                <w:bCs/>
                <w:lang w:eastAsia="zh-CN"/>
              </w:rPr>
            </w:pPr>
            <w:r>
              <w:rPr>
                <w:rFonts w:hint="eastAsia" w:ascii="仿宋" w:hAnsi="仿宋" w:eastAsia="仿宋" w:cs="Times New Roman"/>
                <w:b/>
                <w:bCs/>
                <w:lang w:val="en-US" w:eastAsia="zh-CN"/>
              </w:rPr>
              <w:t>0</w:t>
            </w:r>
          </w:p>
        </w:tc>
        <w:tc>
          <w:tcPr>
            <w:tcW w:w="402" w:type="pct"/>
            <w:vAlign w:val="center"/>
          </w:tcPr>
          <w:p w14:paraId="3466939F">
            <w:pPr>
              <w:spacing w:line="560" w:lineRule="exact"/>
              <w:jc w:val="right"/>
              <w:rPr>
                <w:rFonts w:hint="eastAsia" w:ascii="仿宋" w:hAnsi="仿宋" w:eastAsia="仿宋" w:cs="Times New Roman"/>
                <w:b/>
                <w:bCs/>
                <w:lang w:eastAsia="zh-CN"/>
              </w:rPr>
            </w:pPr>
            <w:r>
              <w:rPr>
                <w:rFonts w:hint="eastAsia" w:ascii="仿宋" w:hAnsi="仿宋" w:eastAsia="仿宋" w:cs="Times New Roman"/>
                <w:b/>
                <w:bCs/>
                <w:lang w:val="en-US" w:eastAsia="zh-CN"/>
              </w:rPr>
              <w:t>0</w:t>
            </w:r>
          </w:p>
        </w:tc>
        <w:tc>
          <w:tcPr>
            <w:tcW w:w="303" w:type="pct"/>
            <w:vAlign w:val="center"/>
          </w:tcPr>
          <w:p w14:paraId="05086A12">
            <w:pPr>
              <w:spacing w:line="560" w:lineRule="exact"/>
              <w:jc w:val="right"/>
              <w:rPr>
                <w:rFonts w:hint="eastAsia" w:ascii="仿宋" w:hAnsi="仿宋" w:eastAsia="仿宋" w:cs="Times New Roman"/>
                <w:b/>
                <w:bCs/>
                <w:lang w:eastAsia="zh-CN"/>
              </w:rPr>
            </w:pPr>
            <w:r>
              <w:rPr>
                <w:rFonts w:hint="eastAsia" w:ascii="仿宋" w:hAnsi="仿宋" w:eastAsia="仿宋" w:cs="Times New Roman"/>
                <w:b/>
                <w:bCs/>
                <w:lang w:val="en-US" w:eastAsia="zh-CN"/>
              </w:rPr>
              <w:t>0</w:t>
            </w:r>
          </w:p>
        </w:tc>
        <w:tc>
          <w:tcPr>
            <w:tcW w:w="303" w:type="pct"/>
            <w:vAlign w:val="center"/>
          </w:tcPr>
          <w:p w14:paraId="44508CFD">
            <w:pPr>
              <w:spacing w:line="560" w:lineRule="exact"/>
              <w:jc w:val="right"/>
              <w:rPr>
                <w:rFonts w:hint="eastAsia" w:ascii="仿宋" w:hAnsi="仿宋" w:eastAsia="仿宋" w:cs="Times New Roman"/>
                <w:b/>
                <w:bCs/>
                <w:lang w:eastAsia="zh-CN"/>
              </w:rPr>
            </w:pPr>
            <w:r>
              <w:rPr>
                <w:rFonts w:hint="eastAsia" w:ascii="仿宋" w:hAnsi="仿宋" w:eastAsia="仿宋" w:cs="Times New Roman"/>
                <w:b/>
                <w:bCs/>
                <w:lang w:val="en-US" w:eastAsia="zh-CN"/>
              </w:rPr>
              <w:t>0</w:t>
            </w:r>
          </w:p>
        </w:tc>
        <w:tc>
          <w:tcPr>
            <w:tcW w:w="303" w:type="pct"/>
            <w:vAlign w:val="center"/>
          </w:tcPr>
          <w:p w14:paraId="73DF884E">
            <w:pPr>
              <w:spacing w:line="560" w:lineRule="exact"/>
              <w:jc w:val="right"/>
              <w:rPr>
                <w:rFonts w:hint="eastAsia" w:ascii="仿宋" w:hAnsi="仿宋" w:eastAsia="仿宋" w:cs="Times New Roman"/>
                <w:b/>
                <w:bCs/>
                <w:lang w:val="en-US" w:eastAsia="zh-CN"/>
              </w:rPr>
            </w:pPr>
            <w:r>
              <w:rPr>
                <w:rFonts w:hint="eastAsia" w:ascii="仿宋" w:hAnsi="仿宋" w:eastAsia="仿宋" w:cs="Times New Roman"/>
                <w:b/>
                <w:bCs/>
                <w:lang w:val="en-US" w:eastAsia="zh-CN"/>
              </w:rPr>
              <w:t>0</w:t>
            </w:r>
          </w:p>
        </w:tc>
        <w:tc>
          <w:tcPr>
            <w:tcW w:w="275" w:type="pct"/>
            <w:vAlign w:val="center"/>
          </w:tcPr>
          <w:p w14:paraId="6C83AD58">
            <w:pPr>
              <w:spacing w:line="560" w:lineRule="exact"/>
              <w:jc w:val="right"/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297" w:type="pct"/>
            <w:vAlign w:val="center"/>
          </w:tcPr>
          <w:p w14:paraId="22F84863">
            <w:pPr>
              <w:spacing w:line="560" w:lineRule="exact"/>
              <w:jc w:val="right"/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298" w:type="pct"/>
            <w:vAlign w:val="center"/>
          </w:tcPr>
          <w:p w14:paraId="177B54B8">
            <w:pPr>
              <w:spacing w:line="560" w:lineRule="exact"/>
              <w:jc w:val="right"/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277" w:type="pct"/>
            <w:vAlign w:val="center"/>
          </w:tcPr>
          <w:p w14:paraId="66D60996">
            <w:pPr>
              <w:spacing w:line="560" w:lineRule="exact"/>
              <w:jc w:val="right"/>
              <w:rPr>
                <w:rFonts w:ascii="仿宋" w:hAnsi="仿宋" w:eastAsia="仿宋" w:cs="Times New Roman"/>
                <w:b/>
                <w:bCs/>
              </w:rPr>
            </w:pPr>
          </w:p>
        </w:tc>
      </w:tr>
    </w:tbl>
    <w:p w14:paraId="68707E44">
      <w:pPr>
        <w:widowControl/>
        <w:spacing w:line="360" w:lineRule="auto"/>
        <w:ind w:firstLine="640" w:firstLineChars="200"/>
        <w:jc w:val="left"/>
        <w:rPr>
          <w:rFonts w:hint="eastAsia" w:ascii="仿宋_GB2312" w:hAnsi="Calibri" w:eastAsia="仿宋_GB2312" w:cs="仿宋_GB2312"/>
          <w:kern w:val="0"/>
          <w:sz w:val="32"/>
          <w:szCs w:val="32"/>
        </w:rPr>
      </w:pPr>
    </w:p>
    <w:p w14:paraId="2AD28940">
      <w:pPr>
        <w:widowControl/>
        <w:spacing w:line="360" w:lineRule="auto"/>
        <w:ind w:firstLine="640" w:firstLineChars="200"/>
        <w:jc w:val="left"/>
        <w:rPr>
          <w:rFonts w:ascii="仿宋_GB2312" w:hAnsi="Calibri" w:eastAsia="仿宋_GB2312" w:cs="仿宋_GB2312"/>
          <w:kern w:val="0"/>
          <w:sz w:val="32"/>
          <w:szCs w:val="32"/>
        </w:rPr>
      </w:pPr>
    </w:p>
    <w:p w14:paraId="0A28E5AC">
      <w:pPr>
        <w:pStyle w:val="10"/>
        <w:widowControl/>
        <w:numPr>
          <w:ilvl w:val="0"/>
          <w:numId w:val="2"/>
        </w:numPr>
        <w:spacing w:line="360" w:lineRule="auto"/>
        <w:ind w:firstLineChars="0"/>
        <w:jc w:val="left"/>
        <w:rPr>
          <w:rFonts w:ascii="黑体" w:hAnsi="黑体" w:eastAsia="黑体" w:cs="Calibri"/>
          <w:kern w:val="0"/>
          <w:sz w:val="32"/>
          <w:szCs w:val="32"/>
        </w:rPr>
      </w:pPr>
      <w:r>
        <w:rPr>
          <w:rFonts w:hint="eastAsia" w:ascii="黑体" w:hAnsi="黑体" w:eastAsia="黑体" w:cs="Calibri"/>
          <w:kern w:val="0"/>
          <w:sz w:val="32"/>
          <w:szCs w:val="32"/>
        </w:rPr>
        <w:t>国有资产情况的说明</w:t>
      </w:r>
    </w:p>
    <w:p w14:paraId="4D5F6F98">
      <w:pPr>
        <w:widowControl/>
        <w:spacing w:line="360" w:lineRule="auto"/>
        <w:ind w:firstLine="640" w:firstLineChars="200"/>
        <w:jc w:val="left"/>
        <w:rPr>
          <w:rFonts w:ascii="仿宋_GB2312" w:hAnsi="Calibri" w:eastAsia="仿宋_GB2312" w:cs="仿宋_GB2312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截止上年</w:t>
      </w:r>
      <w:r>
        <w:rPr>
          <w:rFonts w:hint="eastAsia" w:ascii="仿宋_GB2312" w:hAnsi="Calibri" w:eastAsia="仿宋_GB2312" w:cs="仿宋_GB2312"/>
          <w:kern w:val="0"/>
          <w:sz w:val="32"/>
          <w:szCs w:val="32"/>
        </w:rPr>
        <w:t>末固定资产</w:t>
      </w:r>
      <w:r>
        <w:rPr>
          <w:rFonts w:hint="eastAsia" w:ascii="仿宋_GB2312" w:hAnsi="Calibri" w:eastAsia="仿宋_GB2312" w:cs="仿宋_GB2312"/>
          <w:kern w:val="0"/>
          <w:sz w:val="32"/>
          <w:szCs w:val="32"/>
          <w:lang w:val="en-US" w:eastAsia="zh-CN"/>
        </w:rPr>
        <w:t>账</w:t>
      </w:r>
      <w:r>
        <w:rPr>
          <w:rFonts w:hint="eastAsia" w:ascii="仿宋_GB2312" w:hAnsi="Calibri" w:eastAsia="仿宋_GB2312" w:cs="仿宋_GB2312"/>
          <w:kern w:val="0"/>
          <w:sz w:val="32"/>
          <w:szCs w:val="32"/>
        </w:rPr>
        <w:t>面结余0.49万元。其中：房屋价值0万元，车辆价值0万元，其它资产办公用电脑、办公家具、专用设备等价值0.49万元。</w:t>
      </w:r>
      <w:r>
        <w:rPr>
          <w:rFonts w:hint="eastAsia" w:ascii="仿宋_GB2312" w:hAnsi="Calibri" w:eastAsia="仿宋_GB2312" w:cs="仿宋_GB2312"/>
          <w:kern w:val="0"/>
          <w:sz w:val="32"/>
          <w:szCs w:val="32"/>
          <w:lang w:eastAsia="zh-CN"/>
        </w:rPr>
        <w:t>2018</w:t>
      </w:r>
      <w:r>
        <w:rPr>
          <w:rFonts w:hint="eastAsia" w:ascii="仿宋_GB2312" w:hAnsi="Calibri" w:eastAsia="仿宋_GB2312" w:cs="仿宋_GB2312"/>
          <w:kern w:val="0"/>
          <w:sz w:val="32"/>
          <w:szCs w:val="32"/>
        </w:rPr>
        <w:t>年我单位拟购置1.5万元。</w:t>
      </w:r>
    </w:p>
    <w:tbl>
      <w:tblPr>
        <w:tblStyle w:val="6"/>
        <w:tblW w:w="5000" w:type="pct"/>
        <w:tblInd w:w="-106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42"/>
        <w:gridCol w:w="877"/>
        <w:gridCol w:w="4168"/>
      </w:tblGrid>
      <w:tr w14:paraId="556BE0BA">
        <w:trPr>
          <w:trHeight w:val="705" w:hRule="atLeast"/>
        </w:trPr>
        <w:tc>
          <w:tcPr>
            <w:tcW w:w="5000" w:type="pct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4E7CBA3">
            <w:pPr>
              <w:widowControl/>
              <w:jc w:val="center"/>
              <w:rPr>
                <w:rFonts w:ascii="宋体" w:hAnsi="宋体" w:eastAsia="宋体" w:cs="Times New Roman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部门固定资产占用情况表</w:t>
            </w:r>
          </w:p>
        </w:tc>
      </w:tr>
      <w:tr w14:paraId="47CB519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756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560E5B7">
            <w:pPr>
              <w:widowControl/>
              <w:jc w:val="left"/>
              <w:rPr>
                <w:rFonts w:ascii="宋体" w:hAnsi="宋体" w:eastAsia="宋体" w:cs="Times New Roman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</w:rPr>
              <w:t>编制部门：成安县工商业联合会</w:t>
            </w:r>
          </w:p>
        </w:tc>
        <w:tc>
          <w:tcPr>
            <w:tcW w:w="2244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140FCA2">
            <w:pPr>
              <w:widowControl/>
              <w:ind w:firstLine="550" w:firstLineChars="250"/>
              <w:jc w:val="left"/>
              <w:rPr>
                <w:rFonts w:ascii="宋体" w:hAnsi="宋体" w:eastAsia="宋体" w:cs="宋体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</w:rPr>
              <w:t>截止时间：</w:t>
            </w:r>
            <w:r>
              <w:rPr>
                <w:rFonts w:ascii="宋体" w:hAnsi="宋体" w:eastAsia="宋体" w:cs="宋体"/>
                <w:kern w:val="0"/>
                <w:sz w:val="22"/>
              </w:rPr>
              <w:t>2016</w:t>
            </w:r>
            <w:r>
              <w:rPr>
                <w:rFonts w:hint="eastAsia" w:ascii="宋体" w:hAnsi="宋体" w:eastAsia="宋体" w:cs="宋体"/>
                <w:kern w:val="0"/>
                <w:sz w:val="22"/>
              </w:rPr>
              <w:t>年</w:t>
            </w:r>
            <w:r>
              <w:rPr>
                <w:rFonts w:ascii="宋体" w:hAnsi="宋体" w:eastAsia="宋体" w:cs="宋体"/>
                <w:kern w:val="0"/>
                <w:sz w:val="22"/>
              </w:rPr>
              <w:t>12</w:t>
            </w:r>
            <w:r>
              <w:rPr>
                <w:rFonts w:hint="eastAsia" w:ascii="宋体" w:hAnsi="宋体" w:eastAsia="宋体" w:cs="宋体"/>
                <w:kern w:val="0"/>
                <w:sz w:val="22"/>
              </w:rPr>
              <w:t>月</w:t>
            </w:r>
            <w:r>
              <w:rPr>
                <w:rFonts w:ascii="宋体" w:hAnsi="宋体" w:eastAsia="宋体" w:cs="宋体"/>
                <w:kern w:val="0"/>
                <w:sz w:val="22"/>
              </w:rPr>
              <w:t>31</w:t>
            </w:r>
            <w:r>
              <w:rPr>
                <w:rFonts w:hint="eastAsia" w:ascii="宋体" w:hAnsi="宋体" w:eastAsia="宋体" w:cs="宋体"/>
                <w:kern w:val="0"/>
                <w:sz w:val="22"/>
              </w:rPr>
              <w:t>日</w:t>
            </w:r>
            <w:r>
              <w:rPr>
                <w:rFonts w:ascii="宋体" w:hAnsi="宋体" w:eastAsia="宋体" w:cs="宋体"/>
                <w:kern w:val="0"/>
                <w:sz w:val="22"/>
              </w:rPr>
              <w:t xml:space="preserve">  </w:t>
            </w:r>
          </w:p>
        </w:tc>
      </w:tr>
      <w:tr w14:paraId="5B629C4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</w:trPr>
        <w:tc>
          <w:tcPr>
            <w:tcW w:w="228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B266F28">
            <w:pPr>
              <w:widowControl/>
              <w:jc w:val="center"/>
              <w:rPr>
                <w:rFonts w:ascii="宋体" w:hAnsi="宋体" w:eastAsia="宋体" w:cs="Times New Roman"/>
                <w:b/>
                <w:bCs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2"/>
              </w:rPr>
              <w:t>项</w:t>
            </w:r>
            <w:r>
              <w:rPr>
                <w:rFonts w:ascii="宋体" w:hAnsi="宋体" w:eastAsia="宋体" w:cs="宋体"/>
                <w:b/>
                <w:bCs/>
                <w:kern w:val="0"/>
                <w:sz w:val="22"/>
              </w:rPr>
              <w:t xml:space="preserve">   </w:t>
            </w:r>
            <w:r>
              <w:rPr>
                <w:rFonts w:hint="eastAsia" w:ascii="宋体" w:hAnsi="宋体" w:eastAsia="宋体" w:cs="宋体"/>
                <w:b/>
                <w:bCs/>
                <w:kern w:val="0"/>
                <w:sz w:val="22"/>
              </w:rPr>
              <w:t>目</w:t>
            </w:r>
          </w:p>
        </w:tc>
        <w:tc>
          <w:tcPr>
            <w:tcW w:w="472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E66B7B8">
            <w:pPr>
              <w:widowControl/>
              <w:jc w:val="center"/>
              <w:rPr>
                <w:rFonts w:ascii="宋体" w:hAnsi="宋体" w:eastAsia="宋体" w:cs="Times New Roman"/>
                <w:b/>
                <w:bCs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2"/>
              </w:rPr>
              <w:t>数量</w:t>
            </w:r>
          </w:p>
        </w:tc>
        <w:tc>
          <w:tcPr>
            <w:tcW w:w="2244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4F3C6D4">
            <w:pPr>
              <w:widowControl/>
              <w:jc w:val="center"/>
              <w:rPr>
                <w:rFonts w:ascii="宋体" w:hAnsi="宋体" w:eastAsia="宋体" w:cs="Times New Roman"/>
                <w:b/>
                <w:bCs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2"/>
              </w:rPr>
              <w:t>价值（金额单位：万元）</w:t>
            </w:r>
          </w:p>
        </w:tc>
      </w:tr>
      <w:tr w14:paraId="5E8DC74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</w:trPr>
        <w:tc>
          <w:tcPr>
            <w:tcW w:w="2284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9813534">
            <w:pPr>
              <w:widowControl/>
              <w:jc w:val="center"/>
              <w:rPr>
                <w:rFonts w:ascii="宋体" w:hAnsi="宋体" w:eastAsia="宋体" w:cs="Times New Roman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</w:rPr>
              <w:t>资产总额</w:t>
            </w:r>
          </w:p>
        </w:tc>
        <w:tc>
          <w:tcPr>
            <w:tcW w:w="47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188AEFC">
            <w:pPr>
              <w:widowControl/>
              <w:jc w:val="center"/>
              <w:rPr>
                <w:rFonts w:ascii="宋体" w:hAnsi="宋体" w:eastAsia="宋体" w:cs="宋体"/>
                <w:kern w:val="0"/>
                <w:sz w:val="22"/>
              </w:rPr>
            </w:pPr>
            <w:r>
              <w:rPr>
                <w:rFonts w:ascii="宋体" w:hAnsi="宋体" w:eastAsia="宋体" w:cs="宋体"/>
                <w:kern w:val="0"/>
                <w:sz w:val="22"/>
              </w:rPr>
              <w:t>——</w:t>
            </w:r>
          </w:p>
        </w:tc>
        <w:tc>
          <w:tcPr>
            <w:tcW w:w="224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2E7EE5E">
            <w:pPr>
              <w:widowControl/>
              <w:jc w:val="center"/>
              <w:rPr>
                <w:rFonts w:ascii="华文楷体" w:hAnsi="华文楷体" w:eastAsia="华文楷体" w:cs="宋体"/>
                <w:kern w:val="0"/>
                <w:sz w:val="24"/>
                <w:szCs w:val="24"/>
              </w:rPr>
            </w:pPr>
            <w:r>
              <w:rPr>
                <w:rFonts w:hint="eastAsia" w:ascii="华文楷体" w:hAnsi="华文楷体" w:eastAsia="华文楷体" w:cs="宋体"/>
                <w:kern w:val="0"/>
                <w:sz w:val="24"/>
                <w:szCs w:val="24"/>
              </w:rPr>
              <w:t>0.49</w:t>
            </w:r>
          </w:p>
        </w:tc>
      </w:tr>
      <w:tr w14:paraId="65EBE56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</w:trPr>
        <w:tc>
          <w:tcPr>
            <w:tcW w:w="2284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31B7BD2">
            <w:pPr>
              <w:widowControl/>
              <w:jc w:val="left"/>
              <w:rPr>
                <w:rFonts w:ascii="宋体" w:hAnsi="宋体" w:eastAsia="宋体" w:cs="Times New Roman"/>
                <w:kern w:val="0"/>
                <w:sz w:val="22"/>
              </w:rPr>
            </w:pPr>
            <w:r>
              <w:rPr>
                <w:rFonts w:ascii="宋体" w:hAnsi="宋体" w:eastAsia="宋体" w:cs="宋体"/>
                <w:kern w:val="0"/>
                <w:sz w:val="22"/>
              </w:rPr>
              <w:t>1</w:t>
            </w:r>
            <w:r>
              <w:rPr>
                <w:rFonts w:hint="eastAsia" w:ascii="宋体" w:hAnsi="宋体" w:eastAsia="宋体" w:cs="宋体"/>
                <w:kern w:val="0"/>
                <w:sz w:val="22"/>
              </w:rPr>
              <w:t>、房屋（平方米）</w:t>
            </w:r>
          </w:p>
        </w:tc>
        <w:tc>
          <w:tcPr>
            <w:tcW w:w="47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4A863B9">
            <w:pPr>
              <w:widowControl/>
              <w:jc w:val="center"/>
              <w:rPr>
                <w:rFonts w:ascii="宋体" w:hAnsi="宋体" w:eastAsia="宋体" w:cs="Times New Roman"/>
                <w:kern w:val="0"/>
                <w:sz w:val="22"/>
              </w:rPr>
            </w:pPr>
            <w:r>
              <w:rPr>
                <w:rFonts w:hint="eastAsia" w:ascii="宋体" w:hAnsi="宋体" w:eastAsia="宋体" w:cs="Times New Roman"/>
                <w:kern w:val="0"/>
                <w:sz w:val="22"/>
              </w:rPr>
              <w:t>0</w:t>
            </w:r>
          </w:p>
        </w:tc>
        <w:tc>
          <w:tcPr>
            <w:tcW w:w="224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E9D066C">
            <w:pPr>
              <w:widowControl/>
              <w:jc w:val="center"/>
              <w:rPr>
                <w:rFonts w:ascii="华文楷体" w:hAnsi="华文楷体" w:eastAsia="华文楷体" w:cs="Times New Roman"/>
                <w:kern w:val="0"/>
                <w:sz w:val="24"/>
                <w:szCs w:val="24"/>
              </w:rPr>
            </w:pPr>
            <w:r>
              <w:rPr>
                <w:rFonts w:hint="eastAsia" w:ascii="华文楷体" w:hAnsi="华文楷体" w:eastAsia="华文楷体" w:cs="Times New Roman"/>
                <w:kern w:val="0"/>
                <w:sz w:val="24"/>
                <w:szCs w:val="24"/>
              </w:rPr>
              <w:t>0</w:t>
            </w:r>
          </w:p>
        </w:tc>
      </w:tr>
      <w:tr w14:paraId="433EBE9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</w:trPr>
        <w:tc>
          <w:tcPr>
            <w:tcW w:w="2284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65B79A7">
            <w:pPr>
              <w:widowControl/>
              <w:jc w:val="left"/>
              <w:rPr>
                <w:rFonts w:ascii="宋体" w:hAnsi="宋体" w:eastAsia="宋体" w:cs="Times New Roman"/>
                <w:kern w:val="0"/>
                <w:sz w:val="22"/>
              </w:rPr>
            </w:pPr>
            <w:r>
              <w:rPr>
                <w:rFonts w:ascii="宋体" w:hAnsi="宋体" w:eastAsia="宋体" w:cs="宋体"/>
                <w:kern w:val="0"/>
                <w:sz w:val="22"/>
              </w:rPr>
              <w:t xml:space="preserve">   </w:t>
            </w:r>
            <w:r>
              <w:rPr>
                <w:rFonts w:hint="eastAsia" w:ascii="宋体" w:hAnsi="宋体" w:eastAsia="宋体" w:cs="宋体"/>
                <w:kern w:val="0"/>
                <w:sz w:val="22"/>
              </w:rPr>
              <w:t>其中：办公用房（平方米）</w:t>
            </w:r>
          </w:p>
        </w:tc>
        <w:tc>
          <w:tcPr>
            <w:tcW w:w="47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C916744">
            <w:pPr>
              <w:widowControl/>
              <w:jc w:val="center"/>
              <w:rPr>
                <w:rFonts w:ascii="宋体" w:hAnsi="宋体" w:eastAsia="宋体" w:cs="Times New Roman"/>
                <w:kern w:val="0"/>
                <w:sz w:val="22"/>
              </w:rPr>
            </w:pPr>
            <w:r>
              <w:rPr>
                <w:rFonts w:hint="eastAsia" w:ascii="宋体" w:hAnsi="宋体" w:eastAsia="宋体" w:cs="Times New Roman"/>
                <w:kern w:val="0"/>
                <w:sz w:val="22"/>
              </w:rPr>
              <w:t>0</w:t>
            </w:r>
          </w:p>
        </w:tc>
        <w:tc>
          <w:tcPr>
            <w:tcW w:w="224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90C6998">
            <w:pPr>
              <w:widowControl/>
              <w:jc w:val="center"/>
              <w:rPr>
                <w:rFonts w:ascii="华文楷体" w:hAnsi="华文楷体" w:eastAsia="华文楷体" w:cs="Times New Roman"/>
                <w:kern w:val="0"/>
                <w:sz w:val="24"/>
                <w:szCs w:val="24"/>
              </w:rPr>
            </w:pPr>
            <w:r>
              <w:rPr>
                <w:rFonts w:hint="eastAsia" w:ascii="华文楷体" w:hAnsi="华文楷体" w:eastAsia="华文楷体" w:cs="Times New Roman"/>
                <w:kern w:val="0"/>
                <w:sz w:val="24"/>
                <w:szCs w:val="24"/>
              </w:rPr>
              <w:t>0</w:t>
            </w:r>
          </w:p>
        </w:tc>
      </w:tr>
      <w:tr w14:paraId="45CE545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</w:trPr>
        <w:tc>
          <w:tcPr>
            <w:tcW w:w="2284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568F669">
            <w:pPr>
              <w:widowControl/>
              <w:jc w:val="left"/>
              <w:rPr>
                <w:rFonts w:ascii="宋体" w:hAnsi="宋体" w:eastAsia="宋体" w:cs="Times New Roman"/>
                <w:kern w:val="0"/>
                <w:sz w:val="22"/>
              </w:rPr>
            </w:pPr>
            <w:r>
              <w:rPr>
                <w:rFonts w:ascii="宋体" w:hAnsi="宋体" w:eastAsia="宋体" w:cs="宋体"/>
                <w:kern w:val="0"/>
                <w:sz w:val="22"/>
              </w:rPr>
              <w:t>2</w:t>
            </w:r>
            <w:r>
              <w:rPr>
                <w:rFonts w:hint="eastAsia" w:ascii="宋体" w:hAnsi="宋体" w:eastAsia="宋体" w:cs="宋体"/>
                <w:kern w:val="0"/>
                <w:sz w:val="22"/>
              </w:rPr>
              <w:t>、车辆（台、辆）</w:t>
            </w:r>
          </w:p>
        </w:tc>
        <w:tc>
          <w:tcPr>
            <w:tcW w:w="47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AAF45F0">
            <w:pPr>
              <w:widowControl/>
              <w:jc w:val="center"/>
              <w:rPr>
                <w:rFonts w:ascii="宋体" w:hAnsi="宋体" w:eastAsia="宋体" w:cs="Times New Roman"/>
                <w:kern w:val="0"/>
                <w:sz w:val="22"/>
              </w:rPr>
            </w:pPr>
          </w:p>
        </w:tc>
        <w:tc>
          <w:tcPr>
            <w:tcW w:w="224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FBC9EC6">
            <w:pPr>
              <w:widowControl/>
              <w:jc w:val="center"/>
              <w:rPr>
                <w:rFonts w:ascii="华文楷体" w:hAnsi="华文楷体" w:eastAsia="华文楷体" w:cs="Times New Roman"/>
                <w:kern w:val="0"/>
                <w:sz w:val="24"/>
                <w:szCs w:val="24"/>
              </w:rPr>
            </w:pPr>
          </w:p>
        </w:tc>
      </w:tr>
      <w:tr w14:paraId="2B1885C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</w:trPr>
        <w:tc>
          <w:tcPr>
            <w:tcW w:w="2284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9474E57">
            <w:pPr>
              <w:widowControl/>
              <w:jc w:val="left"/>
              <w:rPr>
                <w:rFonts w:ascii="宋体" w:hAnsi="宋体" w:eastAsia="宋体" w:cs="Times New Roman"/>
                <w:kern w:val="0"/>
                <w:sz w:val="22"/>
              </w:rPr>
            </w:pPr>
            <w:r>
              <w:rPr>
                <w:rFonts w:ascii="宋体" w:hAnsi="宋体" w:eastAsia="宋体" w:cs="宋体"/>
                <w:kern w:val="0"/>
                <w:sz w:val="22"/>
              </w:rPr>
              <w:t>3</w:t>
            </w:r>
            <w:r>
              <w:rPr>
                <w:rFonts w:hint="eastAsia" w:ascii="宋体" w:hAnsi="宋体" w:eastAsia="宋体" w:cs="宋体"/>
                <w:kern w:val="0"/>
                <w:sz w:val="22"/>
              </w:rPr>
              <w:t>、单价在</w:t>
            </w:r>
            <w:r>
              <w:rPr>
                <w:rFonts w:ascii="宋体" w:hAnsi="宋体" w:eastAsia="宋体" w:cs="宋体"/>
                <w:kern w:val="0"/>
                <w:sz w:val="22"/>
              </w:rPr>
              <w:t>50</w:t>
            </w:r>
            <w:r>
              <w:rPr>
                <w:rFonts w:hint="eastAsia" w:ascii="宋体" w:hAnsi="宋体" w:eastAsia="宋体" w:cs="宋体"/>
                <w:kern w:val="0"/>
                <w:sz w:val="22"/>
              </w:rPr>
              <w:t>万元以上的设备</w:t>
            </w:r>
          </w:p>
        </w:tc>
        <w:tc>
          <w:tcPr>
            <w:tcW w:w="47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190AC9E">
            <w:pPr>
              <w:widowControl/>
              <w:jc w:val="center"/>
              <w:rPr>
                <w:rFonts w:ascii="宋体" w:hAnsi="宋体" w:eastAsia="宋体" w:cs="Times New Roman"/>
                <w:kern w:val="0"/>
                <w:sz w:val="22"/>
              </w:rPr>
            </w:pPr>
          </w:p>
        </w:tc>
        <w:tc>
          <w:tcPr>
            <w:tcW w:w="224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A34B39E">
            <w:pPr>
              <w:widowControl/>
              <w:jc w:val="center"/>
              <w:rPr>
                <w:rFonts w:ascii="华文楷体" w:hAnsi="华文楷体" w:eastAsia="华文楷体" w:cs="Times New Roman"/>
                <w:kern w:val="0"/>
                <w:sz w:val="24"/>
                <w:szCs w:val="24"/>
              </w:rPr>
            </w:pPr>
          </w:p>
        </w:tc>
      </w:tr>
      <w:tr w14:paraId="250DCB7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</w:trPr>
        <w:tc>
          <w:tcPr>
            <w:tcW w:w="2284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721AB25">
            <w:pPr>
              <w:widowControl/>
              <w:jc w:val="left"/>
              <w:rPr>
                <w:rFonts w:ascii="宋体" w:hAnsi="宋体" w:eastAsia="宋体" w:cs="Times New Roman"/>
                <w:kern w:val="0"/>
                <w:sz w:val="22"/>
              </w:rPr>
            </w:pPr>
            <w:r>
              <w:rPr>
                <w:rFonts w:ascii="宋体" w:hAnsi="宋体" w:eastAsia="宋体" w:cs="宋体"/>
                <w:kern w:val="0"/>
                <w:sz w:val="22"/>
              </w:rPr>
              <w:t>4</w:t>
            </w:r>
            <w:r>
              <w:rPr>
                <w:rFonts w:hint="eastAsia" w:ascii="宋体" w:hAnsi="宋体" w:eastAsia="宋体" w:cs="宋体"/>
                <w:kern w:val="0"/>
                <w:sz w:val="22"/>
              </w:rPr>
              <w:t>、其他固定资产</w:t>
            </w:r>
          </w:p>
        </w:tc>
        <w:tc>
          <w:tcPr>
            <w:tcW w:w="47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ABE7F9C">
            <w:pPr>
              <w:widowControl/>
              <w:jc w:val="center"/>
              <w:rPr>
                <w:rFonts w:ascii="宋体" w:hAnsi="宋体" w:eastAsia="宋体" w:cs="Times New Roman"/>
                <w:kern w:val="0"/>
                <w:sz w:val="22"/>
              </w:rPr>
            </w:pPr>
          </w:p>
        </w:tc>
        <w:tc>
          <w:tcPr>
            <w:tcW w:w="224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D60F36C">
            <w:pPr>
              <w:widowControl/>
              <w:jc w:val="center"/>
              <w:rPr>
                <w:rFonts w:ascii="华文楷体" w:hAnsi="华文楷体" w:eastAsia="华文楷体" w:cs="Times New Roman"/>
                <w:kern w:val="0"/>
                <w:sz w:val="24"/>
                <w:szCs w:val="24"/>
              </w:rPr>
            </w:pPr>
            <w:r>
              <w:rPr>
                <w:rFonts w:hint="eastAsia" w:ascii="华文楷体" w:hAnsi="华文楷体" w:eastAsia="华文楷体" w:cs="仿宋_GB2312"/>
                <w:kern w:val="0"/>
                <w:sz w:val="24"/>
                <w:szCs w:val="24"/>
              </w:rPr>
              <w:t>0.49</w:t>
            </w:r>
          </w:p>
        </w:tc>
      </w:tr>
    </w:tbl>
    <w:p w14:paraId="4E359A1A">
      <w:pPr>
        <w:widowControl/>
        <w:spacing w:line="360" w:lineRule="auto"/>
        <w:ind w:firstLine="640" w:firstLineChars="200"/>
        <w:jc w:val="left"/>
        <w:rPr>
          <w:rFonts w:ascii="仿宋_GB2312" w:hAnsi="Calibri" w:eastAsia="仿宋_GB2312" w:cs="仿宋_GB2312"/>
          <w:kern w:val="0"/>
          <w:sz w:val="32"/>
          <w:szCs w:val="32"/>
        </w:rPr>
      </w:pPr>
    </w:p>
    <w:p w14:paraId="6A4ACE7D">
      <w:pPr>
        <w:widowControl/>
        <w:spacing w:line="360" w:lineRule="auto"/>
        <w:ind w:firstLine="640" w:firstLineChars="200"/>
        <w:jc w:val="left"/>
        <w:rPr>
          <w:rFonts w:ascii="黑体" w:hAnsi="黑体" w:eastAsia="黑体" w:cs="仿宋_GB2312"/>
          <w:sz w:val="32"/>
          <w:szCs w:val="32"/>
        </w:rPr>
      </w:pPr>
      <w:r>
        <w:rPr>
          <w:rFonts w:hint="eastAsia" w:ascii="黑体" w:hAnsi="黑体" w:eastAsia="黑体" w:cs="仿宋_GB2312"/>
          <w:sz w:val="32"/>
          <w:szCs w:val="32"/>
        </w:rPr>
        <w:t xml:space="preserve">八、名词解释 </w:t>
      </w:r>
    </w:p>
    <w:p w14:paraId="3297341E">
      <w:pPr>
        <w:widowControl/>
        <w:spacing w:line="360" w:lineRule="auto"/>
        <w:ind w:firstLine="640" w:firstLineChars="200"/>
        <w:jc w:val="left"/>
        <w:rPr>
          <w:rFonts w:ascii="仿宋_GB2312" w:hAnsi="Calibri" w:eastAsia="仿宋_GB2312" w:cs="仿宋_GB2312"/>
          <w:sz w:val="32"/>
          <w:szCs w:val="32"/>
        </w:rPr>
      </w:pPr>
      <w:r>
        <w:rPr>
          <w:rFonts w:hint="eastAsia" w:ascii="仿宋_GB2312" w:hAnsi="Calibri" w:eastAsia="仿宋_GB2312" w:cs="仿宋_GB2312"/>
          <w:sz w:val="32"/>
          <w:szCs w:val="32"/>
        </w:rPr>
        <w:t> 1、财政拨款收入：指财政当年拨付的资金。</w:t>
      </w:r>
    </w:p>
    <w:p w14:paraId="1E99B2F1">
      <w:pPr>
        <w:widowControl/>
        <w:spacing w:line="360" w:lineRule="auto"/>
        <w:ind w:firstLine="640" w:firstLineChars="200"/>
        <w:jc w:val="left"/>
        <w:rPr>
          <w:rFonts w:ascii="仿宋_GB2312" w:hAnsi="Calibri" w:eastAsia="仿宋_GB2312" w:cs="仿宋_GB2312"/>
          <w:sz w:val="32"/>
          <w:szCs w:val="32"/>
        </w:rPr>
      </w:pPr>
      <w:r>
        <w:rPr>
          <w:rFonts w:hint="eastAsia" w:ascii="仿宋_GB2312" w:hAnsi="Calibri" w:eastAsia="仿宋_GB2312" w:cs="仿宋_GB2312"/>
          <w:sz w:val="32"/>
          <w:szCs w:val="32"/>
        </w:rPr>
        <w:t>2、“三公”经费：包括因公出国（境）费、公务接待费和公务用车购置及运行费。因公出国（境）费，指单位工作人员公务出国（境）的住宿费、差旅费、伙食补助费、杂费、培训费等支出。公务接待费，指单位按规定开支的各类公务接待（含外宾接待）支出。公务用车购置及运行费，指单位公务用车购置费及租用费、燃料费、维修费</w:t>
      </w:r>
      <w:r>
        <w:rPr>
          <w:rFonts w:hint="eastAsia" w:ascii="仿宋_GB2312" w:hAnsi="Calibri" w:eastAsia="仿宋_GB2312" w:cs="仿宋_GB2312"/>
          <w:sz w:val="32"/>
          <w:szCs w:val="32"/>
          <w:lang w:eastAsia="zh-CN"/>
        </w:rPr>
        <w:t>等</w:t>
      </w:r>
      <w:r>
        <w:rPr>
          <w:rFonts w:hint="eastAsia" w:ascii="仿宋_GB2312" w:hAnsi="Calibri" w:eastAsia="仿宋_GB2312" w:cs="仿宋_GB2312"/>
          <w:sz w:val="32"/>
          <w:szCs w:val="32"/>
        </w:rPr>
        <w:t xml:space="preserve">支出，公务用车指用于履行公务的机动车辆，包括领导干部专车、一般公务用车和执法执勤等业务用车。 </w:t>
      </w:r>
    </w:p>
    <w:p w14:paraId="6BB0E2A5">
      <w:pPr>
        <w:widowControl/>
        <w:spacing w:line="360" w:lineRule="auto"/>
        <w:ind w:firstLine="640" w:firstLineChars="200"/>
        <w:jc w:val="left"/>
        <w:rPr>
          <w:rFonts w:ascii="仿宋_GB2312" w:hAnsi="Calibri" w:eastAsia="仿宋_GB2312" w:cs="仿宋_GB2312"/>
          <w:sz w:val="32"/>
          <w:szCs w:val="32"/>
        </w:rPr>
      </w:pPr>
      <w:r>
        <w:rPr>
          <w:rFonts w:hint="eastAsia" w:ascii="仿宋_GB2312" w:hAnsi="Calibri" w:eastAsia="仿宋_GB2312" w:cs="仿宋_GB2312"/>
          <w:sz w:val="32"/>
          <w:szCs w:val="32"/>
        </w:rPr>
        <w:t>3、年初结转和结余：指以前年度尚未完成，结转到本年仍按照原规定用途继续使用的资金，或项目已完成等产生的结余资金。  </w:t>
      </w:r>
    </w:p>
    <w:p w14:paraId="6DB228FB">
      <w:pPr>
        <w:widowControl/>
        <w:spacing w:line="360" w:lineRule="auto"/>
        <w:ind w:firstLine="640" w:firstLineChars="200"/>
        <w:jc w:val="left"/>
        <w:rPr>
          <w:rFonts w:ascii="仿宋_GB2312" w:hAnsi="Calibri" w:eastAsia="仿宋_GB2312" w:cs="仿宋_GB2312"/>
          <w:sz w:val="32"/>
          <w:szCs w:val="32"/>
        </w:rPr>
      </w:pPr>
      <w:r>
        <w:rPr>
          <w:rFonts w:hint="eastAsia" w:ascii="仿宋_GB2312" w:hAnsi="Calibri" w:eastAsia="仿宋_GB2312" w:cs="仿宋_GB2312"/>
          <w:sz w:val="32"/>
          <w:szCs w:val="32"/>
        </w:rPr>
        <w:t>4、基本支出：指单位为了保障其正常运转、完成日常工作任务而发生的人员支出和公用支出。  5、项目支出：指单位为了特定的工作任务和事业发展目标，在基本支出之外所发生的支出。</w:t>
      </w:r>
    </w:p>
    <w:p w14:paraId="42DE7DE9">
      <w:pPr>
        <w:widowControl/>
        <w:spacing w:line="360" w:lineRule="auto"/>
        <w:ind w:firstLine="640" w:firstLineChars="200"/>
        <w:jc w:val="left"/>
        <w:rPr>
          <w:rFonts w:ascii="黑体" w:hAnsi="黑体" w:eastAsia="黑体" w:cs="仿宋"/>
          <w:kern w:val="0"/>
          <w:sz w:val="32"/>
          <w:szCs w:val="32"/>
        </w:rPr>
      </w:pPr>
      <w:r>
        <w:rPr>
          <w:rFonts w:hint="eastAsia" w:ascii="黑体" w:hAnsi="黑体" w:eastAsia="黑体" w:cs="仿宋"/>
          <w:kern w:val="0"/>
          <w:sz w:val="32"/>
          <w:szCs w:val="32"/>
        </w:rPr>
        <w:t>九、其他需要说明的事项</w:t>
      </w:r>
    </w:p>
    <w:p w14:paraId="30148519">
      <w:pPr>
        <w:widowControl/>
        <w:spacing w:line="360" w:lineRule="auto"/>
        <w:ind w:firstLine="640" w:firstLineChars="200"/>
        <w:jc w:val="left"/>
        <w:rPr>
          <w:rFonts w:ascii="仿宋" w:hAnsi="仿宋" w:eastAsia="仿宋" w:cs="仿宋"/>
          <w:szCs w:val="24"/>
        </w:rPr>
      </w:pPr>
      <w:r>
        <w:rPr>
          <w:rFonts w:hint="eastAsia" w:ascii="仿宋" w:hAnsi="仿宋" w:eastAsia="仿宋" w:cs="仿宋"/>
          <w:kern w:val="0"/>
          <w:sz w:val="32"/>
          <w:szCs w:val="32"/>
        </w:rPr>
        <w:t>无其他需要说明的事项。</w:t>
      </w:r>
    </w:p>
    <w:p w14:paraId="24349D9D">
      <w:pPr>
        <w:widowControl/>
        <w:spacing w:line="360" w:lineRule="auto"/>
        <w:ind w:firstLine="640" w:firstLineChars="200"/>
        <w:jc w:val="left"/>
        <w:rPr>
          <w:rFonts w:ascii="仿宋_GB2312" w:hAnsi="Calibri" w:eastAsia="仿宋_GB2312" w:cs="仿宋_GB2312"/>
          <w:sz w:val="32"/>
          <w:szCs w:val="32"/>
        </w:rPr>
      </w:pPr>
    </w:p>
    <w:sectPr>
      <w:pgSz w:w="11907" w:h="16839"/>
      <w:pgMar w:top="1701" w:right="1418" w:bottom="1440" w:left="1418" w:header="851" w:footer="992" w:gutter="0"/>
      <w:cols w:space="425" w:num="1"/>
      <w:docGrid w:type="linesAndChar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_GBK">
    <w:altName w:val="宋体"/>
    <w:panose1 w:val="00000000000000000000"/>
    <w:charset w:val="86"/>
    <w:family w:val="roman"/>
    <w:pitch w:val="default"/>
    <w:sig w:usb0="00000000" w:usb1="00000000" w:usb2="00000000" w:usb3="00000000" w:csb0="00000000" w:csb1="00000000"/>
  </w:font>
  <w:font w:name="方正书宋_GBK">
    <w:altName w:val="宋体"/>
    <w:panose1 w:val="00000000000000000000"/>
    <w:charset w:val="86"/>
    <w:family w:val="roman"/>
    <w:pitch w:val="default"/>
    <w:sig w:usb0="00000000" w:usb1="00000000" w:usb2="00000000" w:usb3="00000000" w:csb0="00000000" w:csb1="00000000"/>
  </w:font>
  <w:font w:name="方正仿宋_GBK">
    <w:altName w:val="宋体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31E1C93">
    <w:pPr>
      <w:pStyle w:val="3"/>
      <w:pBdr>
        <w:bottom w:val="none" w:color="auto" w:sz="0" w:space="0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9BB5E3D"/>
    <w:multiLevelType w:val="multilevel"/>
    <w:tmpl w:val="19BB5E3D"/>
    <w:lvl w:ilvl="0" w:tentative="0">
      <w:start w:val="7"/>
      <w:numFmt w:val="japaneseCounting"/>
      <w:lvlText w:val="（%1）"/>
      <w:lvlJc w:val="left"/>
      <w:pPr>
        <w:ind w:left="1720" w:hanging="108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1480" w:hanging="420"/>
      </w:pPr>
    </w:lvl>
    <w:lvl w:ilvl="2" w:tentative="0">
      <w:start w:val="1"/>
      <w:numFmt w:val="lowerRoman"/>
      <w:lvlText w:val="%3."/>
      <w:lvlJc w:val="right"/>
      <w:pPr>
        <w:ind w:left="1900" w:hanging="420"/>
      </w:pPr>
    </w:lvl>
    <w:lvl w:ilvl="3" w:tentative="0">
      <w:start w:val="1"/>
      <w:numFmt w:val="decimal"/>
      <w:lvlText w:val="%4."/>
      <w:lvlJc w:val="left"/>
      <w:pPr>
        <w:ind w:left="2320" w:hanging="420"/>
      </w:pPr>
    </w:lvl>
    <w:lvl w:ilvl="4" w:tentative="0">
      <w:start w:val="1"/>
      <w:numFmt w:val="lowerLetter"/>
      <w:lvlText w:val="%5)"/>
      <w:lvlJc w:val="left"/>
      <w:pPr>
        <w:ind w:left="2740" w:hanging="420"/>
      </w:pPr>
    </w:lvl>
    <w:lvl w:ilvl="5" w:tentative="0">
      <w:start w:val="1"/>
      <w:numFmt w:val="lowerRoman"/>
      <w:lvlText w:val="%6."/>
      <w:lvlJc w:val="right"/>
      <w:pPr>
        <w:ind w:left="3160" w:hanging="420"/>
      </w:pPr>
    </w:lvl>
    <w:lvl w:ilvl="6" w:tentative="0">
      <w:start w:val="1"/>
      <w:numFmt w:val="decimal"/>
      <w:lvlText w:val="%7."/>
      <w:lvlJc w:val="left"/>
      <w:pPr>
        <w:ind w:left="3580" w:hanging="420"/>
      </w:pPr>
    </w:lvl>
    <w:lvl w:ilvl="7" w:tentative="0">
      <w:start w:val="1"/>
      <w:numFmt w:val="lowerLetter"/>
      <w:lvlText w:val="%8)"/>
      <w:lvlJc w:val="left"/>
      <w:pPr>
        <w:ind w:left="4000" w:hanging="420"/>
      </w:pPr>
    </w:lvl>
    <w:lvl w:ilvl="8" w:tentative="0">
      <w:start w:val="1"/>
      <w:numFmt w:val="lowerRoman"/>
      <w:lvlText w:val="%9."/>
      <w:lvlJc w:val="right"/>
      <w:pPr>
        <w:ind w:left="4420" w:hanging="420"/>
      </w:pPr>
    </w:lvl>
  </w:abstractNum>
  <w:abstractNum w:abstractNumId="1">
    <w:nsid w:val="3302205D"/>
    <w:multiLevelType w:val="multilevel"/>
    <w:tmpl w:val="3302205D"/>
    <w:lvl w:ilvl="0" w:tentative="0">
      <w:start w:val="6"/>
      <w:numFmt w:val="japaneseCounting"/>
      <w:lvlText w:val="%1、"/>
      <w:lvlJc w:val="left"/>
      <w:pPr>
        <w:ind w:left="1350" w:hanging="72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1470" w:hanging="420"/>
      </w:pPr>
    </w:lvl>
    <w:lvl w:ilvl="2" w:tentative="0">
      <w:start w:val="1"/>
      <w:numFmt w:val="lowerRoman"/>
      <w:lvlText w:val="%3."/>
      <w:lvlJc w:val="right"/>
      <w:pPr>
        <w:ind w:left="1890" w:hanging="420"/>
      </w:pPr>
    </w:lvl>
    <w:lvl w:ilvl="3" w:tentative="0">
      <w:start w:val="1"/>
      <w:numFmt w:val="decimal"/>
      <w:lvlText w:val="%4."/>
      <w:lvlJc w:val="left"/>
      <w:pPr>
        <w:ind w:left="2310" w:hanging="420"/>
      </w:pPr>
    </w:lvl>
    <w:lvl w:ilvl="4" w:tentative="0">
      <w:start w:val="1"/>
      <w:numFmt w:val="lowerLetter"/>
      <w:lvlText w:val="%5)"/>
      <w:lvlJc w:val="left"/>
      <w:pPr>
        <w:ind w:left="2730" w:hanging="420"/>
      </w:pPr>
    </w:lvl>
    <w:lvl w:ilvl="5" w:tentative="0">
      <w:start w:val="1"/>
      <w:numFmt w:val="lowerRoman"/>
      <w:lvlText w:val="%6."/>
      <w:lvlJc w:val="right"/>
      <w:pPr>
        <w:ind w:left="3150" w:hanging="420"/>
      </w:pPr>
    </w:lvl>
    <w:lvl w:ilvl="6" w:tentative="0">
      <w:start w:val="1"/>
      <w:numFmt w:val="decimal"/>
      <w:lvlText w:val="%7."/>
      <w:lvlJc w:val="left"/>
      <w:pPr>
        <w:ind w:left="3570" w:hanging="420"/>
      </w:pPr>
    </w:lvl>
    <w:lvl w:ilvl="7" w:tentative="0">
      <w:start w:val="1"/>
      <w:numFmt w:val="lowerLetter"/>
      <w:lvlText w:val="%8)"/>
      <w:lvlJc w:val="left"/>
      <w:pPr>
        <w:ind w:left="3990" w:hanging="420"/>
      </w:pPr>
    </w:lvl>
    <w:lvl w:ilvl="8" w:tentative="0">
      <w:start w:val="1"/>
      <w:numFmt w:val="lowerRoman"/>
      <w:lvlText w:val="%9."/>
      <w:lvlJc w:val="right"/>
      <w:pPr>
        <w:ind w:left="4410" w:hanging="4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ZGIyYjVkM2Q3OGI3NjgyMmRhNzc4Mzg1ZjJiNjZhOGYifQ=="/>
  </w:docVars>
  <w:rsids>
    <w:rsidRoot w:val="00E810D6"/>
    <w:rsid w:val="0001696A"/>
    <w:rsid w:val="000A6347"/>
    <w:rsid w:val="000B7509"/>
    <w:rsid w:val="00190F3F"/>
    <w:rsid w:val="002E3A95"/>
    <w:rsid w:val="00305FD0"/>
    <w:rsid w:val="003A7B6E"/>
    <w:rsid w:val="003F07E4"/>
    <w:rsid w:val="00430A26"/>
    <w:rsid w:val="004331E4"/>
    <w:rsid w:val="0045180C"/>
    <w:rsid w:val="005011AB"/>
    <w:rsid w:val="00524019"/>
    <w:rsid w:val="00546D96"/>
    <w:rsid w:val="005D136A"/>
    <w:rsid w:val="0062621A"/>
    <w:rsid w:val="00685811"/>
    <w:rsid w:val="006D1C5B"/>
    <w:rsid w:val="006F0910"/>
    <w:rsid w:val="00700610"/>
    <w:rsid w:val="00716416"/>
    <w:rsid w:val="00774A79"/>
    <w:rsid w:val="00780B7F"/>
    <w:rsid w:val="00787EB8"/>
    <w:rsid w:val="007A507B"/>
    <w:rsid w:val="007D6BF0"/>
    <w:rsid w:val="008058DC"/>
    <w:rsid w:val="00810154"/>
    <w:rsid w:val="00880798"/>
    <w:rsid w:val="008B2103"/>
    <w:rsid w:val="008C7744"/>
    <w:rsid w:val="008F7A24"/>
    <w:rsid w:val="00906E3D"/>
    <w:rsid w:val="0092170B"/>
    <w:rsid w:val="0092610D"/>
    <w:rsid w:val="00950C47"/>
    <w:rsid w:val="009C23CE"/>
    <w:rsid w:val="009C5AF0"/>
    <w:rsid w:val="009E1F3B"/>
    <w:rsid w:val="00A07D70"/>
    <w:rsid w:val="00A62B23"/>
    <w:rsid w:val="00B45BF1"/>
    <w:rsid w:val="00BA02A0"/>
    <w:rsid w:val="00BD1A8C"/>
    <w:rsid w:val="00C11E33"/>
    <w:rsid w:val="00CA56C0"/>
    <w:rsid w:val="00CE13FD"/>
    <w:rsid w:val="00D07EDD"/>
    <w:rsid w:val="00D94518"/>
    <w:rsid w:val="00E55B5E"/>
    <w:rsid w:val="00E810D6"/>
    <w:rsid w:val="00EB34D4"/>
    <w:rsid w:val="00F46D44"/>
    <w:rsid w:val="013B67CD"/>
    <w:rsid w:val="01CA412B"/>
    <w:rsid w:val="037D399A"/>
    <w:rsid w:val="03B213E5"/>
    <w:rsid w:val="06096D52"/>
    <w:rsid w:val="06550E5D"/>
    <w:rsid w:val="0726741C"/>
    <w:rsid w:val="08D34D69"/>
    <w:rsid w:val="09E50DB9"/>
    <w:rsid w:val="0BB759F9"/>
    <w:rsid w:val="0CBF7A43"/>
    <w:rsid w:val="0DD4180B"/>
    <w:rsid w:val="130B706D"/>
    <w:rsid w:val="139106CF"/>
    <w:rsid w:val="13DE0FA8"/>
    <w:rsid w:val="163506CD"/>
    <w:rsid w:val="17252863"/>
    <w:rsid w:val="175940C0"/>
    <w:rsid w:val="17C16AC9"/>
    <w:rsid w:val="180D78B9"/>
    <w:rsid w:val="1AEF7278"/>
    <w:rsid w:val="1B2A5EA4"/>
    <w:rsid w:val="1CC97251"/>
    <w:rsid w:val="1CEB0A1C"/>
    <w:rsid w:val="1E8167C1"/>
    <w:rsid w:val="1EAA0AE1"/>
    <w:rsid w:val="21B66276"/>
    <w:rsid w:val="228819EE"/>
    <w:rsid w:val="2716314B"/>
    <w:rsid w:val="288A4B30"/>
    <w:rsid w:val="28E516DB"/>
    <w:rsid w:val="299267B6"/>
    <w:rsid w:val="2AD57C75"/>
    <w:rsid w:val="2BAA47A7"/>
    <w:rsid w:val="2DCE40BA"/>
    <w:rsid w:val="2E066AE5"/>
    <w:rsid w:val="2E2777CE"/>
    <w:rsid w:val="2EE04A84"/>
    <w:rsid w:val="31D059F4"/>
    <w:rsid w:val="32E019CD"/>
    <w:rsid w:val="332A0BBD"/>
    <w:rsid w:val="3387759D"/>
    <w:rsid w:val="344F533E"/>
    <w:rsid w:val="351C5D1D"/>
    <w:rsid w:val="36DF5EE5"/>
    <w:rsid w:val="38963AA1"/>
    <w:rsid w:val="39461E7C"/>
    <w:rsid w:val="39A75722"/>
    <w:rsid w:val="3B6E7B6E"/>
    <w:rsid w:val="3C712CD5"/>
    <w:rsid w:val="3CEC5D53"/>
    <w:rsid w:val="3F050D05"/>
    <w:rsid w:val="441C57E9"/>
    <w:rsid w:val="44240E6E"/>
    <w:rsid w:val="44986D47"/>
    <w:rsid w:val="44E06C3B"/>
    <w:rsid w:val="456A5D0D"/>
    <w:rsid w:val="457C0C14"/>
    <w:rsid w:val="45B90BF3"/>
    <w:rsid w:val="460143F1"/>
    <w:rsid w:val="475B18CD"/>
    <w:rsid w:val="49AA631E"/>
    <w:rsid w:val="4A4F1F05"/>
    <w:rsid w:val="4B7040C7"/>
    <w:rsid w:val="4CA957E7"/>
    <w:rsid w:val="4D9730D4"/>
    <w:rsid w:val="4E4335D2"/>
    <w:rsid w:val="545E7BA4"/>
    <w:rsid w:val="566F5000"/>
    <w:rsid w:val="56CB7307"/>
    <w:rsid w:val="59AF56D7"/>
    <w:rsid w:val="5B2B3FCD"/>
    <w:rsid w:val="5BAE356C"/>
    <w:rsid w:val="5CB07A05"/>
    <w:rsid w:val="5ED17601"/>
    <w:rsid w:val="612F2391"/>
    <w:rsid w:val="61897173"/>
    <w:rsid w:val="63F21B1B"/>
    <w:rsid w:val="65493192"/>
    <w:rsid w:val="666C26EF"/>
    <w:rsid w:val="6B511389"/>
    <w:rsid w:val="6D5763C1"/>
    <w:rsid w:val="6D81148F"/>
    <w:rsid w:val="6E8006EE"/>
    <w:rsid w:val="6ECC4D84"/>
    <w:rsid w:val="70BA2DA1"/>
    <w:rsid w:val="71B87B2B"/>
    <w:rsid w:val="729B4F6A"/>
    <w:rsid w:val="733E01F4"/>
    <w:rsid w:val="7424079F"/>
    <w:rsid w:val="74D4598A"/>
    <w:rsid w:val="76FD3FC3"/>
    <w:rsid w:val="7AA5545A"/>
    <w:rsid w:val="7BAA5900"/>
    <w:rsid w:val="7D9A3104"/>
    <w:rsid w:val="7DB94919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39" w:semiHidden="0" w:name="toc 1"/>
    <w:lsdException w:qFormat="1" w:uiPriority="39" w:semiHidden="0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unhideWhenUsed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8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toc 1"/>
    <w:basedOn w:val="1"/>
    <w:next w:val="1"/>
    <w:unhideWhenUsed/>
    <w:qFormat/>
    <w:uiPriority w:val="39"/>
  </w:style>
  <w:style w:type="paragraph" w:styleId="5">
    <w:name w:val="toc 2"/>
    <w:basedOn w:val="1"/>
    <w:next w:val="1"/>
    <w:unhideWhenUsed/>
    <w:qFormat/>
    <w:uiPriority w:val="39"/>
    <w:pPr>
      <w:ind w:left="420" w:leftChars="200"/>
    </w:pPr>
  </w:style>
  <w:style w:type="character" w:customStyle="1" w:styleId="8">
    <w:name w:val="页眉 Char"/>
    <w:basedOn w:val="7"/>
    <w:link w:val="3"/>
    <w:semiHidden/>
    <w:qFormat/>
    <w:uiPriority w:val="99"/>
    <w:rPr>
      <w:sz w:val="18"/>
      <w:szCs w:val="18"/>
    </w:rPr>
  </w:style>
  <w:style w:type="character" w:customStyle="1" w:styleId="9">
    <w:name w:val="页脚 Char"/>
    <w:basedOn w:val="7"/>
    <w:link w:val="2"/>
    <w:semiHidden/>
    <w:qFormat/>
    <w:uiPriority w:val="99"/>
    <w:rPr>
      <w:sz w:val="18"/>
      <w:szCs w:val="18"/>
    </w:rPr>
  </w:style>
  <w:style w:type="paragraph" w:customStyle="1" w:styleId="10">
    <w:name w:val="列出段落1"/>
    <w:basedOn w:val="1"/>
    <w:unhideWhenUsed/>
    <w:qFormat/>
    <w:uiPriority w:val="99"/>
    <w:pPr>
      <w:ind w:firstLine="420" w:firstLineChars="200"/>
    </w:pPr>
  </w:style>
  <w:style w:type="paragraph" w:customStyle="1" w:styleId="11">
    <w:name w:val="列出段落2"/>
    <w:basedOn w:val="1"/>
    <w:unhideWhenUsed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微软公司</Company>
  <Pages>7</Pages>
  <Words>1901</Words>
  <Characters>2004</Characters>
  <Lines>21</Lines>
  <Paragraphs>6</Paragraphs>
  <TotalTime>11</TotalTime>
  <ScaleCrop>false</ScaleCrop>
  <LinksUpToDate>false</LinksUpToDate>
  <CharactersWithSpaces>2022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2016-04-01T02:15:00Z</dcterms:created>
  <dc:creator>lenovo</dc:creator>
  <cp:lastModifiedBy>WPS_1657181579</cp:lastModifiedBy>
  <cp:lastPrinted>2016-04-01T02:44:00Z</cp:lastPrinted>
  <dcterms:modified xsi:type="dcterms:W3CDTF">2025-10-28T08:51:37Z</dcterms:modified>
  <cp:revision>35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ICV">
    <vt:lpwstr>A43F3673BF2B48059E5095717940CA36</vt:lpwstr>
  </property>
  <property fmtid="{D5CDD505-2E9C-101B-9397-08002B2CF9AE}" pid="4" name="KSOTemplateDocerSaveRecord">
    <vt:lpwstr>eyJoZGlkIjoiYjc5ZTRiNjRjNGMzNTlmNzA3YzQ4ZmQ1OGJmYjU4NmIiLCJ1c2VySWQiOiIxMzg1NjM4MzgxIn0=</vt:lpwstr>
  </property>
</Properties>
</file>