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</w:p>
    <w:p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  <w:t>成安县总工会</w:t>
      </w:r>
    </w:p>
    <w:p>
      <w:pPr>
        <w:widowControl/>
        <w:spacing w:line="360" w:lineRule="auto"/>
        <w:ind w:left="640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44"/>
          <w:szCs w:val="44"/>
          <w:lang w:val="en-US" w:eastAsia="zh-CN"/>
        </w:rPr>
        <w:t>2018</w:t>
      </w: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lang w:val="en-US" w:eastAsia="zh-CN"/>
        </w:rPr>
        <w:t>年度部门预算情况说明</w:t>
      </w:r>
    </w:p>
    <w:p>
      <w:pPr>
        <w:widowControl/>
        <w:spacing w:line="360" w:lineRule="auto"/>
        <w:ind w:left="640"/>
        <w:jc w:val="left"/>
        <w:rPr>
          <w:rFonts w:hint="eastAsia" w:ascii="黑体" w:hAnsi="黑体" w:eastAsia="黑体" w:cs="黑体"/>
          <w:sz w:val="32"/>
          <w:szCs w:val="32"/>
        </w:rPr>
      </w:pPr>
    </w:p>
    <w:p>
      <w:pPr>
        <w:widowControl/>
        <w:spacing w:line="360" w:lineRule="auto"/>
        <w:ind w:left="640"/>
        <w:jc w:val="left"/>
        <w:rPr>
          <w:rFonts w:hint="eastAsia" w:ascii="仿宋_GB2312" w:hAnsi="Calibri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一、部门职责及机构设置情况</w:t>
      </w:r>
    </w:p>
    <w:p>
      <w:pPr>
        <w:widowControl/>
        <w:spacing w:line="360" w:lineRule="auto"/>
        <w:jc w:val="left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　　维护职工合法权益是工会的基本职责，终极动员和组织职工参加建设和改革，完成经济和社会发展任务；教育职工不断提高思想道德素质和科学文化素质，建设有思想、有道德、有文化、有纪律的职工队伍。</w:t>
      </w:r>
    </w:p>
    <w:tbl>
      <w:tblPr>
        <w:tblStyle w:val="6"/>
        <w:tblW w:w="862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17"/>
        <w:gridCol w:w="1134"/>
        <w:gridCol w:w="1276"/>
        <w:gridCol w:w="2902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单位名称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单位性质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单位规格</w:t>
            </w:r>
          </w:p>
        </w:tc>
        <w:tc>
          <w:tcPr>
            <w:tcW w:w="2902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Times New Roman" w:hAnsi="Times New Roman" w:eastAsia="方正书宋_GBK" w:cs="Times New Roman"/>
                <w:b/>
                <w:bCs/>
              </w:rPr>
            </w:pPr>
            <w:r>
              <w:rPr>
                <w:rFonts w:hint="eastAsia" w:ascii="Times New Roman" w:hAnsi="Times New Roman" w:eastAsia="方正书宋_GBK" w:cs="方正书宋_GBK"/>
                <w:b/>
                <w:bCs/>
              </w:rPr>
              <w:t>经费保障形式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3317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  <w:tc>
          <w:tcPr>
            <w:tcW w:w="2902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成安县总工会</w:t>
            </w: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行政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科级</w:t>
            </w:r>
          </w:p>
        </w:tc>
        <w:tc>
          <w:tcPr>
            <w:tcW w:w="290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财政性资金零补助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317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  <w:tc>
          <w:tcPr>
            <w:tcW w:w="2902" w:type="dxa"/>
            <w:vAlign w:val="center"/>
          </w:tcPr>
          <w:p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30"/>
                <w:szCs w:val="30"/>
              </w:rPr>
            </w:pPr>
          </w:p>
        </w:tc>
      </w:tr>
    </w:tbl>
    <w:p>
      <w:pPr>
        <w:widowControl/>
        <w:spacing w:line="360" w:lineRule="auto"/>
        <w:ind w:left="628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成安县总工会，预算编码是711，内设2个内部机构。</w:t>
      </w:r>
    </w:p>
    <w:p>
      <w:pPr>
        <w:widowControl/>
        <w:numPr>
          <w:ilvl w:val="0"/>
          <w:numId w:val="1"/>
        </w:numPr>
        <w:spacing w:line="360" w:lineRule="auto"/>
        <w:ind w:left="628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办公室</w:t>
      </w:r>
    </w:p>
    <w:p>
      <w:pPr>
        <w:widowControl/>
        <w:spacing w:line="360" w:lineRule="auto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 xml:space="preserve">     主要负责：日常工作事务，后勤保障</w:t>
      </w:r>
    </w:p>
    <w:p>
      <w:pPr>
        <w:widowControl/>
        <w:spacing w:line="360" w:lineRule="auto"/>
        <w:ind w:firstLine="640"/>
        <w:jc w:val="left"/>
        <w:rPr>
          <w:rFonts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2、宣教部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主要负责：工会有关法律法规宣传。</w:t>
      </w:r>
    </w:p>
    <w:p>
      <w:pPr>
        <w:widowControl/>
        <w:spacing w:line="360" w:lineRule="auto"/>
        <w:ind w:left="993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人员编制和领导职数</w:t>
      </w:r>
    </w:p>
    <w:p>
      <w:pPr>
        <w:widowControl/>
        <w:spacing w:line="360" w:lineRule="auto"/>
        <w:ind w:firstLine="640"/>
        <w:jc w:val="left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成安县总工会，人员编制8名，其中领导职数3个</w:t>
      </w:r>
    </w:p>
    <w:p>
      <w:pPr>
        <w:pStyle w:val="10"/>
        <w:widowControl/>
        <w:numPr>
          <w:ilvl w:val="0"/>
          <w:numId w:val="0"/>
        </w:numPr>
        <w:spacing w:line="360" w:lineRule="auto"/>
        <w:ind w:left="720" w:leftChars="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  <w:lang w:eastAsia="zh-CN"/>
        </w:rPr>
        <w:t>二、</w:t>
      </w: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预算安排总体情况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、</w:t>
      </w:r>
    </w:p>
    <w:p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按照预算管理有关规定，目前我部门预算的编制实行综合预算制度，即全部收入和支出都反映在预算中。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1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、收入说明</w:t>
      </w:r>
    </w:p>
    <w:p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宋体" w:hAnsi="宋体" w:eastAsia="宋体" w:cs="Times New Roman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仿宋"/>
          <w:sz w:val="32"/>
          <w:szCs w:val="32"/>
        </w:rPr>
        <w:t>年预算收入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110.15</w:t>
      </w:r>
      <w:r>
        <w:rPr>
          <w:rFonts w:hint="eastAsia" w:ascii="仿宋" w:hAnsi="仿宋" w:eastAsia="仿宋" w:cs="仿宋"/>
          <w:sz w:val="32"/>
          <w:szCs w:val="32"/>
        </w:rPr>
        <w:t>万元，其中：一般公共预算收入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110.15</w:t>
      </w:r>
      <w:r>
        <w:rPr>
          <w:rFonts w:hint="eastAsia" w:ascii="仿宋" w:hAnsi="仿宋" w:eastAsia="仿宋" w:cs="仿宋"/>
          <w:sz w:val="32"/>
          <w:szCs w:val="32"/>
        </w:rPr>
        <w:t>万元，政府性基金收入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万元，国有资本经营收入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万元，事业收入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万元，其他收入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2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、支出说明</w:t>
      </w:r>
    </w:p>
    <w:p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仿宋"/>
          <w:sz w:val="32"/>
          <w:szCs w:val="32"/>
        </w:rPr>
        <w:t>年支出预算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110.15</w:t>
      </w:r>
      <w:r>
        <w:rPr>
          <w:rFonts w:hint="eastAsia" w:ascii="仿宋" w:hAnsi="仿宋" w:eastAsia="仿宋" w:cs="仿宋"/>
          <w:sz w:val="32"/>
          <w:szCs w:val="32"/>
        </w:rPr>
        <w:t>万元，其中基本支出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110.15</w:t>
      </w:r>
      <w:r>
        <w:rPr>
          <w:rFonts w:hint="eastAsia" w:ascii="仿宋" w:hAnsi="仿宋" w:eastAsia="仿宋" w:cs="仿宋"/>
          <w:sz w:val="32"/>
          <w:szCs w:val="32"/>
        </w:rPr>
        <w:t>万元，包括人员经费和日常公用经费；项目支出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spacing w:line="560" w:lineRule="exact"/>
        <w:ind w:firstLine="640"/>
        <w:rPr>
          <w:rFonts w:ascii="楷体" w:hAnsi="楷体" w:eastAsia="楷体" w:cs="Times New Roman"/>
          <w:b/>
          <w:bCs/>
          <w:sz w:val="32"/>
          <w:szCs w:val="32"/>
        </w:rPr>
      </w:pPr>
      <w:r>
        <w:rPr>
          <w:rFonts w:ascii="楷体" w:hAnsi="楷体" w:eastAsia="楷体" w:cs="楷体"/>
          <w:b/>
          <w:bCs/>
          <w:sz w:val="32"/>
          <w:szCs w:val="32"/>
        </w:rPr>
        <w:t>3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、比上年增减变化情况</w:t>
      </w:r>
    </w:p>
    <w:p>
      <w:pPr>
        <w:spacing w:line="560" w:lineRule="exact"/>
        <w:ind w:firstLine="64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2018</w:t>
      </w:r>
      <w:r>
        <w:rPr>
          <w:rFonts w:hint="eastAsia" w:ascii="仿宋" w:hAnsi="仿宋" w:eastAsia="仿宋" w:cs="仿宋"/>
          <w:sz w:val="32"/>
          <w:szCs w:val="32"/>
        </w:rPr>
        <w:t>年预算收支安排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110.15</w:t>
      </w:r>
      <w:r>
        <w:rPr>
          <w:rFonts w:hint="eastAsia" w:ascii="仿宋" w:hAnsi="仿宋" w:eastAsia="仿宋" w:cs="仿宋"/>
          <w:sz w:val="32"/>
          <w:szCs w:val="32"/>
        </w:rPr>
        <w:t>万元，较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2017</w:t>
      </w:r>
      <w:r>
        <w:rPr>
          <w:rFonts w:hint="eastAsia" w:ascii="仿宋" w:hAnsi="仿宋" w:eastAsia="仿宋" w:cs="仿宋"/>
          <w:sz w:val="32"/>
          <w:szCs w:val="32"/>
        </w:rPr>
        <w:t>年预算增加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万元，其中：基本支出增加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万元，经费支出；项目支出增加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0</w:t>
      </w:r>
      <w:r>
        <w:rPr>
          <w:rFonts w:hint="eastAsia" w:ascii="仿宋" w:hAnsi="仿宋" w:eastAsia="仿宋" w:cs="仿宋"/>
          <w:sz w:val="32"/>
          <w:szCs w:val="32"/>
        </w:rPr>
        <w:t>万元。</w:t>
      </w:r>
    </w:p>
    <w:p>
      <w:pPr>
        <w:widowControl/>
        <w:spacing w:line="360" w:lineRule="auto"/>
        <w:ind w:firstLine="627" w:firstLineChars="196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2017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成安县总工会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132.9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32.9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 w:bidi="ar"/>
        </w:rPr>
        <w:t>与去年相比降低了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22.75万元，积极贯彻落实新《中华人民共和国</w:t>
      </w:r>
      <w:bookmarkStart w:id="0" w:name="_GoBack"/>
      <w:bookmarkEnd w:id="0"/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 w:bidi="ar"/>
        </w:rPr>
        <w:t>预算法》，按照讲求绩效的原则，对于当年未使用的预算，在调整预算中予以调减。</w:t>
      </w:r>
    </w:p>
    <w:p>
      <w:pPr>
        <w:pStyle w:val="10"/>
        <w:widowControl/>
        <w:numPr>
          <w:ilvl w:val="0"/>
          <w:numId w:val="0"/>
        </w:numPr>
        <w:spacing w:line="360" w:lineRule="auto"/>
        <w:ind w:left="720" w:leftChars="0"/>
        <w:jc w:val="left"/>
        <w:rPr>
          <w:rFonts w:ascii="仿宋_GB2312" w:hAnsi="Calibri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  <w:lang w:eastAsia="zh-CN"/>
        </w:rPr>
        <w:t>三、</w:t>
      </w: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</w:rPr>
        <w:t>机关运行经费情况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日常公用经费安排43.5万元，包括：办公费、差旅费、交通费、会议费、招待费、其他支出等。</w:t>
      </w: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57.32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13</w:t>
      </w:r>
      <w:r>
        <w:rPr>
          <w:rFonts w:ascii="Calibri" w:hAnsi="Calibri" w:eastAsia="仿宋_GB2312" w:cs="Calibri"/>
          <w:kern w:val="0"/>
          <w:sz w:val="32"/>
          <w:szCs w:val="32"/>
        </w:rPr>
        <w:t>%。增长原因是</w:t>
      </w:r>
      <w:r>
        <w:rPr>
          <w:rFonts w:hint="eastAsia" w:ascii="Calibri" w:hAnsi="Calibri" w:eastAsia="仿宋_GB2312" w:cs="Calibri"/>
          <w:kern w:val="0"/>
          <w:sz w:val="32"/>
          <w:szCs w:val="32"/>
          <w:lang w:eastAsia="zh-CN"/>
        </w:rPr>
        <w:t>2017</w:t>
      </w:r>
      <w:r>
        <w:rPr>
          <w:rFonts w:ascii="Calibri" w:hAnsi="Calibri" w:eastAsia="仿宋_GB2312" w:cs="Calibri"/>
          <w:kern w:val="0"/>
          <w:sz w:val="32"/>
          <w:szCs w:val="32"/>
        </w:rPr>
        <w:t>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32.78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  <w:lang w:val="en-US" w:eastAsia="zh-CN"/>
        </w:rPr>
        <w:t>24.54</w:t>
      </w:r>
      <w:r>
        <w:rPr>
          <w:rFonts w:ascii="Calibri" w:hAnsi="Calibri" w:eastAsia="仿宋_GB2312" w:cs="Calibri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43" w:firstLineChars="200"/>
        <w:jc w:val="left"/>
        <w:rPr>
          <w:rFonts w:ascii="仿宋_GB2312" w:hAnsi="Calibri" w:eastAsia="仿宋_GB2312" w:cs="仿宋_GB2312"/>
          <w:b/>
          <w:bCs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bCs/>
          <w:kern w:val="0"/>
          <w:sz w:val="32"/>
          <w:szCs w:val="32"/>
        </w:rPr>
        <w:t>四、“三公”经费预算情况</w:t>
      </w:r>
    </w:p>
    <w:p>
      <w:pPr>
        <w:widowControl/>
        <w:spacing w:line="360" w:lineRule="auto"/>
        <w:ind w:firstLine="972" w:firstLineChars="304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年度“三公”预算支出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2.5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万元，用于公务用车维护费，无公务接等费，无因公出国（境）经费。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年“三公”经费预算减少了20%。由于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年公车拍卖，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年实行车补，油修费用预算安排减少。</w:t>
      </w:r>
    </w:p>
    <w:p>
      <w:pPr>
        <w:spacing w:line="560" w:lineRule="exact"/>
        <w:ind w:firstLine="640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五、绩效预算信息</w:t>
      </w:r>
    </w:p>
    <w:p>
      <w:pPr>
        <w:rPr>
          <w:rFonts w:ascii="Calibri" w:hAnsi="Calibri" w:eastAsia="仿宋_GB2312" w:cs="Calibri"/>
          <w:sz w:val="32"/>
          <w:szCs w:val="32"/>
        </w:rPr>
      </w:pPr>
    </w:p>
    <w:p>
      <w:pPr>
        <w:rPr>
          <w:rFonts w:ascii="Calibri" w:hAnsi="Calibri" w:eastAsia="仿宋_GB2312" w:cs="Calibri"/>
          <w:sz w:val="32"/>
          <w:szCs w:val="32"/>
        </w:rPr>
      </w:pPr>
    </w:p>
    <w:p>
      <w:pPr>
        <w:rPr>
          <w:rFonts w:ascii="Calibri" w:hAnsi="Calibri" w:eastAsia="仿宋_GB2312" w:cs="Calibri"/>
          <w:sz w:val="32"/>
          <w:szCs w:val="32"/>
        </w:rPr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986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ascii="方正小标宋_GBK" w:eastAsia="方正小标宋_GBK"/>
                <w:sz w:val="24"/>
              </w:rPr>
              <w:t>711</w:t>
            </w:r>
            <w:r>
              <w:rPr>
                <w:rFonts w:hint="eastAsia" w:ascii="方正小标宋_GBK" w:eastAsia="方正小标宋_GBK"/>
                <w:sz w:val="24"/>
              </w:rPr>
              <w:t>成安县总工会</w:t>
            </w:r>
          </w:p>
        </w:tc>
        <w:tc>
          <w:tcPr>
            <w:tcW w:w="2948" w:type="dxa"/>
            <w:gridSpan w:val="4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维护职工合法权益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指导全县各级组织职工开展民主选举、民主决策、民主管理和民主监督工作；推动基层工会建立集体合同制度、工资集体协商和监督保证机制；参与职工安全生产保护工作；为工会组织、干部、职工提供维权渠道。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确保职工合法权益得到有效保障，改善困难劳模生活困境，提升广大职工技术技能素质。</w:t>
            </w:r>
          </w:p>
        </w:tc>
        <w:tc>
          <w:tcPr>
            <w:tcW w:w="1417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提升职工技能及创新水平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围绕县委、县政府提出的重点工程、重点项目和重点领域，组织全县职工开展劳动竞赛，大力推进实施职工经济技术创新工程。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有效促进全县重点工程、重点项目和重点领域的建设，为全县经济社会持续健康发展建功立业。</w:t>
            </w:r>
          </w:p>
        </w:tc>
        <w:tc>
          <w:tcPr>
            <w:tcW w:w="1417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工会事务管理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67.58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研究指导全县工会自身建设；承担县委、县政府及全国总工会交办的其他事项。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加强组织和干部队伍建设，提高干部业务素质和大型企事业单位工会领导干部水平，促进工会事业发展。</w:t>
            </w:r>
          </w:p>
        </w:tc>
        <w:tc>
          <w:tcPr>
            <w:tcW w:w="1417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综合事务管理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67.58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研究指导全县工会自身改革和建设；负责工会干部管理制度和培训规划制定以及培训工作；承担县委、县政府及全国总工会交办的其他事项。</w:t>
            </w:r>
          </w:p>
        </w:tc>
        <w:tc>
          <w:tcPr>
            <w:tcW w:w="2976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切实提高工会综合事务管理水平，保障单位的正常运转</w:t>
            </w:r>
          </w:p>
        </w:tc>
        <w:tc>
          <w:tcPr>
            <w:tcW w:w="1417" w:type="dxa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综合事务保障率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90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80</w:t>
            </w:r>
          </w:p>
        </w:tc>
        <w:tc>
          <w:tcPr>
            <w:tcW w:w="737" w:type="dxa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</w:t>
            </w:r>
          </w:p>
        </w:tc>
      </w:tr>
    </w:tbl>
    <w:p>
      <w:pPr>
        <w:widowControl/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  <w:sectPr>
          <w:pgSz w:w="16839" w:h="11907" w:orient="landscape"/>
          <w:pgMar w:top="1134" w:right="1020" w:bottom="1134" w:left="1020" w:header="851" w:footer="992" w:gutter="0"/>
          <w:cols w:space="0" w:num="1"/>
          <w:docGrid w:type="lines" w:linePitch="321" w:charSpace="0"/>
        </w:sectPr>
      </w:pPr>
    </w:p>
    <w:p>
      <w:pPr>
        <w:pStyle w:val="10"/>
        <w:widowControl/>
        <w:numPr>
          <w:ilvl w:val="0"/>
          <w:numId w:val="2"/>
        </w:numPr>
        <w:spacing w:line="360" w:lineRule="auto"/>
        <w:ind w:firstLineChars="0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政府采购预算情况</w:t>
      </w: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实际，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年我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单位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政府采购事项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0万元，拟购置政府采购17.2万元，其中：电脑10台，单价0.4万元，计4万元；打印机8台，单价0.3万元，计2.4万元；打印复印一体机5台，单价0.5万元，计2.5万元；照相机2台，单价0.4万元，计0.8万元；空调5台，单价0.3万元，计1.5万元；文印设备2台，单价0.3万元，计0.6万元；移动硬盘6个，单价0.6万元，计3.6万元；图书档案设备4台，单价0.1万元，计0.4万元；办公用具7套，单价0.2万元，计1.4万元。</w:t>
      </w: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left="638" w:leftChars="304" w:firstLine="640"/>
        <w:jc w:val="left"/>
        <w:rPr>
          <w:rFonts w:hint="eastAsia" w:ascii="仿宋_GB2312" w:hAnsi="微软雅黑" w:eastAsia="仿宋_GB2312" w:cs="仿宋_GB2312"/>
          <w:kern w:val="0"/>
          <w:sz w:val="32"/>
          <w:szCs w:val="32"/>
        </w:rPr>
      </w:pPr>
    </w:p>
    <w:p>
      <w:pPr>
        <w:spacing w:line="560" w:lineRule="exact"/>
        <w:jc w:val="center"/>
        <w:outlineLvl w:val="0"/>
        <w:rPr>
          <w:rFonts w:ascii="宋体" w:hAnsi="宋体" w:eastAsia="宋体" w:cs="Times New Roman"/>
          <w:sz w:val="32"/>
          <w:szCs w:val="32"/>
        </w:rPr>
      </w:pPr>
      <w:r>
        <w:rPr>
          <w:rFonts w:hint="eastAsia" w:ascii="宋体" w:hAnsi="宋体" w:eastAsia="宋体" w:cs="方正小标宋_GBK"/>
          <w:sz w:val="32"/>
          <w:szCs w:val="32"/>
        </w:rPr>
        <w:t>部门政府采购预算</w:t>
      </w:r>
    </w:p>
    <w:tbl>
      <w:tblPr>
        <w:tblStyle w:val="6"/>
        <w:tblW w:w="962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4"/>
        <w:gridCol w:w="667"/>
        <w:gridCol w:w="1110"/>
        <w:gridCol w:w="873"/>
        <w:gridCol w:w="549"/>
        <w:gridCol w:w="549"/>
        <w:gridCol w:w="3"/>
        <w:gridCol w:w="561"/>
        <w:gridCol w:w="562"/>
        <w:gridCol w:w="562"/>
        <w:gridCol w:w="562"/>
        <w:gridCol w:w="511"/>
        <w:gridCol w:w="551"/>
        <w:gridCol w:w="506"/>
        <w:gridCol w:w="45"/>
        <w:gridCol w:w="51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561" w:type="dxa"/>
          <w:tblHeader/>
          <w:jc w:val="center"/>
        </w:trPr>
        <w:tc>
          <w:tcPr>
            <w:tcW w:w="524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小标宋_GBK"/>
                <w:sz w:val="24"/>
                <w:szCs w:val="24"/>
              </w:rPr>
              <w:t>部门（单位）名称</w:t>
            </w:r>
            <w:r>
              <w:rPr>
                <w:rFonts w:hint="eastAsia" w:ascii="宋体" w:hAnsi="宋体" w:eastAsia="宋体" w:cs="方正小标宋_GBK"/>
                <w:sz w:val="24"/>
                <w:szCs w:val="24"/>
                <w:lang w:eastAsia="zh-CN"/>
              </w:rPr>
              <w:t>：成安县总工会</w:t>
            </w:r>
          </w:p>
        </w:tc>
        <w:tc>
          <w:tcPr>
            <w:tcW w:w="3815" w:type="dxa"/>
            <w:gridSpan w:val="7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方正书宋_GBK"/>
                <w:sz w:val="24"/>
                <w:szCs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161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政府采购项目来源</w:t>
            </w:r>
          </w:p>
        </w:tc>
        <w:tc>
          <w:tcPr>
            <w:tcW w:w="1110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采购物品名称</w:t>
            </w:r>
          </w:p>
        </w:tc>
        <w:tc>
          <w:tcPr>
            <w:tcW w:w="873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政府采购目录序号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  <w:r>
              <w:rPr>
                <w:rFonts w:ascii="宋体" w:hAnsi="宋体" w:eastAsia="宋体" w:cs="方正书宋_GBK"/>
                <w:b/>
                <w:bCs/>
              </w:rPr>
              <w:t xml:space="preserve">  </w:t>
            </w:r>
            <w:r>
              <w:rPr>
                <w:rFonts w:hint="eastAsia" w:ascii="宋体" w:hAnsi="宋体" w:eastAsia="宋体" w:cs="方正书宋_GBK"/>
                <w:b/>
                <w:bCs/>
              </w:rPr>
              <w:t>单位</w:t>
            </w:r>
          </w:p>
        </w:tc>
        <w:tc>
          <w:tcPr>
            <w:tcW w:w="549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数量</w:t>
            </w:r>
          </w:p>
        </w:tc>
        <w:tc>
          <w:tcPr>
            <w:tcW w:w="564" w:type="dxa"/>
            <w:gridSpan w:val="2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单价</w:t>
            </w:r>
          </w:p>
        </w:tc>
        <w:tc>
          <w:tcPr>
            <w:tcW w:w="3815" w:type="dxa"/>
            <w:gridSpan w:val="8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政府采购金额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项目名称</w:t>
            </w:r>
          </w:p>
        </w:tc>
        <w:tc>
          <w:tcPr>
            <w:tcW w:w="667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预算资金</w:t>
            </w:r>
          </w:p>
        </w:tc>
        <w:tc>
          <w:tcPr>
            <w:tcW w:w="1110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gridSpan w:val="2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总计</w:t>
            </w:r>
          </w:p>
        </w:tc>
        <w:tc>
          <w:tcPr>
            <w:tcW w:w="2737" w:type="dxa"/>
            <w:gridSpan w:val="6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当年部门预算安排资金</w:t>
            </w:r>
          </w:p>
        </w:tc>
        <w:tc>
          <w:tcPr>
            <w:tcW w:w="516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其他渠道资金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94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873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4" w:type="dxa"/>
            <w:gridSpan w:val="2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合计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一般公共预算拨款</w:t>
            </w: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基金预算拨款</w:t>
            </w: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财政专户核拨</w:t>
            </w: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其他来源收入</w:t>
            </w:r>
          </w:p>
        </w:tc>
        <w:tc>
          <w:tcPr>
            <w:tcW w:w="516" w:type="dxa"/>
            <w:vMerge w:val="continue"/>
            <w:vAlign w:val="center"/>
          </w:tcPr>
          <w:p>
            <w:pPr>
              <w:spacing w:line="560" w:lineRule="exact"/>
              <w:jc w:val="left"/>
              <w:outlineLvl w:val="0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方正书宋_GBK"/>
                <w:b/>
                <w:bCs/>
              </w:rPr>
              <w:t>合　计</w:t>
            </w: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17.2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center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b/>
                <w:bCs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电脑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10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  <w:b/>
                <w:bCs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eastAsia="zh-CN"/>
              </w:rPr>
              <w:t>打印机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8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0.3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2.4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2.4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打印复印一体机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lang w:val="en-US"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2.5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2.5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照相机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２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0.8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0.8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空调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5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1.5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文印设备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２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0.3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0.6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图书档案设备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台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4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0.1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94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667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1110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办公用具</w:t>
            </w:r>
          </w:p>
        </w:tc>
        <w:tc>
          <w:tcPr>
            <w:tcW w:w="873" w:type="dxa"/>
            <w:vAlign w:val="center"/>
          </w:tcPr>
          <w:p>
            <w:pPr>
              <w:spacing w:line="560" w:lineRule="exact"/>
              <w:jc w:val="left"/>
              <w:rPr>
                <w:rFonts w:ascii="宋体" w:hAnsi="宋体" w:eastAsia="宋体" w:cs="Times New Roman"/>
              </w:rPr>
            </w:pP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eastAsia="宋体" w:cs="Times New Roman"/>
                <w:lang w:eastAsia="zh-CN"/>
              </w:rPr>
            </w:pPr>
            <w:r>
              <w:rPr>
                <w:rFonts w:hint="eastAsia" w:ascii="宋体" w:hAnsi="宋体" w:eastAsia="宋体" w:cs="Times New Roman"/>
                <w:lang w:eastAsia="zh-CN"/>
              </w:rPr>
              <w:t>套</w:t>
            </w:r>
          </w:p>
        </w:tc>
        <w:tc>
          <w:tcPr>
            <w:tcW w:w="549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7</w:t>
            </w:r>
          </w:p>
        </w:tc>
        <w:tc>
          <w:tcPr>
            <w:tcW w:w="564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0.2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hint="eastAsia" w:ascii="宋体" w:hAnsi="宋体" w:eastAsia="宋体" w:cs="Times New Roman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lang w:val="en-US" w:eastAsia="zh-CN"/>
              </w:rPr>
              <w:t>1.4</w:t>
            </w:r>
          </w:p>
        </w:tc>
        <w:tc>
          <w:tcPr>
            <w:tcW w:w="562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51" w:type="dxa"/>
            <w:gridSpan w:val="2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  <w:tc>
          <w:tcPr>
            <w:tcW w:w="516" w:type="dxa"/>
            <w:vAlign w:val="center"/>
          </w:tcPr>
          <w:p>
            <w:pPr>
              <w:spacing w:line="560" w:lineRule="exact"/>
              <w:jc w:val="right"/>
              <w:rPr>
                <w:rFonts w:ascii="宋体" w:hAnsi="宋体" w:eastAsia="宋体" w:cs="Times New Roman"/>
              </w:rPr>
            </w:pPr>
          </w:p>
        </w:tc>
      </w:tr>
    </w:tbl>
    <w:p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ind w:firstLine="977" w:firstLineChars="304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>七、国有资产情况的说明</w:t>
      </w:r>
    </w:p>
    <w:p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账面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155.76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2018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年我单位拟购置17.2万元。</w:t>
      </w:r>
    </w:p>
    <w:p>
      <w:pPr>
        <w:widowControl/>
        <w:spacing w:line="360" w:lineRule="auto"/>
        <w:ind w:firstLine="972" w:firstLineChars="304"/>
        <w:jc w:val="left"/>
        <w:rPr>
          <w:rFonts w:hint="eastAsia" w:ascii="仿宋_GB2312" w:hAnsi="Calibri" w:eastAsia="仿宋_GB2312" w:cs="仿宋_GB2312"/>
          <w:kern w:val="0"/>
          <w:sz w:val="32"/>
          <w:szCs w:val="32"/>
        </w:rPr>
      </w:pPr>
    </w:p>
    <w:tbl>
      <w:tblPr>
        <w:tblStyle w:val="6"/>
        <w:tblW w:w="9060" w:type="dxa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9"/>
        <w:gridCol w:w="855"/>
        <w:gridCol w:w="40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90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2"/>
                <w:szCs w:val="32"/>
              </w:rPr>
              <w:t>部门固定资产占用情况表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9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编制部门：。。。。</w:t>
            </w:r>
          </w:p>
        </w:tc>
        <w:tc>
          <w:tcPr>
            <w:tcW w:w="4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ind w:firstLine="550" w:firstLineChars="250"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截止时间：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  <w:t>2018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年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12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月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31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日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项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 xml:space="preserve">   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目</w:t>
            </w:r>
          </w:p>
        </w:tc>
        <w:tc>
          <w:tcPr>
            <w:tcW w:w="8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数量</w:t>
            </w:r>
          </w:p>
        </w:tc>
        <w:tc>
          <w:tcPr>
            <w:tcW w:w="40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b/>
                <w:bCs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价值（金额单位：万元）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资产总额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——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lang w:val="en-US" w:eastAsia="zh-CN"/>
              </w:rPr>
              <w:t>155.76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、房屋（平方米）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  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其中：办公用房（平方米）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960</w:t>
            </w: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98.8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、车辆（台、辆）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3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、单价在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50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万元以上的设备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41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kern w:val="0"/>
                <w:sz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、其他固定资产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Times New Roman"/>
                <w:kern w:val="0"/>
                <w:sz w:val="22"/>
              </w:rPr>
            </w:pPr>
          </w:p>
        </w:tc>
        <w:tc>
          <w:tcPr>
            <w:tcW w:w="40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2"/>
                <w:lang w:val="en-US" w:eastAsia="zh-CN"/>
              </w:rPr>
              <w:t>56.97</w:t>
            </w:r>
          </w:p>
        </w:tc>
      </w:tr>
    </w:tbl>
    <w:p>
      <w:pPr>
        <w:widowControl/>
        <w:spacing w:line="360" w:lineRule="auto"/>
        <w:ind w:firstLine="972" w:firstLineChars="304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</w:p>
    <w:p>
      <w:pPr>
        <w:widowControl/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Calibri" w:hAnsi="Calibri" w:eastAsia="仿宋_GB2312" w:cs="Calibri"/>
          <w:b/>
          <w:kern w:val="0"/>
          <w:sz w:val="32"/>
          <w:szCs w:val="32"/>
        </w:rPr>
        <w:t xml:space="preserve">     </w:t>
      </w: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八、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</w:p>
    <w:p>
      <w:pPr>
        <w:widowControl/>
        <w:numPr>
          <w:ilvl w:val="0"/>
          <w:numId w:val="3"/>
        </w:numPr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财政拨款收入：指</w:t>
      </w:r>
      <w:r>
        <w:rPr>
          <w:rFonts w:hint="eastAsia" w:ascii="仿宋" w:hAnsi="仿宋" w:eastAsia="仿宋" w:cs="仿宋"/>
          <w:kern w:val="0"/>
          <w:sz w:val="32"/>
          <w:szCs w:val="32"/>
        </w:rPr>
        <w:t>财政当年拨付的资金。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2、“三公”经费：包括因公出国（境）费、公务接待费和公务用车购置及运行费。因公出国（境）费，指单位工作人员公务出国（境）的住宿费、差旅费、伙食补助费、杂费、培训费等支出。公务接待费，指单位按规定开支的各类公务接待（含外宾接待）支出。公务用车购置及运行费，指单位公务用车购置费及租用费、燃料费、维修费、等支出，公务用车指用于履行公务的机动车辆，包括领导干部专车、一般公务用车和执法执勤等业务用车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eastAsia" w:ascii="微软雅黑" w:hAnsi="微软雅黑" w:eastAsia="微软雅黑" w:cs="微软雅黑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3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</w:p>
    <w:p>
      <w:pPr>
        <w:widowControl/>
        <w:numPr>
          <w:ilvl w:val="0"/>
          <w:numId w:val="0"/>
        </w:numPr>
        <w:spacing w:line="360" w:lineRule="auto"/>
        <w:jc w:val="left"/>
        <w:rPr>
          <w:rFonts w:ascii="Calibri" w:hAnsi="Calibri" w:eastAsia="仿宋_GB2312" w:cs="Calibri"/>
          <w:b/>
          <w:kern w:val="0"/>
          <w:sz w:val="32"/>
          <w:szCs w:val="32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5、项目支出：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黑体" w:eastAsia="黑体" w:cs="仿宋"/>
          <w:kern w:val="0"/>
          <w:sz w:val="32"/>
          <w:szCs w:val="32"/>
        </w:rPr>
      </w:pPr>
      <w:r>
        <w:rPr>
          <w:rFonts w:hint="eastAsia" w:ascii="黑体" w:hAnsi="黑体" w:eastAsia="黑体" w:cs="仿宋"/>
          <w:kern w:val="0"/>
          <w:sz w:val="32"/>
          <w:szCs w:val="32"/>
        </w:rPr>
        <w:t>九、其他需要说明的事项</w:t>
      </w:r>
    </w:p>
    <w:p>
      <w:pPr>
        <w:widowControl/>
        <w:spacing w:line="360" w:lineRule="auto"/>
        <w:ind w:firstLine="640" w:firstLineChars="200"/>
        <w:jc w:val="left"/>
        <w:rPr>
          <w:rFonts w:ascii="仿宋" w:hAnsi="仿宋" w:eastAsia="仿宋" w:cs="仿宋"/>
          <w:szCs w:val="24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无。</w:t>
      </w:r>
    </w:p>
    <w:p>
      <w:pPr>
        <w:widowControl/>
        <w:spacing w:line="360" w:lineRule="auto"/>
        <w:ind w:firstLine="420" w:firstLineChars="200"/>
        <w:jc w:val="left"/>
      </w:pPr>
    </w:p>
    <w:sectPr>
      <w:pgSz w:w="11907" w:h="16839"/>
      <w:pgMar w:top="1020" w:right="1134" w:bottom="1020" w:left="1134" w:header="851" w:footer="992" w:gutter="0"/>
      <w:cols w:space="0" w:num="1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BCCB38"/>
    <w:multiLevelType w:val="singleLevel"/>
    <w:tmpl w:val="58BCCB38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A0BB78E"/>
    <w:multiLevelType w:val="singleLevel"/>
    <w:tmpl w:val="5A0BB78E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6163943"/>
    <w:multiLevelType w:val="multilevel"/>
    <w:tmpl w:val="66163943"/>
    <w:lvl w:ilvl="0" w:tentative="0">
      <w:start w:val="6"/>
      <w:numFmt w:val="japaneseCounting"/>
      <w:lvlText w:val="%1、"/>
      <w:lvlJc w:val="left"/>
      <w:pPr>
        <w:ind w:left="2138" w:hanging="720"/>
      </w:pPr>
      <w:rPr>
        <w:rFonts w:hint="default" w:ascii="仿宋" w:hAnsi="仿宋" w:eastAsia="仿宋" w:cs="仿宋"/>
        <w:b/>
      </w:rPr>
    </w:lvl>
    <w:lvl w:ilvl="1" w:tentative="0">
      <w:start w:val="1"/>
      <w:numFmt w:val="lowerLetter"/>
      <w:lvlText w:val="%2)"/>
      <w:lvlJc w:val="left"/>
      <w:pPr>
        <w:ind w:left="2258" w:hanging="420"/>
      </w:pPr>
    </w:lvl>
    <w:lvl w:ilvl="2" w:tentative="0">
      <w:start w:val="1"/>
      <w:numFmt w:val="lowerRoman"/>
      <w:lvlText w:val="%3."/>
      <w:lvlJc w:val="right"/>
      <w:pPr>
        <w:ind w:left="2678" w:hanging="420"/>
      </w:pPr>
    </w:lvl>
    <w:lvl w:ilvl="3" w:tentative="0">
      <w:start w:val="1"/>
      <w:numFmt w:val="decimal"/>
      <w:lvlText w:val="%4."/>
      <w:lvlJc w:val="left"/>
      <w:pPr>
        <w:ind w:left="3098" w:hanging="420"/>
      </w:pPr>
    </w:lvl>
    <w:lvl w:ilvl="4" w:tentative="0">
      <w:start w:val="1"/>
      <w:numFmt w:val="lowerLetter"/>
      <w:lvlText w:val="%5)"/>
      <w:lvlJc w:val="left"/>
      <w:pPr>
        <w:ind w:left="3518" w:hanging="420"/>
      </w:pPr>
    </w:lvl>
    <w:lvl w:ilvl="5" w:tentative="0">
      <w:start w:val="1"/>
      <w:numFmt w:val="lowerRoman"/>
      <w:lvlText w:val="%6."/>
      <w:lvlJc w:val="right"/>
      <w:pPr>
        <w:ind w:left="3938" w:hanging="420"/>
      </w:pPr>
    </w:lvl>
    <w:lvl w:ilvl="6" w:tentative="0">
      <w:start w:val="1"/>
      <w:numFmt w:val="decimal"/>
      <w:lvlText w:val="%7."/>
      <w:lvlJc w:val="left"/>
      <w:pPr>
        <w:ind w:left="4358" w:hanging="420"/>
      </w:pPr>
    </w:lvl>
    <w:lvl w:ilvl="7" w:tentative="0">
      <w:start w:val="1"/>
      <w:numFmt w:val="lowerLetter"/>
      <w:lvlText w:val="%8)"/>
      <w:lvlJc w:val="left"/>
      <w:pPr>
        <w:ind w:left="4778" w:hanging="420"/>
      </w:pPr>
    </w:lvl>
    <w:lvl w:ilvl="8" w:tentative="0">
      <w:start w:val="1"/>
      <w:numFmt w:val="lowerRoman"/>
      <w:lvlText w:val="%9."/>
      <w:lvlJc w:val="right"/>
      <w:pPr>
        <w:ind w:left="5198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93BE4"/>
    <w:rsid w:val="000A75FA"/>
    <w:rsid w:val="000C2470"/>
    <w:rsid w:val="000D231C"/>
    <w:rsid w:val="00236B7F"/>
    <w:rsid w:val="002E3A95"/>
    <w:rsid w:val="002F418A"/>
    <w:rsid w:val="00355C43"/>
    <w:rsid w:val="003730D4"/>
    <w:rsid w:val="003D4B92"/>
    <w:rsid w:val="004A12F5"/>
    <w:rsid w:val="004C3904"/>
    <w:rsid w:val="00545E8E"/>
    <w:rsid w:val="005D136A"/>
    <w:rsid w:val="005E274B"/>
    <w:rsid w:val="00601E9C"/>
    <w:rsid w:val="0061371F"/>
    <w:rsid w:val="0062621A"/>
    <w:rsid w:val="006560E8"/>
    <w:rsid w:val="00685811"/>
    <w:rsid w:val="006D1C5B"/>
    <w:rsid w:val="007A507B"/>
    <w:rsid w:val="007D6BF0"/>
    <w:rsid w:val="008058DC"/>
    <w:rsid w:val="008C7744"/>
    <w:rsid w:val="00A07D70"/>
    <w:rsid w:val="00A1130B"/>
    <w:rsid w:val="00A35FC1"/>
    <w:rsid w:val="00A41E4B"/>
    <w:rsid w:val="00A61E29"/>
    <w:rsid w:val="00A80198"/>
    <w:rsid w:val="00B520FF"/>
    <w:rsid w:val="00CB110A"/>
    <w:rsid w:val="00CC2644"/>
    <w:rsid w:val="00D945ED"/>
    <w:rsid w:val="00E810D6"/>
    <w:rsid w:val="00F53FC9"/>
    <w:rsid w:val="013B67CD"/>
    <w:rsid w:val="016C22DD"/>
    <w:rsid w:val="01CA412B"/>
    <w:rsid w:val="037D399A"/>
    <w:rsid w:val="03B213E5"/>
    <w:rsid w:val="047F71D2"/>
    <w:rsid w:val="06096D52"/>
    <w:rsid w:val="063402B1"/>
    <w:rsid w:val="06550E5D"/>
    <w:rsid w:val="0726741C"/>
    <w:rsid w:val="078B752A"/>
    <w:rsid w:val="08D34D69"/>
    <w:rsid w:val="09E50DB9"/>
    <w:rsid w:val="0B6C587A"/>
    <w:rsid w:val="0BB759F9"/>
    <w:rsid w:val="0CBF7A43"/>
    <w:rsid w:val="0DD4180B"/>
    <w:rsid w:val="130B706D"/>
    <w:rsid w:val="13161153"/>
    <w:rsid w:val="139106CF"/>
    <w:rsid w:val="13DE0FA8"/>
    <w:rsid w:val="163506CD"/>
    <w:rsid w:val="17252863"/>
    <w:rsid w:val="175940C0"/>
    <w:rsid w:val="17C16AC9"/>
    <w:rsid w:val="180D78B9"/>
    <w:rsid w:val="1AEF7278"/>
    <w:rsid w:val="1B2A5EA4"/>
    <w:rsid w:val="1CC97251"/>
    <w:rsid w:val="1CEB0A1C"/>
    <w:rsid w:val="1D0F12B6"/>
    <w:rsid w:val="1E8167C1"/>
    <w:rsid w:val="1EAA0AE1"/>
    <w:rsid w:val="1FDE5432"/>
    <w:rsid w:val="21AA2D40"/>
    <w:rsid w:val="21B66276"/>
    <w:rsid w:val="228819EE"/>
    <w:rsid w:val="2716314B"/>
    <w:rsid w:val="288A4B30"/>
    <w:rsid w:val="28E516DB"/>
    <w:rsid w:val="299267B6"/>
    <w:rsid w:val="2AD57C75"/>
    <w:rsid w:val="2BAA47A7"/>
    <w:rsid w:val="2CC1056F"/>
    <w:rsid w:val="2DCE40BA"/>
    <w:rsid w:val="2E066AE5"/>
    <w:rsid w:val="2E2777CE"/>
    <w:rsid w:val="2EE04A84"/>
    <w:rsid w:val="2F887EEE"/>
    <w:rsid w:val="31D059F4"/>
    <w:rsid w:val="332A0BBD"/>
    <w:rsid w:val="3387759D"/>
    <w:rsid w:val="351C5D1D"/>
    <w:rsid w:val="36DF5EE5"/>
    <w:rsid w:val="38963AA1"/>
    <w:rsid w:val="39461E7C"/>
    <w:rsid w:val="39A75722"/>
    <w:rsid w:val="3B6E7B6E"/>
    <w:rsid w:val="3C712CD5"/>
    <w:rsid w:val="3CEC5D53"/>
    <w:rsid w:val="3F2305E6"/>
    <w:rsid w:val="3F331926"/>
    <w:rsid w:val="441C57E9"/>
    <w:rsid w:val="44240E6E"/>
    <w:rsid w:val="44986D47"/>
    <w:rsid w:val="456A5D0D"/>
    <w:rsid w:val="457C0C14"/>
    <w:rsid w:val="45AF507C"/>
    <w:rsid w:val="45B90BF3"/>
    <w:rsid w:val="460143F1"/>
    <w:rsid w:val="475B18CD"/>
    <w:rsid w:val="49994B41"/>
    <w:rsid w:val="4A4F1F05"/>
    <w:rsid w:val="4B7040C7"/>
    <w:rsid w:val="4CA957E7"/>
    <w:rsid w:val="4D9730D4"/>
    <w:rsid w:val="4E4335D2"/>
    <w:rsid w:val="56783930"/>
    <w:rsid w:val="59AF56D7"/>
    <w:rsid w:val="5AA21FFC"/>
    <w:rsid w:val="5B2B3FCD"/>
    <w:rsid w:val="5BAE356C"/>
    <w:rsid w:val="5CB07A05"/>
    <w:rsid w:val="5ED17601"/>
    <w:rsid w:val="5F525C02"/>
    <w:rsid w:val="612F2391"/>
    <w:rsid w:val="61897173"/>
    <w:rsid w:val="63F21B1B"/>
    <w:rsid w:val="65493192"/>
    <w:rsid w:val="665451BF"/>
    <w:rsid w:val="666C26EF"/>
    <w:rsid w:val="686A649F"/>
    <w:rsid w:val="69C753B6"/>
    <w:rsid w:val="69DA4533"/>
    <w:rsid w:val="6A804B8A"/>
    <w:rsid w:val="6B1A4039"/>
    <w:rsid w:val="6B511389"/>
    <w:rsid w:val="6D036829"/>
    <w:rsid w:val="6D5763C1"/>
    <w:rsid w:val="6D81148F"/>
    <w:rsid w:val="6E8006EE"/>
    <w:rsid w:val="6ECC4D84"/>
    <w:rsid w:val="70BA2DA1"/>
    <w:rsid w:val="71B87B2B"/>
    <w:rsid w:val="729B4F6A"/>
    <w:rsid w:val="733E01F4"/>
    <w:rsid w:val="7424079F"/>
    <w:rsid w:val="74C9628B"/>
    <w:rsid w:val="74D4598A"/>
    <w:rsid w:val="763743A2"/>
    <w:rsid w:val="76FD3FC3"/>
    <w:rsid w:val="7AA5545A"/>
    <w:rsid w:val="7B1F4EBB"/>
    <w:rsid w:val="7BAA5900"/>
    <w:rsid w:val="7D9A3104"/>
    <w:rsid w:val="7DB94919"/>
    <w:rsid w:val="7E215BF5"/>
    <w:rsid w:val="7EC0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4DD0FE-B0ED-4A7A-B795-55214EA2458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2375</Words>
  <Characters>2610</Characters>
  <Lines>14</Lines>
  <Paragraphs>4</Paragraphs>
  <TotalTime>0</TotalTime>
  <ScaleCrop>false</ScaleCrop>
  <LinksUpToDate>false</LinksUpToDate>
  <CharactersWithSpaces>2645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2025-10-27T01:29:45Z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eyJoZGlkIjoiMmJhYTk2OGM5M2Q4NTRjZGM1Y2ZiZWQyNjg4NDkxMDkiLCJ1c2VySWQiOiIzNjIxMDYwODIifQ==</vt:lpwstr>
  </property>
  <property fmtid="{D5CDD505-2E9C-101B-9397-08002B2CF9AE}" pid="4" name="ICV">
    <vt:lpwstr>89FF1C214DDF4FD5BCB204A6E4FAE05F_12</vt:lpwstr>
  </property>
</Properties>
</file>