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8C1C70">
      <w:pPr>
        <w:ind w:firstLine="723" w:firstLineChars="200"/>
        <w:jc w:val="center"/>
        <w:rPr>
          <w:rFonts w:hint="eastAsia" w:asciiTheme="minorEastAsia" w:hAnsiTheme="minorEastAsia" w:eastAsiaTheme="minorEastAsia" w:cstheme="minorEastAsia"/>
          <w:b/>
          <w:bCs/>
          <w:kern w:val="0"/>
          <w:sz w:val="36"/>
          <w:szCs w:val="36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36"/>
          <w:szCs w:val="36"/>
        </w:rPr>
        <w:t>成安县工业和信息化局</w:t>
      </w:r>
    </w:p>
    <w:p w14:paraId="4E010DC9">
      <w:pPr>
        <w:ind w:firstLine="723" w:firstLineChars="200"/>
        <w:jc w:val="center"/>
        <w:rPr>
          <w:rFonts w:hint="eastAsia" w:asciiTheme="minorEastAsia" w:hAnsiTheme="minorEastAsia" w:eastAsiaTheme="minorEastAsia" w:cstheme="minorEastAsia"/>
          <w:b/>
          <w:bCs/>
          <w:kern w:val="0"/>
          <w:sz w:val="36"/>
          <w:szCs w:val="36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36"/>
          <w:szCs w:val="36"/>
          <w:lang w:val="en-US" w:eastAsia="zh-CN"/>
        </w:rPr>
        <w:t>2017年部门预算公开情况说明</w:t>
      </w:r>
    </w:p>
    <w:p w14:paraId="6B1D0256">
      <w:pPr>
        <w:spacing w:line="500" w:lineRule="exact"/>
        <w:ind w:firstLine="56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按照《中华人民共和国预算法》、《地方预决算公开操作规程》和《关于进一步推进预算公开工作的实施意见》规定，现将成安县科技和工业信息化局20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17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年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单位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预算公开如下：</w:t>
      </w:r>
    </w:p>
    <w:p w14:paraId="1D9C2582">
      <w:pPr>
        <w:widowControl/>
        <w:numPr>
          <w:ilvl w:val="0"/>
          <w:numId w:val="1"/>
        </w:numPr>
        <w:spacing w:line="360" w:lineRule="auto"/>
        <w:ind w:firstLine="643" w:firstLineChars="200"/>
        <w:jc w:val="left"/>
        <w:rPr>
          <w:rFonts w:ascii="楷体" w:hAnsi="楷体" w:eastAsia="楷体" w:cs="Calibri"/>
          <w:b/>
          <w:kern w:val="0"/>
          <w:sz w:val="32"/>
          <w:szCs w:val="32"/>
        </w:rPr>
      </w:pPr>
      <w:r>
        <w:rPr>
          <w:rFonts w:hint="eastAsia" w:ascii="楷体" w:hAnsi="楷体" w:eastAsia="楷体" w:cs="Calibri"/>
          <w:b/>
          <w:kern w:val="0"/>
          <w:sz w:val="32"/>
          <w:szCs w:val="32"/>
        </w:rPr>
        <w:t>部门职责及机构设置情况</w:t>
      </w:r>
      <w:bookmarkStart w:id="1" w:name="_GoBack"/>
      <w:bookmarkEnd w:id="1"/>
    </w:p>
    <w:p w14:paraId="2BBBE9BC">
      <w:pPr>
        <w:rPr>
          <w:rFonts w:ascii="仿宋" w:hAnsi="仿宋" w:eastAsia="仿宋" w:cs="仿宋"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(一）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 xml:space="preserve"> 拟订并组织实施工业、信息化人才队伍建设规划组织开展工业工程类、经济技术系列专业技术职务任职资格评审和职业技能签订工作。组织开展人才培训教育工作。负责局直属单位领导班子建设的干部选拔任用工作。负责机关及直属单位机构编制、人事管理、队伍建设、劳动工资等工作。负责局机关的离退休干部工作，指导局属单位离退休干部工作。负责局机关和局属单位的党建、工会、共青团和妇女工作。</w:t>
      </w:r>
    </w:p>
    <w:p w14:paraId="68191941">
      <w:pPr>
        <w:pStyle w:val="12"/>
        <w:numPr>
          <w:ilvl w:val="0"/>
          <w:numId w:val="0"/>
        </w:numPr>
        <w:rPr>
          <w:rFonts w:ascii="仿宋" w:hAnsi="仿宋" w:eastAsia="仿宋" w:cs="仿宋"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（二）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拟定全县规模工业经济年度计划目标，负责相关文件起草工作。监测分析全县规模工业运行态势，预测预警并发布相关信息。研究提出工业运行调控政策措施，组织协调解决工业运行中的重大问题。负责组织制定全县工业技术改造规划和实施方案。负责推进工业企业科技创新工作。</w:t>
      </w:r>
    </w:p>
    <w:p w14:paraId="408D5004">
      <w:pPr>
        <w:pStyle w:val="12"/>
        <w:numPr>
          <w:ilvl w:val="0"/>
          <w:numId w:val="0"/>
        </w:numPr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（三）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负责提出全县工业节能计划方案，拟订并组织实施全县工业的能源节约和资源综合利用、清洁生产促进政策。负责提出全县工业行业需县政府审批和核准投资项目的能耗、水耗审核意见。组织和指导工业节能装备（产品）制造、企业节能管理。组织协调相关重大示范工程和新产品、新技术、新设备、新材料的推广应用。负责优质低硫煤炭推广应用工作。配合市级组织淘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汰落后产能及清理整顿“五小”工作。负责综合分析全县经济社会与资源协调发展的重大问题。制定能源资源节约和综合利用、发展循环经济的规划和政策措施，并协调实施。负责能源资源节约、再生资源利用等项目管理工作。承担县市节能工作领导小组办公室日常工作。指导节能监察工作。</w:t>
      </w:r>
    </w:p>
    <w:p w14:paraId="552EDF67">
      <w:pPr>
        <w:pStyle w:val="12"/>
        <w:numPr>
          <w:ilvl w:val="0"/>
          <w:numId w:val="0"/>
        </w:numPr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（四）</w:t>
      </w:r>
      <w:r>
        <w:rPr>
          <w:rFonts w:hint="eastAsia" w:ascii="仿宋" w:hAnsi="仿宋" w:eastAsia="仿宋" w:cs="仿宋"/>
          <w:sz w:val="32"/>
          <w:szCs w:val="32"/>
        </w:rPr>
        <w:t>协调全县信息安全保障体系建设；指导和协调跨行业网络与信息安全管理工作；协调推进信息安全等级保护等基础性工作；指导监督政府部门、重点行业的重要信息系统与基础信息网络的安全保障工作；承担信息安全应急协调工作，协调处理重大事件。</w:t>
      </w:r>
    </w:p>
    <w:p w14:paraId="24DE4F99">
      <w:pPr>
        <w:pStyle w:val="12"/>
        <w:numPr>
          <w:ilvl w:val="0"/>
          <w:numId w:val="0"/>
        </w:numPr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（五）</w:t>
      </w:r>
      <w:r>
        <w:rPr>
          <w:rFonts w:hint="eastAsia" w:ascii="仿宋" w:hAnsi="仿宋" w:eastAsia="仿宋" w:cs="仿宋"/>
          <w:sz w:val="32"/>
          <w:szCs w:val="32"/>
        </w:rPr>
        <w:t>负责电子信息产品制造、软件与信息服务行业管理工作；拟订电子信息产品制造业、软件与信息服务业发展战略、规划；负责需国家和省、市平衡建设条件的信息产业固定资产投资前期项目（含利用外资项目）的申报和审批工作；拟订信息产业技术改造项目计划并组织实施；负责软件企业认定、软件产品登记备案、信息系统集成和信息系统工程监理等相关资质管理；负责民爆行业生产流通的监督管理；负责国防工办和国防信息动员工作；指导行业协会和安全生产工作；协调军工企业有关工作。</w:t>
      </w:r>
    </w:p>
    <w:p w14:paraId="185B5756">
      <w:pPr>
        <w:pStyle w:val="12"/>
        <w:numPr>
          <w:ilvl w:val="0"/>
          <w:numId w:val="0"/>
        </w:numPr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（六）</w:t>
      </w:r>
      <w:r>
        <w:rPr>
          <w:rFonts w:hint="eastAsia" w:ascii="仿宋" w:hAnsi="仿宋" w:eastAsia="仿宋" w:cs="仿宋"/>
          <w:sz w:val="32"/>
          <w:szCs w:val="32"/>
        </w:rPr>
        <w:t>指导推进全县信息化工作，协调信息化建设中的重大问题，协助推进重大信息化工程；负责组织重大信息化工程的技术论证和评估验收工作；负责全县信息化和工业化融合工作，提升和改造传统产业；负责推进全县工业信息化、农村信息化和电子商务等经济领域信息化工作，负责县信息化领导小组办公室的日常工作。指导全县电子政务发展和信息资源开发利用，推动跨部门、跨行业、跨领域的互联互通和信息共享；负责全县信息化专项资金的使用管理；负责县财政投资信息化项目支出预算的前置审核；指导推进社会公共事业、社区管理服务、城市建设和交通管理等社会领域的信息化应用；负责全县集成电路卡、非银行卡应用和管理，推进城市一卡通工作。</w:t>
      </w:r>
    </w:p>
    <w:p w14:paraId="6749B4BA">
      <w:pPr>
        <w:pStyle w:val="12"/>
        <w:numPr>
          <w:ilvl w:val="0"/>
          <w:numId w:val="0"/>
        </w:numPr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（七）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负责淘汰落后产能、粘土实心砖生产、新开农药厂点的监督与管理执法工作。</w:t>
      </w:r>
    </w:p>
    <w:p w14:paraId="51E0BD0C">
      <w:pPr>
        <w:pStyle w:val="12"/>
        <w:numPr>
          <w:ilvl w:val="0"/>
          <w:numId w:val="0"/>
        </w:numPr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（八）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负责全县煤炭市场经营活动监督管理、对掺杂使假、以次充好的违法活动严格执法。</w:t>
      </w:r>
    </w:p>
    <w:p w14:paraId="4CD49D61">
      <w:pPr>
        <w:pStyle w:val="12"/>
        <w:widowControl/>
        <w:numPr>
          <w:ilvl w:val="0"/>
          <w:numId w:val="0"/>
        </w:numPr>
        <w:jc w:val="left"/>
        <w:rPr>
          <w:rFonts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（九）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组织贯彻实施国家发展散装水泥的政策、法规。编制本行政区散装水泥的发展规划和年度生产计划，并组织实施、检查和监督。按规定征收，管理和使用散装水泥基金。负责组织散装水泥工作中的信息交流，宣传教育、专业培训和新技术、新工艺、新设备的推广应用。负责对本行政区的预拌混凝土和干混砂浆的行政管理。负责解决发展散装水泥工作中出现的问题。负责组织有关部门协调做好发展散装水泥工作。</w:t>
      </w:r>
    </w:p>
    <w:p w14:paraId="397CE24F">
      <w:pPr>
        <w:pStyle w:val="12"/>
        <w:numPr>
          <w:ilvl w:val="0"/>
          <w:numId w:val="0"/>
        </w:numPr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（十）</w:t>
      </w:r>
      <w:r>
        <w:rPr>
          <w:rFonts w:hint="eastAsia" w:ascii="仿宋" w:hAnsi="仿宋" w:eastAsia="仿宋" w:cs="仿宋"/>
          <w:sz w:val="32"/>
          <w:szCs w:val="32"/>
        </w:rPr>
        <w:t>研究电力行业的行业发展规划，政策措施，实施行政管理，负责电力法律、法规及安全用电的宣传教育工作，监督分析电力运行情况。管理电力执法队伍，维护电力市场秩序，保护电力设施，推进电力需求侧管理，完善电力需求侧管理机制，确保电力经济运行的有序进行。负责县域内电力管理的日常工作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负责全县工业运行电力事业的监督管理，危害电力规划与建设、危害电力设施安全、盗窃区域内电能、损害区域内电力用户等合法权益的监督与管理执法工作。</w:t>
      </w:r>
    </w:p>
    <w:p w14:paraId="6139631D">
      <w:pPr>
        <w:pStyle w:val="12"/>
        <w:numPr>
          <w:ilvl w:val="0"/>
          <w:numId w:val="0"/>
        </w:numPr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（十一）</w:t>
      </w:r>
      <w:r>
        <w:rPr>
          <w:rFonts w:hint="eastAsia" w:ascii="仿宋" w:hAnsi="仿宋" w:eastAsia="仿宋" w:cs="仿宋"/>
          <w:sz w:val="32"/>
          <w:szCs w:val="32"/>
        </w:rPr>
        <w:t>承担对用能单位贯彻执行国家、省、市颁布的节能（能源）法律、法规、规章情况进行监督与检查；编制并实施本县节能监察计划。组织对全县能源利用状况进行监察。承担节能产品与节能服务市场监管工作。参与固定资产投资项目可行性研究报告中有关合理用能、节能的认证和审定。受理违法、违规用能案件举报，依法查处违法、违规用能行为。承担全县能源监察执法（监测）工作的指导与协调；负责全县能源监察执法人员的教育培训工作。开展节能宣传和节能科普工作。承担县主管部门和县节能办交办的其他事项。</w:t>
      </w:r>
    </w:p>
    <w:p w14:paraId="796BFCB8">
      <w:pPr>
        <w:pStyle w:val="11"/>
        <w:widowControl/>
        <w:spacing w:line="540" w:lineRule="exact"/>
        <w:ind w:firstLine="643"/>
        <w:jc w:val="left"/>
        <w:rPr>
          <w:rFonts w:ascii="楷体" w:hAnsi="楷体" w:eastAsia="楷体" w:cs="Calibri"/>
          <w:b/>
          <w:kern w:val="0"/>
          <w:sz w:val="32"/>
          <w:szCs w:val="32"/>
        </w:rPr>
      </w:pPr>
      <w:r>
        <w:rPr>
          <w:rFonts w:hint="eastAsia" w:ascii="楷体" w:hAnsi="楷体" w:eastAsia="楷体" w:cs="Calibri"/>
          <w:b/>
          <w:kern w:val="0"/>
          <w:sz w:val="32"/>
          <w:szCs w:val="32"/>
        </w:rPr>
        <w:t>内设</w:t>
      </w:r>
      <w:r>
        <w:rPr>
          <w:rFonts w:ascii="楷体" w:hAnsi="楷体" w:eastAsia="楷体" w:cs="Calibri"/>
          <w:b/>
          <w:kern w:val="0"/>
          <w:sz w:val="32"/>
          <w:szCs w:val="32"/>
        </w:rPr>
        <w:t>机构</w:t>
      </w:r>
      <w:r>
        <w:rPr>
          <w:rFonts w:hint="eastAsia" w:ascii="楷体" w:hAnsi="楷体" w:eastAsia="楷体" w:cs="Calibri"/>
          <w:b/>
          <w:kern w:val="0"/>
          <w:sz w:val="32"/>
          <w:szCs w:val="32"/>
        </w:rPr>
        <w:t>及职责</w:t>
      </w:r>
    </w:p>
    <w:p w14:paraId="0576B39D">
      <w:pPr>
        <w:spacing w:line="560" w:lineRule="exact"/>
        <w:ind w:firstLine="640" w:firstLineChars="200"/>
        <w:rPr>
          <w:rFonts w:ascii="宋体" w:hAnsi="宋体" w:eastAsia="宋体" w:cs="宋体"/>
          <w:color w:val="000000"/>
          <w:sz w:val="18"/>
          <w:szCs w:val="18"/>
          <w:shd w:val="clear" w:color="auto" w:fill="FFFFFF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成安县工业和信息化局，预算编码是434008，</w:t>
      </w:r>
      <w:r>
        <w:rPr>
          <w:rFonts w:hint="eastAsia" w:ascii="仿宋" w:hAnsi="仿宋" w:eastAsia="仿宋" w:cs="仿宋"/>
          <w:sz w:val="30"/>
          <w:szCs w:val="30"/>
        </w:rPr>
        <w:t>工业和信息化局设10个内设股室和2个下属事业单位，分别为：办公室、财务科、政办室、工业科、节能科、信息化科、煤炭办、直管办、驻中心办、节能监察中心及工业管理服务中心。局党委下辖11个支部，分别为工信局机关党支部、离岗退休党支部、织染总厂党支部、印刷厂党支部、华益铸造厂党支部、大成公司党支部、煤矿党支部、发煤站党支部、机械厂党支部、人造板东厂支部、医药公司党支部，全系统共有党员340人，其中机关及离岗退休党支部40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。</w:t>
      </w:r>
    </w:p>
    <w:p w14:paraId="3EAF6326">
      <w:pPr>
        <w:widowControl/>
        <w:spacing w:line="540" w:lineRule="exact"/>
        <w:jc w:val="center"/>
        <w:rPr>
          <w:rFonts w:ascii="仿宋_GB2312" w:eastAsia="仿宋_GB2312"/>
          <w:sz w:val="32"/>
        </w:rPr>
      </w:pPr>
      <w:r>
        <w:rPr>
          <w:rFonts w:hint="eastAsia" w:ascii="仿宋_GB2312" w:eastAsia="仿宋_GB2312"/>
          <w:sz w:val="32"/>
        </w:rPr>
        <w:t>部门机构设置情况</w:t>
      </w:r>
    </w:p>
    <w:tbl>
      <w:tblPr>
        <w:tblStyle w:val="7"/>
        <w:tblW w:w="864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3"/>
        <w:gridCol w:w="1136"/>
        <w:gridCol w:w="1278"/>
        <w:gridCol w:w="2907"/>
      </w:tblGrid>
      <w:tr w14:paraId="32B263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00" w:hRule="atLeast"/>
          <w:tblHeader/>
          <w:jc w:val="center"/>
        </w:trPr>
        <w:tc>
          <w:tcPr>
            <w:tcW w:w="3323" w:type="dxa"/>
            <w:vMerge w:val="restart"/>
            <w:vAlign w:val="center"/>
          </w:tcPr>
          <w:p w14:paraId="66DF6F5C">
            <w:pPr>
              <w:spacing w:line="300" w:lineRule="exac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单位名称</w:t>
            </w:r>
          </w:p>
        </w:tc>
        <w:tc>
          <w:tcPr>
            <w:tcW w:w="1136" w:type="dxa"/>
            <w:vMerge w:val="restart"/>
            <w:vAlign w:val="center"/>
          </w:tcPr>
          <w:p w14:paraId="74FD7E3E">
            <w:pPr>
              <w:spacing w:line="300" w:lineRule="exac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单位性质</w:t>
            </w:r>
          </w:p>
        </w:tc>
        <w:tc>
          <w:tcPr>
            <w:tcW w:w="1278" w:type="dxa"/>
            <w:vMerge w:val="restart"/>
            <w:vAlign w:val="center"/>
          </w:tcPr>
          <w:p w14:paraId="6FE3E446">
            <w:pPr>
              <w:spacing w:line="300" w:lineRule="exac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单位规格</w:t>
            </w:r>
          </w:p>
        </w:tc>
        <w:tc>
          <w:tcPr>
            <w:tcW w:w="2907" w:type="dxa"/>
            <w:vMerge w:val="restart"/>
            <w:vAlign w:val="center"/>
          </w:tcPr>
          <w:p w14:paraId="53F09C8D">
            <w:pPr>
              <w:spacing w:line="300" w:lineRule="exac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经费保障形式</w:t>
            </w:r>
          </w:p>
        </w:tc>
      </w:tr>
      <w:tr w14:paraId="32ECB74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tblHeader/>
          <w:jc w:val="center"/>
        </w:trPr>
        <w:tc>
          <w:tcPr>
            <w:tcW w:w="3323" w:type="dxa"/>
            <w:vMerge w:val="continue"/>
            <w:vAlign w:val="center"/>
          </w:tcPr>
          <w:p w14:paraId="71D3755D">
            <w:pPr>
              <w:spacing w:line="300" w:lineRule="exact"/>
              <w:jc w:val="left"/>
              <w:outlineLvl w:val="0"/>
              <w:rPr>
                <w:rFonts w:ascii="仿宋_GB2312" w:eastAsia="仿宋_GB2312"/>
              </w:rPr>
            </w:pPr>
          </w:p>
        </w:tc>
        <w:tc>
          <w:tcPr>
            <w:tcW w:w="1136" w:type="dxa"/>
            <w:vMerge w:val="continue"/>
            <w:vAlign w:val="center"/>
          </w:tcPr>
          <w:p w14:paraId="6149539B">
            <w:pPr>
              <w:spacing w:line="300" w:lineRule="exact"/>
              <w:jc w:val="left"/>
              <w:outlineLvl w:val="0"/>
              <w:rPr>
                <w:rFonts w:ascii="仿宋_GB2312" w:eastAsia="仿宋_GB2312"/>
              </w:rPr>
            </w:pPr>
          </w:p>
        </w:tc>
        <w:tc>
          <w:tcPr>
            <w:tcW w:w="1278" w:type="dxa"/>
            <w:vMerge w:val="continue"/>
            <w:vAlign w:val="center"/>
          </w:tcPr>
          <w:p w14:paraId="2617FFC2">
            <w:pPr>
              <w:spacing w:line="300" w:lineRule="exact"/>
              <w:jc w:val="left"/>
              <w:outlineLvl w:val="0"/>
              <w:rPr>
                <w:rFonts w:ascii="仿宋_GB2312" w:eastAsia="仿宋_GB2312"/>
              </w:rPr>
            </w:pPr>
          </w:p>
        </w:tc>
        <w:tc>
          <w:tcPr>
            <w:tcW w:w="2907" w:type="dxa"/>
            <w:vMerge w:val="continue"/>
            <w:vAlign w:val="center"/>
          </w:tcPr>
          <w:p w14:paraId="5A5CEB96">
            <w:pPr>
              <w:spacing w:line="300" w:lineRule="exact"/>
              <w:jc w:val="left"/>
              <w:outlineLvl w:val="0"/>
              <w:rPr>
                <w:rFonts w:ascii="仿宋_GB2312" w:eastAsia="仿宋_GB2312"/>
              </w:rPr>
            </w:pPr>
          </w:p>
        </w:tc>
      </w:tr>
      <w:tr w14:paraId="6CB728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  <w:jc w:val="center"/>
        </w:trPr>
        <w:tc>
          <w:tcPr>
            <w:tcW w:w="3323" w:type="dxa"/>
            <w:vAlign w:val="center"/>
          </w:tcPr>
          <w:p w14:paraId="0F1C4825">
            <w:pPr>
              <w:autoSpaceDN w:val="0"/>
              <w:jc w:val="left"/>
              <w:textAlignment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成安县工业和信息化局</w:t>
            </w:r>
          </w:p>
        </w:tc>
        <w:tc>
          <w:tcPr>
            <w:tcW w:w="1136" w:type="dxa"/>
            <w:vAlign w:val="center"/>
          </w:tcPr>
          <w:p w14:paraId="3C5E7052">
            <w:pPr>
              <w:autoSpaceDN w:val="0"/>
              <w:jc w:val="left"/>
              <w:textAlignment w:val="center"/>
              <w:rPr>
                <w:rFonts w:ascii="仿宋_GB2312" w:eastAsia="仿宋_GB2312"/>
              </w:rPr>
            </w:pPr>
            <w:r>
              <w:rPr>
                <w:rFonts w:ascii="宋体" w:hAnsi="宋体"/>
                <w:color w:val="000000"/>
                <w:sz w:val="20"/>
              </w:rPr>
              <w:t>行政</w:t>
            </w:r>
          </w:p>
        </w:tc>
        <w:tc>
          <w:tcPr>
            <w:tcW w:w="1278" w:type="dxa"/>
            <w:vAlign w:val="center"/>
          </w:tcPr>
          <w:p w14:paraId="7D80F89C">
            <w:pPr>
              <w:autoSpaceDN w:val="0"/>
              <w:jc w:val="left"/>
              <w:textAlignment w:val="center"/>
              <w:rPr>
                <w:rFonts w:ascii="仿宋_GB2312" w:eastAsia="仿宋_GB2312"/>
              </w:rPr>
            </w:pPr>
            <w:r>
              <w:rPr>
                <w:rFonts w:hint="eastAsia" w:ascii="宋体" w:hAnsi="宋体"/>
                <w:color w:val="000000"/>
                <w:sz w:val="20"/>
              </w:rPr>
              <w:t>正科级</w:t>
            </w:r>
          </w:p>
        </w:tc>
        <w:tc>
          <w:tcPr>
            <w:tcW w:w="2907" w:type="dxa"/>
            <w:vAlign w:val="center"/>
          </w:tcPr>
          <w:p w14:paraId="2AB68126">
            <w:pPr>
              <w:autoSpaceDN w:val="0"/>
              <w:jc w:val="left"/>
              <w:textAlignment w:val="center"/>
              <w:rPr>
                <w:rFonts w:ascii="仿宋_GB2312" w:eastAsia="仿宋_GB2312"/>
              </w:rPr>
            </w:pPr>
            <w:r>
              <w:rPr>
                <w:rFonts w:ascii="宋体" w:hAnsi="宋体"/>
                <w:color w:val="000000"/>
                <w:sz w:val="20"/>
              </w:rPr>
              <w:t>财政拨款</w:t>
            </w:r>
          </w:p>
        </w:tc>
      </w:tr>
    </w:tbl>
    <w:p w14:paraId="244A577E">
      <w:pPr>
        <w:spacing w:line="560" w:lineRule="exact"/>
        <w:ind w:firstLine="640"/>
        <w:rPr>
          <w:rFonts w:ascii="楷体" w:hAnsi="楷体" w:eastAsia="楷体" w:cs="Times New Roman"/>
          <w:b/>
          <w:sz w:val="32"/>
          <w:szCs w:val="32"/>
        </w:rPr>
      </w:pPr>
      <w:r>
        <w:rPr>
          <w:rFonts w:hint="eastAsia" w:ascii="楷体" w:hAnsi="楷体" w:eastAsia="楷体" w:cs="黑体"/>
          <w:b/>
          <w:sz w:val="32"/>
          <w:szCs w:val="32"/>
        </w:rPr>
        <w:t>二、部门预算安排的总体情况</w:t>
      </w:r>
    </w:p>
    <w:p w14:paraId="24FC3CBF">
      <w:pPr>
        <w:spacing w:line="560" w:lineRule="exact"/>
        <w:ind w:firstLine="64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方正仿宋_GBK"/>
          <w:sz w:val="32"/>
          <w:szCs w:val="32"/>
        </w:rPr>
        <w:t>按照预算管理有关规定，目前我部门预算的编制实行综合预算制度，即全部收入和支出都反映在预算中。</w:t>
      </w:r>
    </w:p>
    <w:p w14:paraId="1093E83D"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1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、收入说明</w:t>
      </w:r>
    </w:p>
    <w:p w14:paraId="640AEE4D">
      <w:pPr>
        <w:spacing w:line="560" w:lineRule="exact"/>
        <w:ind w:firstLine="640"/>
        <w:rPr>
          <w:rFonts w:ascii="仿宋" w:hAnsi="仿宋" w:eastAsia="仿宋" w:cs="Times New Roman"/>
          <w:sz w:val="32"/>
          <w:szCs w:val="32"/>
        </w:rPr>
      </w:pPr>
      <w:r>
        <w:rPr>
          <w:rFonts w:ascii="仿宋" w:hAnsi="仿宋" w:eastAsia="仿宋" w:cs="Times New Roman"/>
          <w:sz w:val="32"/>
          <w:szCs w:val="32"/>
        </w:rPr>
        <w:t>2017</w:t>
      </w:r>
      <w:r>
        <w:rPr>
          <w:rFonts w:hint="eastAsia" w:ascii="仿宋" w:hAnsi="仿宋" w:eastAsia="仿宋" w:cs="方正仿宋_GBK"/>
          <w:sz w:val="32"/>
          <w:szCs w:val="32"/>
        </w:rPr>
        <w:t>年预算收入171.06万元，其中：一般公共预算收入171.06万元，政府性基金收入0万元，国有资本经营收入0万元，事业收入0万元，其他收入0万元。</w:t>
      </w:r>
    </w:p>
    <w:p w14:paraId="1CD370B9"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2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、支出说明</w:t>
      </w:r>
    </w:p>
    <w:p w14:paraId="4AD1B495">
      <w:pPr>
        <w:spacing w:line="560" w:lineRule="exact"/>
        <w:ind w:firstLine="640"/>
        <w:rPr>
          <w:rFonts w:ascii="仿宋" w:hAnsi="仿宋" w:eastAsia="仿宋" w:cs="Times New Roman"/>
          <w:sz w:val="32"/>
          <w:szCs w:val="32"/>
        </w:rPr>
      </w:pPr>
      <w:r>
        <w:rPr>
          <w:rFonts w:ascii="仿宋" w:hAnsi="仿宋" w:eastAsia="仿宋" w:cs="Times New Roman"/>
          <w:sz w:val="32"/>
          <w:szCs w:val="32"/>
        </w:rPr>
        <w:t>2017</w:t>
      </w:r>
      <w:r>
        <w:rPr>
          <w:rFonts w:hint="eastAsia" w:ascii="仿宋" w:hAnsi="仿宋" w:eastAsia="仿宋" w:cs="方正仿宋_GBK"/>
          <w:sz w:val="32"/>
          <w:szCs w:val="32"/>
        </w:rPr>
        <w:t>年支出预算171.06万元，其中基本支出171.06万元，包括人员经费和日常公用经费；项目支出0万元.</w:t>
      </w:r>
    </w:p>
    <w:p w14:paraId="45375313"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3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、比上年增减变化情况</w:t>
      </w:r>
    </w:p>
    <w:p w14:paraId="4C0DD72A">
      <w:pPr>
        <w:widowControl/>
        <w:spacing w:line="360" w:lineRule="auto"/>
        <w:ind w:firstLine="627" w:firstLineChars="196"/>
        <w:jc w:val="left"/>
        <w:rPr>
          <w:rFonts w:ascii="仿宋" w:hAnsi="仿宋" w:eastAsia="仿宋" w:cs="仿宋_GB2312"/>
          <w:kern w:val="0"/>
          <w:sz w:val="32"/>
          <w:szCs w:val="32"/>
        </w:rPr>
      </w:pPr>
      <w:r>
        <w:rPr>
          <w:rFonts w:ascii="仿宋" w:hAnsi="仿宋" w:eastAsia="仿宋" w:cs="Times New Roman"/>
          <w:sz w:val="32"/>
          <w:szCs w:val="32"/>
        </w:rPr>
        <w:t>2017</w:t>
      </w:r>
      <w:r>
        <w:rPr>
          <w:rFonts w:hint="eastAsia" w:ascii="仿宋" w:hAnsi="仿宋" w:eastAsia="仿宋" w:cs="方正仿宋_GBK"/>
          <w:sz w:val="32"/>
          <w:szCs w:val="32"/>
        </w:rPr>
        <w:t>年预算收支安排171.06万元</w:t>
      </w:r>
      <w:r>
        <w:rPr>
          <w:rFonts w:ascii="仿宋" w:hAnsi="仿宋" w:eastAsia="仿宋" w:cs="仿宋_GB2312"/>
          <w:kern w:val="0"/>
          <w:sz w:val="32"/>
          <w:szCs w:val="32"/>
        </w:rPr>
        <w:t>。</w:t>
      </w:r>
      <w:r>
        <w:rPr>
          <w:rFonts w:hint="eastAsia" w:ascii="仿宋" w:hAnsi="仿宋" w:eastAsia="仿宋" w:cs="仿宋_GB2312"/>
          <w:kern w:val="0"/>
          <w:sz w:val="32"/>
          <w:szCs w:val="32"/>
        </w:rPr>
        <w:t>与去年相比降低了136万元，积极贯彻落实新《预算法》，按照讲求绩效的原则，对于当年未使用的预算，在调整预算中予以调减。</w:t>
      </w:r>
    </w:p>
    <w:p w14:paraId="6BF03E55">
      <w:pPr>
        <w:autoSpaceDE w:val="0"/>
        <w:autoSpaceDN w:val="0"/>
        <w:adjustRightInd w:val="0"/>
        <w:spacing w:line="560" w:lineRule="exact"/>
        <w:ind w:left="198" w:firstLine="640" w:firstLineChars="200"/>
        <w:jc w:val="left"/>
        <w:rPr>
          <w:rFonts w:ascii="楷体" w:hAnsi="楷体" w:eastAsia="楷体" w:cs="Times New Roman"/>
          <w:b/>
          <w:sz w:val="32"/>
          <w:szCs w:val="32"/>
        </w:rPr>
      </w:pPr>
      <w:r>
        <w:rPr>
          <w:rFonts w:hint="eastAsia" w:ascii="楷体" w:hAnsi="楷体" w:eastAsia="楷体" w:cs="黑体"/>
          <w:b/>
          <w:sz w:val="32"/>
          <w:szCs w:val="32"/>
        </w:rPr>
        <w:t>三、机关运行经费安排情况</w:t>
      </w:r>
    </w:p>
    <w:p w14:paraId="6AB557EF">
      <w:pPr>
        <w:autoSpaceDE w:val="0"/>
        <w:autoSpaceDN w:val="0"/>
        <w:adjustRightInd w:val="0"/>
        <w:spacing w:line="560" w:lineRule="exact"/>
        <w:ind w:left="198" w:firstLine="640" w:firstLineChars="200"/>
        <w:jc w:val="left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方正仿宋_GBK"/>
          <w:sz w:val="32"/>
          <w:szCs w:val="32"/>
        </w:rPr>
        <w:t>机关运行经费共计安排1.8万元，主要用于办公区的日常维修、办公用房水电费、邮电费、办公用房取暖费、办公用房物业管理费等日常运行支出。</w:t>
      </w:r>
    </w:p>
    <w:p w14:paraId="6F8841B9">
      <w:pPr>
        <w:autoSpaceDE w:val="0"/>
        <w:autoSpaceDN w:val="0"/>
        <w:adjustRightInd w:val="0"/>
        <w:spacing w:line="560" w:lineRule="exact"/>
        <w:ind w:left="198" w:firstLine="640" w:firstLineChars="200"/>
        <w:jc w:val="left"/>
        <w:rPr>
          <w:rFonts w:ascii="楷体" w:hAnsi="楷体" w:eastAsia="楷体" w:cs="Times New Roman"/>
          <w:b/>
          <w:sz w:val="32"/>
          <w:szCs w:val="32"/>
        </w:rPr>
      </w:pPr>
      <w:r>
        <w:rPr>
          <w:rFonts w:hint="eastAsia" w:ascii="楷体" w:hAnsi="楷体" w:eastAsia="楷体" w:cs="黑体"/>
          <w:b/>
          <w:sz w:val="32"/>
          <w:szCs w:val="32"/>
        </w:rPr>
        <w:t>四、财政拨款“三公”经费预算情况及增减变化原因</w:t>
      </w:r>
    </w:p>
    <w:p w14:paraId="1E8A7397">
      <w:pPr>
        <w:widowControl/>
        <w:spacing w:line="360" w:lineRule="auto"/>
        <w:ind w:firstLine="800" w:firstLineChars="250"/>
        <w:jc w:val="left"/>
        <w:rPr>
          <w:rFonts w:ascii="仿宋" w:hAnsi="仿宋" w:eastAsia="仿宋" w:cs="仿宋_GB2312"/>
          <w:kern w:val="0"/>
          <w:sz w:val="32"/>
          <w:szCs w:val="32"/>
        </w:rPr>
      </w:pPr>
      <w:r>
        <w:rPr>
          <w:rFonts w:hint="eastAsia" w:cs="仿宋_GB2312" w:asciiTheme="minorEastAsia" w:hAnsiTheme="minorEastAsia"/>
          <w:kern w:val="0"/>
          <w:sz w:val="32"/>
          <w:szCs w:val="32"/>
        </w:rPr>
        <w:t>20</w:t>
      </w:r>
      <w:r>
        <w:rPr>
          <w:rFonts w:hint="eastAsia" w:ascii="仿宋" w:hAnsi="仿宋" w:eastAsia="仿宋" w:cs="仿宋_GB2312"/>
          <w:kern w:val="0"/>
          <w:sz w:val="32"/>
          <w:szCs w:val="32"/>
        </w:rPr>
        <w:t>17年度“三公”预算支出2.7万元，安排公务用车维护费2.7万元，（其中公务用车购置费0万元，公务用车运行维护费1.8万元），公务接等费0万元。</w:t>
      </w:r>
      <w:r>
        <w:rPr>
          <w:rFonts w:hint="eastAsia" w:ascii="仿宋" w:hAnsi="仿宋" w:eastAsia="仿宋" w:cs="仿宋_GB2312"/>
          <w:kern w:val="0"/>
          <w:sz w:val="32"/>
          <w:szCs w:val="32"/>
          <w:lang w:eastAsia="zh-CN"/>
        </w:rPr>
        <w:t>比去年降低了</w:t>
      </w:r>
      <w:r>
        <w:rPr>
          <w:rFonts w:hint="eastAsia" w:ascii="仿宋" w:hAnsi="仿宋" w:eastAsia="仿宋" w:cs="仿宋_GB2312"/>
          <w:kern w:val="0"/>
          <w:sz w:val="32"/>
          <w:szCs w:val="32"/>
          <w:lang w:val="en-US" w:eastAsia="zh-CN"/>
        </w:rPr>
        <w:t>18%，主要原因公车拍卖，费用减少。</w:t>
      </w:r>
      <w:r>
        <w:rPr>
          <w:rFonts w:ascii="仿宋" w:hAnsi="仿宋" w:eastAsia="仿宋" w:cs="仿宋_GB2312"/>
          <w:kern w:val="0"/>
          <w:sz w:val="32"/>
          <w:szCs w:val="32"/>
        </w:rPr>
        <w:t xml:space="preserve"> </w:t>
      </w:r>
    </w:p>
    <w:p w14:paraId="7276F80F">
      <w:pPr>
        <w:widowControl/>
        <w:spacing w:line="540" w:lineRule="exact"/>
        <w:ind w:firstLine="960" w:firstLineChars="300"/>
        <w:jc w:val="left"/>
        <w:rPr>
          <w:rFonts w:ascii="楷体" w:hAnsi="楷体" w:eastAsia="楷体" w:cs="Calibri"/>
          <w:b/>
          <w:kern w:val="0"/>
          <w:sz w:val="32"/>
          <w:szCs w:val="32"/>
        </w:rPr>
      </w:pPr>
      <w:r>
        <w:rPr>
          <w:rFonts w:hint="eastAsia" w:ascii="楷体" w:hAnsi="楷体" w:eastAsia="楷体" w:cs="Calibri"/>
          <w:b/>
          <w:kern w:val="0"/>
          <w:sz w:val="32"/>
          <w:szCs w:val="32"/>
        </w:rPr>
        <w:t>五、绩效预算情况</w:t>
      </w:r>
    </w:p>
    <w:p w14:paraId="6572911F">
      <w:pPr>
        <w:widowControl/>
        <w:spacing w:line="540" w:lineRule="exact"/>
        <w:ind w:firstLine="640" w:firstLineChars="200"/>
        <w:jc w:val="left"/>
        <w:rPr>
          <w:rFonts w:ascii="仿宋" w:hAnsi="仿宋" w:eastAsia="仿宋" w:cs="仿宋"/>
          <w:bCs/>
          <w:kern w:val="0"/>
          <w:sz w:val="32"/>
          <w:szCs w:val="32"/>
        </w:rPr>
      </w:pPr>
    </w:p>
    <w:tbl>
      <w:tblPr>
        <w:tblStyle w:val="7"/>
        <w:tblW w:w="1393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1276"/>
        <w:gridCol w:w="2976"/>
        <w:gridCol w:w="2976"/>
        <w:gridCol w:w="1417"/>
        <w:gridCol w:w="737"/>
        <w:gridCol w:w="737"/>
        <w:gridCol w:w="737"/>
        <w:gridCol w:w="737"/>
      </w:tblGrid>
      <w:tr w14:paraId="62F09BD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0986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576B056F">
            <w:pPr>
              <w:spacing w:line="300" w:lineRule="exact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434008成安县工业和信息化局</w:t>
            </w:r>
          </w:p>
        </w:tc>
        <w:tc>
          <w:tcPr>
            <w:tcW w:w="2948" w:type="dxa"/>
            <w:gridSpan w:val="4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00F98FBB">
            <w:pPr>
              <w:spacing w:line="300" w:lineRule="exact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单位：万元</w:t>
            </w:r>
          </w:p>
        </w:tc>
      </w:tr>
      <w:tr w14:paraId="76A4384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 w14:paraId="65529F9F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职责活动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70AC6DBE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年度预算数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3D0EA78F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内容描述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7B1A7269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绩效目标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4AEC2385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绩效指标</w:t>
            </w:r>
          </w:p>
        </w:tc>
        <w:tc>
          <w:tcPr>
            <w:tcW w:w="2948" w:type="dxa"/>
            <w:gridSpan w:val="4"/>
            <w:shd w:val="clear" w:color="auto" w:fill="auto"/>
            <w:vAlign w:val="center"/>
          </w:tcPr>
          <w:p w14:paraId="422CB592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评价标准</w:t>
            </w:r>
          </w:p>
        </w:tc>
      </w:tr>
      <w:tr w14:paraId="7A31FD3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 w14:paraId="1C0299B8">
            <w:pPr>
              <w:spacing w:line="300" w:lineRule="exact"/>
              <w:ind w:firstLine="420" w:firstLineChars="200"/>
              <w:jc w:val="left"/>
              <w:outlineLvl w:val="0"/>
              <w:rPr>
                <w:rFonts w:hint="eastAsia" w:ascii="仿宋" w:hAnsi="仿宋" w:eastAsia="仿宋" w:cs="仿宋"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6DA3EA6E">
            <w:pPr>
              <w:spacing w:line="300" w:lineRule="exact"/>
              <w:ind w:firstLine="420" w:firstLineChars="200"/>
              <w:jc w:val="left"/>
              <w:outlineLvl w:val="0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16088BA6">
            <w:pPr>
              <w:spacing w:line="300" w:lineRule="exact"/>
              <w:ind w:firstLine="420" w:firstLineChars="200"/>
              <w:jc w:val="left"/>
              <w:outlineLvl w:val="0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782869B3">
            <w:pPr>
              <w:spacing w:line="300" w:lineRule="exact"/>
              <w:ind w:firstLine="420" w:firstLineChars="200"/>
              <w:jc w:val="left"/>
              <w:outlineLvl w:val="0"/>
              <w:rPr>
                <w:rFonts w:hint="eastAsia" w:ascii="仿宋" w:hAnsi="仿宋" w:eastAsia="仿宋" w:cs="仿宋"/>
              </w:rPr>
            </w:pPr>
          </w:p>
        </w:tc>
        <w:tc>
          <w:tcPr>
            <w:tcW w:w="1417" w:type="dxa"/>
            <w:vMerge w:val="continue"/>
            <w:shd w:val="clear" w:color="auto" w:fill="auto"/>
            <w:vAlign w:val="center"/>
          </w:tcPr>
          <w:p w14:paraId="2ABD4581">
            <w:pPr>
              <w:spacing w:line="300" w:lineRule="exact"/>
              <w:ind w:firstLine="420" w:firstLineChars="200"/>
              <w:jc w:val="left"/>
              <w:outlineLvl w:val="0"/>
              <w:rPr>
                <w:rFonts w:hint="eastAsia" w:ascii="仿宋" w:hAnsi="仿宋" w:eastAsia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14:paraId="257865B8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优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24393A79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良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170E7FC5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中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2F5D3448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差</w:t>
            </w:r>
          </w:p>
        </w:tc>
      </w:tr>
      <w:tr w14:paraId="76DF29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1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 w14:paraId="4060C087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支持新型工业化发展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EF4A49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3388BEF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组织全县工业技术改造工作，推进企业技术创新体系建设。组织协调推进企业兼并重组、淘汰落后产能和化解过剩产能、工业节能与资源综合利用工作，组织实施重大专项，推进产业结构战略性调整和优化升级，加快现代产业体系建设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22A33E4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建立完善工业和信息化政策法规、规划、标准体系，规范、引导、指导工业和信息化健康发展。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1FB082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产业结构调整方案实施数量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658AC26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08798587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361CA73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66CA47B0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</w:t>
            </w:r>
          </w:p>
        </w:tc>
      </w:tr>
      <w:tr w14:paraId="21A0C9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 w14:paraId="49AB96C3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　实施工业和信息化运行监测管理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0F7E2A52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6BD5F281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监测分析全县工业运行；负责全县钢铁、石化、建材、装备、纺织、医药、轻工食品、电子信息、软件信息服务业等工业行业管理。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4267D75D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。做好工业运行监测分析、预警，切实减轻企业负担，确保完成全县工业经济增长目标，促进工业持续健康平稳发展。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CF6053"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经济运行质量评价情况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662E0CCE"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25167DEE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042335B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434A7B24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</w:t>
            </w:r>
          </w:p>
        </w:tc>
      </w:tr>
      <w:tr w14:paraId="7E34A09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 w14:paraId="208B3D19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53D9EAA4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4F5FD658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4BBDF73C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0F3DB75">
            <w:pPr>
              <w:jc w:val="left"/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经济运行分析和预测预警及时率</w:t>
            </w:r>
          </w:p>
          <w:p w14:paraId="29BFFC29"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14:paraId="46694E3A"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468E659B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0595731E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4395A4A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30</w:t>
            </w:r>
          </w:p>
        </w:tc>
      </w:tr>
      <w:tr w14:paraId="29EC3C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 w14:paraId="400E4ADD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2B6ACE20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16C77244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56998038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AB01081">
            <w:pPr>
              <w:jc w:val="left"/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培育规模以上企业的目标任务</w:t>
            </w:r>
          </w:p>
          <w:p w14:paraId="27736350"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14:paraId="7E93804F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36614F5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85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3B3D0014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75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A818249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</w:t>
            </w:r>
          </w:p>
        </w:tc>
      </w:tr>
      <w:tr w14:paraId="2EB0600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1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 w14:paraId="3D3A89C3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3E033E08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677E8B90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7BFA05D6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1B9AF0B">
            <w:pPr>
              <w:jc w:val="left"/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工业运行监测率</w:t>
            </w:r>
          </w:p>
          <w:p w14:paraId="73CCF235"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14:paraId="17D4DC2E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399A8F2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5365792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4800AFD6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</w:t>
            </w:r>
          </w:p>
        </w:tc>
      </w:tr>
      <w:tr w14:paraId="4261FD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 w14:paraId="7537780E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推进全省信息化建设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CA725A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B22234E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推进信息化和工业化融合，指导协调电子政务发展，促进“三网”（电信、广播电视和计算机网络）融合、信息消费和物联网发展，维护网络与信息安全。推动全县软件业、信息服务业发展。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0EEECA1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提升产业信息化水平，增强企业综合竞争力.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683A89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计划和报告完成数量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360A7B7E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14:paraId="583155B6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14:paraId="51FA94F2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14:paraId="1F0C7228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</w:tr>
      <w:tr w14:paraId="58F7F8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 w14:paraId="6435892D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　促进中小企业和民营经济发展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1AAB48C0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6DACE4B3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加强对中小微企业和民营经济的宏观指导、综合协调，优化发展环境，激活市场主体，破解要素制约，强化公共服务，加强督导、检查和考核，提高民营经济和中小微企业发展质量和水平。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7899B606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为中小和民营企业提供的公共服务事项和效果不断提高；提高融资担保规模，贷款担保逐年增加；中小和民营企业规模数量及效益水平明显改善；提升中小、民营企业从业人员经营管理水平。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5A4F59E"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数据分析和发布及时性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370F1F6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1E976355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85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29408563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0B218964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</w:t>
            </w:r>
          </w:p>
        </w:tc>
      </w:tr>
      <w:tr w14:paraId="54252F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 w14:paraId="495C80CE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28328768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4DC906A9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6AB81F75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92B2629"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监测点上报率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449952BA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43CE3C8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85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260CBA27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C1D91B5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65</w:t>
            </w:r>
          </w:p>
        </w:tc>
      </w:tr>
      <w:tr w14:paraId="23DEE6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 w14:paraId="5CBB7679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7EA438E8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6FFEB3C8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31D2D2BF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DB68866"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平台网络服务企业数量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6B66D9B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AA879D9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85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1EECF957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C5D485A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</w:t>
            </w:r>
          </w:p>
        </w:tc>
      </w:tr>
      <w:tr w14:paraId="7F0871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 w14:paraId="298A319D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3BF1FECF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29B01EA0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624FACDA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FB78257"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中小企业“订单式”服务场次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460F9008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014E369F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85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4582F7AC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36873853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65</w:t>
            </w:r>
          </w:p>
        </w:tc>
      </w:tr>
      <w:tr w14:paraId="08973A8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 w14:paraId="19F22CC4">
            <w:pPr>
              <w:spacing w:line="300" w:lineRule="exact"/>
              <w:jc w:val="left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实施无线电行业监管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10D92C6A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7A628BB6"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贯彻执行国家无线电管理有关法律法规，拟定全县无线电管理具体规定并监督实施，为促进经济社会发展和保障国家安全服务。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25DE1BAD"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无线电安全保障高效、干扰查处及时、频率协调有力，保持全县优良电磁环境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346AE7A"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无线电安全率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3DC149D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33589E70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3D0DF053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3D688421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65</w:t>
            </w:r>
          </w:p>
        </w:tc>
      </w:tr>
      <w:tr w14:paraId="74153DD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 w14:paraId="7D6B8C4C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13B54E91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00F56028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228ED975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97A1827"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处置准确率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30BC5A74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114B3B3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0B74AC28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4801FDC0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65</w:t>
            </w:r>
          </w:p>
        </w:tc>
      </w:tr>
      <w:tr w14:paraId="720A797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 w14:paraId="424B4C44">
            <w:pPr>
              <w:spacing w:line="300" w:lineRule="exact"/>
              <w:jc w:val="left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工信政务管理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D1267A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F955B23"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负责系统（内部）综合业务管理和机关（内部）综合事务管理。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142B748"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依法做好监控化学品日常监管和行政许可审批；完善工业和信息化政策法规体系建设；培育专业化人才，提升工业和信息化人才队伍水平。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4987BA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监管覆盖率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48E00CA0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09ED94C6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3B52AA1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1EF198FB">
            <w:pPr>
              <w:spacing w:line="300" w:lineRule="exact"/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</w:t>
            </w:r>
          </w:p>
        </w:tc>
      </w:tr>
    </w:tbl>
    <w:p w14:paraId="155B4B58">
      <w:pPr>
        <w:autoSpaceDE w:val="0"/>
        <w:autoSpaceDN w:val="0"/>
        <w:adjustRightInd w:val="0"/>
        <w:spacing w:line="560" w:lineRule="exact"/>
        <w:jc w:val="left"/>
        <w:rPr>
          <w:rFonts w:ascii="黑体" w:hAnsi="黑体" w:eastAsia="黑体" w:cs="黑体"/>
          <w:sz w:val="32"/>
          <w:szCs w:val="32"/>
        </w:rPr>
      </w:pPr>
    </w:p>
    <w:p w14:paraId="17D89DED">
      <w:pPr>
        <w:autoSpaceDE w:val="0"/>
        <w:autoSpaceDN w:val="0"/>
        <w:adjustRightInd w:val="0"/>
        <w:spacing w:line="560" w:lineRule="exact"/>
        <w:ind w:firstLine="640" w:firstLineChars="200"/>
        <w:jc w:val="left"/>
        <w:rPr>
          <w:rFonts w:ascii="楷体" w:hAnsi="楷体" w:eastAsia="楷体" w:cs="Times New Roman"/>
          <w:b/>
          <w:sz w:val="32"/>
          <w:szCs w:val="32"/>
        </w:rPr>
      </w:pPr>
      <w:r>
        <w:rPr>
          <w:rFonts w:hint="eastAsia" w:ascii="楷体" w:hAnsi="楷体" w:eastAsia="楷体" w:cs="黑体"/>
          <w:b/>
          <w:sz w:val="32"/>
          <w:szCs w:val="32"/>
        </w:rPr>
        <w:t>六、政府采购预算情况</w:t>
      </w:r>
    </w:p>
    <w:p w14:paraId="4231E4E6">
      <w:pPr>
        <w:widowControl/>
        <w:spacing w:line="360" w:lineRule="auto"/>
        <w:ind w:firstLine="640" w:firstLineChars="200"/>
        <w:jc w:val="left"/>
        <w:rPr>
          <w:rFonts w:ascii="仿宋" w:hAnsi="仿宋" w:eastAsia="仿宋" w:cs="Calibri"/>
          <w:kern w:val="0"/>
          <w:sz w:val="32"/>
          <w:szCs w:val="32"/>
        </w:rPr>
      </w:pPr>
      <w:bookmarkStart w:id="0" w:name="_Toc471398468"/>
      <w:r>
        <w:rPr>
          <w:rFonts w:ascii="仿宋" w:hAnsi="仿宋" w:eastAsia="仿宋" w:cs="仿宋_GB2312"/>
          <w:kern w:val="0"/>
          <w:sz w:val="32"/>
          <w:szCs w:val="32"/>
        </w:rPr>
        <w:t>政府采购指国家机关、事业单位和社会团体组织，使用财政性资金，购买集中采购目录以内的或者采购限额标准以上的货物、工程或服务的行为。政府采购应遵循公开透明、公平竞争、公正和诚实信用的原则。凡使用纳入预算管理的资金采购符合《河北省政府采购集中采购目录和限额标准》（冀财采[2015]11号）要求的货物、工程或服务的项目，采购人均应编入政府采购预算。</w:t>
      </w:r>
      <w:r>
        <w:rPr>
          <w:rFonts w:hint="eastAsia" w:ascii="仿宋" w:hAnsi="仿宋" w:eastAsia="仿宋" w:cs="微软雅黑"/>
          <w:kern w:val="0"/>
          <w:sz w:val="24"/>
          <w:szCs w:val="24"/>
        </w:rPr>
        <w:t xml:space="preserve"> </w:t>
      </w:r>
      <w:r>
        <w:rPr>
          <w:rFonts w:ascii="仿宋" w:hAnsi="仿宋" w:eastAsia="仿宋" w:cs="仿宋_GB2312"/>
          <w:kern w:val="0"/>
          <w:sz w:val="32"/>
          <w:szCs w:val="32"/>
        </w:rPr>
        <w:t>按照政府采购相关法律法规要求，结合我局实际，201</w:t>
      </w:r>
      <w:r>
        <w:rPr>
          <w:rFonts w:hint="eastAsia" w:ascii="仿宋" w:hAnsi="仿宋" w:eastAsia="仿宋" w:cs="仿宋_GB2312"/>
          <w:kern w:val="0"/>
          <w:sz w:val="32"/>
          <w:szCs w:val="32"/>
        </w:rPr>
        <w:t>7</w:t>
      </w:r>
      <w:r>
        <w:rPr>
          <w:rFonts w:ascii="仿宋" w:hAnsi="仿宋" w:eastAsia="仿宋" w:cs="仿宋_GB2312"/>
          <w:kern w:val="0"/>
          <w:sz w:val="32"/>
          <w:szCs w:val="32"/>
        </w:rPr>
        <w:t>年我局政府采购事项为</w:t>
      </w:r>
      <w:r>
        <w:rPr>
          <w:rFonts w:hint="eastAsia" w:ascii="仿宋" w:hAnsi="仿宋" w:eastAsia="仿宋" w:cs="仿宋_GB2312"/>
          <w:kern w:val="0"/>
          <w:sz w:val="32"/>
          <w:szCs w:val="32"/>
        </w:rPr>
        <w:t>7万元，</w:t>
      </w:r>
      <w:r>
        <w:rPr>
          <w:rFonts w:ascii="仿宋" w:hAnsi="仿宋" w:eastAsia="仿宋" w:cs="仿宋_GB2312"/>
          <w:kern w:val="0"/>
          <w:sz w:val="32"/>
          <w:szCs w:val="32"/>
        </w:rPr>
        <w:t>本年拟用于政府采购</w:t>
      </w:r>
      <w:r>
        <w:rPr>
          <w:rFonts w:hint="eastAsia" w:ascii="仿宋" w:hAnsi="仿宋" w:eastAsia="仿宋" w:cs="仿宋_GB2312"/>
          <w:kern w:val="0"/>
          <w:sz w:val="32"/>
          <w:szCs w:val="32"/>
        </w:rPr>
        <w:t>电脑20台，单价0.35万元，计7万元；新能源电动汽车一辆,单价20万;</w:t>
      </w:r>
      <w:r>
        <w:rPr>
          <w:rFonts w:ascii="仿宋" w:hAnsi="仿宋" w:eastAsia="仿宋" w:cs="Calibri"/>
          <w:b/>
          <w:kern w:val="0"/>
          <w:sz w:val="32"/>
          <w:szCs w:val="32"/>
        </w:rPr>
        <w:t xml:space="preserve"> </w:t>
      </w:r>
      <w:r>
        <w:rPr>
          <w:rFonts w:hint="eastAsia" w:ascii="仿宋" w:hAnsi="仿宋" w:eastAsia="仿宋" w:cs="Calibri"/>
          <w:kern w:val="0"/>
          <w:sz w:val="32"/>
          <w:szCs w:val="32"/>
        </w:rPr>
        <w:t>办公桌椅5套,单价0.50万元,计2.50万元</w:t>
      </w:r>
    </w:p>
    <w:p w14:paraId="0DCB9094">
      <w:pPr>
        <w:spacing w:line="560" w:lineRule="exact"/>
        <w:outlineLvl w:val="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方正仿宋_GBK"/>
          <w:sz w:val="32"/>
          <w:szCs w:val="32"/>
        </w:rPr>
        <w:t>。具体内容见下表。</w:t>
      </w:r>
    </w:p>
    <w:p w14:paraId="39D0E337">
      <w:pPr>
        <w:spacing w:line="560" w:lineRule="exact"/>
        <w:jc w:val="center"/>
        <w:outlineLvl w:val="0"/>
        <w:rPr>
          <w:rFonts w:ascii="宋体" w:hAnsi="宋体" w:eastAsia="宋体" w:cs="Times New Roman"/>
          <w:sz w:val="32"/>
          <w:szCs w:val="32"/>
        </w:rPr>
      </w:pPr>
      <w:r>
        <w:rPr>
          <w:rFonts w:hint="eastAsia" w:ascii="宋体" w:hAnsi="宋体" w:eastAsia="宋体" w:cs="方正小标宋_GBK"/>
          <w:sz w:val="32"/>
          <w:szCs w:val="32"/>
        </w:rPr>
        <w:t>部门政府采购预算</w:t>
      </w:r>
      <w:bookmarkEnd w:id="0"/>
    </w:p>
    <w:tbl>
      <w:tblPr>
        <w:tblStyle w:val="7"/>
        <w:tblW w:w="15013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6"/>
        <w:gridCol w:w="1104"/>
        <w:gridCol w:w="910"/>
        <w:gridCol w:w="1447"/>
        <w:gridCol w:w="910"/>
        <w:gridCol w:w="910"/>
        <w:gridCol w:w="934"/>
        <w:gridCol w:w="931"/>
        <w:gridCol w:w="931"/>
        <w:gridCol w:w="931"/>
        <w:gridCol w:w="847"/>
        <w:gridCol w:w="913"/>
        <w:gridCol w:w="913"/>
        <w:gridCol w:w="856"/>
      </w:tblGrid>
      <w:tr w14:paraId="2FA1B5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8691" w:type="dxa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41CC5A18">
            <w:pPr>
              <w:spacing w:line="560" w:lineRule="exact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方正小标宋_GBK"/>
                <w:sz w:val="24"/>
                <w:szCs w:val="24"/>
              </w:rPr>
              <w:t>部门（单位）名称：成安县工业和信息化局</w:t>
            </w:r>
          </w:p>
        </w:tc>
        <w:tc>
          <w:tcPr>
            <w:tcW w:w="6322" w:type="dxa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3C10493A">
            <w:pPr>
              <w:spacing w:line="560" w:lineRule="exact"/>
              <w:jc w:val="righ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方正书宋_GBK"/>
                <w:sz w:val="24"/>
                <w:szCs w:val="24"/>
              </w:rPr>
              <w:t>单位：万元</w:t>
            </w:r>
          </w:p>
        </w:tc>
      </w:tr>
      <w:tr w14:paraId="5557CD6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3580" w:type="dxa"/>
            <w:gridSpan w:val="2"/>
            <w:vAlign w:val="center"/>
          </w:tcPr>
          <w:p w14:paraId="198D84BE">
            <w:pPr>
              <w:spacing w:line="560" w:lineRule="exact"/>
              <w:jc w:val="center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方正书宋_GBK"/>
                <w:bCs/>
              </w:rPr>
              <w:t>政府采购项目来源</w:t>
            </w:r>
          </w:p>
        </w:tc>
        <w:tc>
          <w:tcPr>
            <w:tcW w:w="910" w:type="dxa"/>
            <w:vMerge w:val="restart"/>
            <w:vAlign w:val="center"/>
          </w:tcPr>
          <w:p w14:paraId="090DC56F">
            <w:pPr>
              <w:spacing w:line="560" w:lineRule="exact"/>
              <w:jc w:val="center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方正书宋_GBK"/>
                <w:bCs/>
              </w:rPr>
              <w:t>采购物品名称</w:t>
            </w:r>
          </w:p>
        </w:tc>
        <w:tc>
          <w:tcPr>
            <w:tcW w:w="1447" w:type="dxa"/>
            <w:vMerge w:val="restart"/>
            <w:vAlign w:val="center"/>
          </w:tcPr>
          <w:p w14:paraId="5DFB31A5">
            <w:pPr>
              <w:spacing w:line="560" w:lineRule="exact"/>
              <w:jc w:val="center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方正书宋_GBK"/>
                <w:bCs/>
              </w:rPr>
              <w:t>政府采购目录序号</w:t>
            </w:r>
          </w:p>
        </w:tc>
        <w:tc>
          <w:tcPr>
            <w:tcW w:w="910" w:type="dxa"/>
            <w:vMerge w:val="restart"/>
            <w:vAlign w:val="center"/>
          </w:tcPr>
          <w:p w14:paraId="23F0554E">
            <w:pPr>
              <w:spacing w:line="560" w:lineRule="exact"/>
              <w:jc w:val="center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方正书宋_GBK"/>
                <w:bCs/>
              </w:rPr>
              <w:t>数量</w:t>
            </w:r>
            <w:r>
              <w:rPr>
                <w:rFonts w:ascii="宋体" w:hAnsi="宋体" w:eastAsia="宋体" w:cs="方正书宋_GBK"/>
                <w:bCs/>
              </w:rPr>
              <w:t xml:space="preserve">  </w:t>
            </w:r>
            <w:r>
              <w:rPr>
                <w:rFonts w:hint="eastAsia" w:ascii="宋体" w:hAnsi="宋体" w:eastAsia="宋体" w:cs="方正书宋_GBK"/>
                <w:bCs/>
              </w:rPr>
              <w:t>单位</w:t>
            </w:r>
          </w:p>
        </w:tc>
        <w:tc>
          <w:tcPr>
            <w:tcW w:w="910" w:type="dxa"/>
            <w:vMerge w:val="restart"/>
            <w:vAlign w:val="center"/>
          </w:tcPr>
          <w:p w14:paraId="578D6954">
            <w:pPr>
              <w:spacing w:line="560" w:lineRule="exact"/>
              <w:jc w:val="center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方正书宋_GBK"/>
                <w:bCs/>
              </w:rPr>
              <w:t>数量</w:t>
            </w:r>
          </w:p>
        </w:tc>
        <w:tc>
          <w:tcPr>
            <w:tcW w:w="934" w:type="dxa"/>
            <w:vMerge w:val="restart"/>
            <w:vAlign w:val="center"/>
          </w:tcPr>
          <w:p w14:paraId="1743A18D">
            <w:pPr>
              <w:spacing w:line="560" w:lineRule="exact"/>
              <w:jc w:val="center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方正书宋_GBK"/>
                <w:bCs/>
              </w:rPr>
              <w:t>单价</w:t>
            </w:r>
          </w:p>
        </w:tc>
        <w:tc>
          <w:tcPr>
            <w:tcW w:w="6322" w:type="dxa"/>
            <w:gridSpan w:val="7"/>
            <w:vAlign w:val="center"/>
          </w:tcPr>
          <w:p w14:paraId="7341326E">
            <w:pPr>
              <w:spacing w:line="560" w:lineRule="exact"/>
              <w:jc w:val="center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方正书宋_GBK"/>
                <w:bCs/>
              </w:rPr>
              <w:t>政府采购金额</w:t>
            </w:r>
          </w:p>
        </w:tc>
      </w:tr>
      <w:tr w14:paraId="2E61A2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476" w:type="dxa"/>
            <w:vMerge w:val="restart"/>
            <w:vAlign w:val="center"/>
          </w:tcPr>
          <w:p w14:paraId="4867184A">
            <w:pPr>
              <w:spacing w:line="560" w:lineRule="exact"/>
              <w:jc w:val="center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方正书宋_GBK"/>
                <w:bCs/>
              </w:rPr>
              <w:t>项目名称</w:t>
            </w:r>
          </w:p>
        </w:tc>
        <w:tc>
          <w:tcPr>
            <w:tcW w:w="1104" w:type="dxa"/>
            <w:vMerge w:val="restart"/>
            <w:vAlign w:val="center"/>
          </w:tcPr>
          <w:p w14:paraId="123C3673">
            <w:pPr>
              <w:spacing w:line="560" w:lineRule="exact"/>
              <w:jc w:val="center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方正书宋_GBK"/>
                <w:bCs/>
              </w:rPr>
              <w:t>预算资金</w:t>
            </w:r>
          </w:p>
        </w:tc>
        <w:tc>
          <w:tcPr>
            <w:tcW w:w="910" w:type="dxa"/>
            <w:vMerge w:val="continue"/>
            <w:vAlign w:val="center"/>
          </w:tcPr>
          <w:p w14:paraId="461ECCA8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1447" w:type="dxa"/>
            <w:vMerge w:val="continue"/>
            <w:vAlign w:val="center"/>
          </w:tcPr>
          <w:p w14:paraId="5241D7A9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3066F0EF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1DCEDCED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934" w:type="dxa"/>
            <w:vMerge w:val="continue"/>
            <w:vAlign w:val="center"/>
          </w:tcPr>
          <w:p w14:paraId="2609146C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931" w:type="dxa"/>
            <w:vMerge w:val="restart"/>
            <w:vAlign w:val="center"/>
          </w:tcPr>
          <w:p w14:paraId="5B45341C">
            <w:pPr>
              <w:spacing w:line="560" w:lineRule="exact"/>
              <w:jc w:val="center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方正书宋_GBK"/>
                <w:bCs/>
              </w:rPr>
              <w:t>总计</w:t>
            </w:r>
          </w:p>
        </w:tc>
        <w:tc>
          <w:tcPr>
            <w:tcW w:w="4535" w:type="dxa"/>
            <w:gridSpan w:val="5"/>
            <w:vAlign w:val="center"/>
          </w:tcPr>
          <w:p w14:paraId="3A2E013F">
            <w:pPr>
              <w:spacing w:line="560" w:lineRule="exact"/>
              <w:jc w:val="center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方正书宋_GBK"/>
                <w:bCs/>
              </w:rPr>
              <w:t>当年部门预算安排资金</w:t>
            </w:r>
          </w:p>
        </w:tc>
        <w:tc>
          <w:tcPr>
            <w:tcW w:w="856" w:type="dxa"/>
            <w:vMerge w:val="restart"/>
            <w:vAlign w:val="center"/>
          </w:tcPr>
          <w:p w14:paraId="0C738B0F">
            <w:pPr>
              <w:spacing w:line="560" w:lineRule="exact"/>
              <w:jc w:val="center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方正书宋_GBK"/>
                <w:bCs/>
              </w:rPr>
              <w:t>其他渠道资金</w:t>
            </w:r>
          </w:p>
        </w:tc>
      </w:tr>
      <w:tr w14:paraId="724EE3D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476" w:type="dxa"/>
            <w:vMerge w:val="continue"/>
            <w:vAlign w:val="center"/>
          </w:tcPr>
          <w:p w14:paraId="7C472032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1104" w:type="dxa"/>
            <w:vMerge w:val="continue"/>
            <w:vAlign w:val="center"/>
          </w:tcPr>
          <w:p w14:paraId="2CA9D628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3AF59016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1447" w:type="dxa"/>
            <w:vMerge w:val="continue"/>
            <w:vAlign w:val="center"/>
          </w:tcPr>
          <w:p w14:paraId="6A34A010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57D86CE7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910" w:type="dxa"/>
            <w:vMerge w:val="continue"/>
            <w:vAlign w:val="center"/>
          </w:tcPr>
          <w:p w14:paraId="379B3012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934" w:type="dxa"/>
            <w:vMerge w:val="continue"/>
            <w:vAlign w:val="center"/>
          </w:tcPr>
          <w:p w14:paraId="28FF6975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931" w:type="dxa"/>
            <w:vMerge w:val="continue"/>
            <w:vAlign w:val="center"/>
          </w:tcPr>
          <w:p w14:paraId="7A7E422C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931" w:type="dxa"/>
            <w:vAlign w:val="center"/>
          </w:tcPr>
          <w:p w14:paraId="045E497D">
            <w:pPr>
              <w:spacing w:line="560" w:lineRule="exact"/>
              <w:jc w:val="center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方正书宋_GBK"/>
                <w:bCs/>
              </w:rPr>
              <w:t>合计</w:t>
            </w:r>
          </w:p>
        </w:tc>
        <w:tc>
          <w:tcPr>
            <w:tcW w:w="931" w:type="dxa"/>
            <w:vAlign w:val="center"/>
          </w:tcPr>
          <w:p w14:paraId="0CD13C48">
            <w:pPr>
              <w:spacing w:line="560" w:lineRule="exact"/>
              <w:jc w:val="center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方正书宋_GBK"/>
                <w:bCs/>
              </w:rPr>
              <w:t>一般公共预算拨款</w:t>
            </w:r>
          </w:p>
        </w:tc>
        <w:tc>
          <w:tcPr>
            <w:tcW w:w="847" w:type="dxa"/>
            <w:vAlign w:val="center"/>
          </w:tcPr>
          <w:p w14:paraId="3F317A3F">
            <w:pPr>
              <w:spacing w:line="560" w:lineRule="exact"/>
              <w:jc w:val="center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方正书宋_GBK"/>
                <w:bCs/>
              </w:rPr>
              <w:t>基金预算拨款</w:t>
            </w:r>
          </w:p>
        </w:tc>
        <w:tc>
          <w:tcPr>
            <w:tcW w:w="913" w:type="dxa"/>
            <w:vAlign w:val="center"/>
          </w:tcPr>
          <w:p w14:paraId="510EA53E">
            <w:pPr>
              <w:spacing w:line="560" w:lineRule="exact"/>
              <w:jc w:val="center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方正书宋_GBK"/>
                <w:bCs/>
              </w:rPr>
              <w:t>财政专户核拨</w:t>
            </w:r>
          </w:p>
        </w:tc>
        <w:tc>
          <w:tcPr>
            <w:tcW w:w="913" w:type="dxa"/>
            <w:vAlign w:val="center"/>
          </w:tcPr>
          <w:p w14:paraId="7A546787">
            <w:pPr>
              <w:spacing w:line="560" w:lineRule="exact"/>
              <w:jc w:val="center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方正书宋_GBK"/>
                <w:bCs/>
              </w:rPr>
              <w:t>其他来源收入</w:t>
            </w:r>
          </w:p>
        </w:tc>
        <w:tc>
          <w:tcPr>
            <w:tcW w:w="856" w:type="dxa"/>
            <w:vMerge w:val="continue"/>
            <w:vAlign w:val="center"/>
          </w:tcPr>
          <w:p w14:paraId="03FD060F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</w:tr>
      <w:tr w14:paraId="358B94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76" w:type="dxa"/>
            <w:vAlign w:val="center"/>
          </w:tcPr>
          <w:p w14:paraId="7DC6B2A5">
            <w:pPr>
              <w:spacing w:line="560" w:lineRule="exact"/>
              <w:jc w:val="center"/>
              <w:rPr>
                <w:rFonts w:ascii="宋体" w:hAnsi="宋体" w:eastAsia="宋体" w:cs="Times New Roman"/>
                <w:bCs/>
              </w:rPr>
            </w:pPr>
          </w:p>
        </w:tc>
        <w:tc>
          <w:tcPr>
            <w:tcW w:w="1104" w:type="dxa"/>
            <w:vAlign w:val="center"/>
          </w:tcPr>
          <w:p w14:paraId="360BF359">
            <w:pPr>
              <w:spacing w:line="560" w:lineRule="exact"/>
              <w:jc w:val="right"/>
              <w:rPr>
                <w:rFonts w:ascii="宋体" w:hAnsi="宋体" w:eastAsia="宋体" w:cs="Times New Roman"/>
                <w:bCs/>
              </w:rPr>
            </w:pPr>
          </w:p>
        </w:tc>
        <w:tc>
          <w:tcPr>
            <w:tcW w:w="910" w:type="dxa"/>
            <w:vAlign w:val="center"/>
          </w:tcPr>
          <w:p w14:paraId="2DC026D6">
            <w:pPr>
              <w:spacing w:line="560" w:lineRule="exact"/>
              <w:jc w:val="left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Times New Roman"/>
                <w:bCs/>
              </w:rPr>
              <w:t>电脑</w:t>
            </w:r>
          </w:p>
        </w:tc>
        <w:tc>
          <w:tcPr>
            <w:tcW w:w="1447" w:type="dxa"/>
            <w:vAlign w:val="center"/>
          </w:tcPr>
          <w:p w14:paraId="69B0794E">
            <w:pPr>
              <w:spacing w:line="560" w:lineRule="exact"/>
              <w:jc w:val="left"/>
              <w:rPr>
                <w:rFonts w:ascii="宋体" w:hAnsi="宋体" w:eastAsia="宋体" w:cs="Times New Roman"/>
                <w:bCs/>
              </w:rPr>
            </w:pPr>
          </w:p>
        </w:tc>
        <w:tc>
          <w:tcPr>
            <w:tcW w:w="910" w:type="dxa"/>
            <w:vAlign w:val="center"/>
          </w:tcPr>
          <w:p w14:paraId="2DBD1E95">
            <w:pPr>
              <w:spacing w:line="560" w:lineRule="exact"/>
              <w:jc w:val="left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Times New Roman"/>
                <w:bCs/>
              </w:rPr>
              <w:t>台</w:t>
            </w:r>
          </w:p>
        </w:tc>
        <w:tc>
          <w:tcPr>
            <w:tcW w:w="910" w:type="dxa"/>
            <w:vAlign w:val="center"/>
          </w:tcPr>
          <w:p w14:paraId="6EC2D10E">
            <w:pPr>
              <w:spacing w:line="560" w:lineRule="exact"/>
              <w:jc w:val="right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Times New Roman"/>
                <w:bCs/>
              </w:rPr>
              <w:t>20</w:t>
            </w:r>
          </w:p>
        </w:tc>
        <w:tc>
          <w:tcPr>
            <w:tcW w:w="934" w:type="dxa"/>
            <w:vAlign w:val="center"/>
          </w:tcPr>
          <w:p w14:paraId="68B5968E">
            <w:pPr>
              <w:spacing w:line="560" w:lineRule="exact"/>
              <w:jc w:val="right"/>
              <w:rPr>
                <w:rFonts w:ascii="宋体" w:hAnsi="宋体" w:eastAsia="宋体" w:cs="Times New Roman"/>
                <w:bCs/>
              </w:rPr>
            </w:pPr>
          </w:p>
        </w:tc>
        <w:tc>
          <w:tcPr>
            <w:tcW w:w="931" w:type="dxa"/>
            <w:vAlign w:val="center"/>
          </w:tcPr>
          <w:p w14:paraId="15392140">
            <w:pPr>
              <w:spacing w:line="560" w:lineRule="exact"/>
              <w:jc w:val="right"/>
              <w:rPr>
                <w:rFonts w:ascii="宋体" w:hAnsi="宋体" w:eastAsia="宋体" w:cs="Times New Roman"/>
                <w:bCs/>
              </w:rPr>
            </w:pPr>
            <w:r>
              <w:rPr>
                <w:rFonts w:hint="eastAsia" w:ascii="宋体" w:hAnsi="宋体" w:eastAsia="宋体" w:cs="Times New Roman"/>
                <w:bCs/>
              </w:rPr>
              <w:t>0.35</w:t>
            </w:r>
          </w:p>
        </w:tc>
        <w:tc>
          <w:tcPr>
            <w:tcW w:w="931" w:type="dxa"/>
            <w:vAlign w:val="center"/>
          </w:tcPr>
          <w:p w14:paraId="52C90D4E">
            <w:pPr>
              <w:spacing w:line="560" w:lineRule="exact"/>
              <w:jc w:val="right"/>
              <w:rPr>
                <w:rFonts w:ascii="宋体" w:hAnsi="宋体" w:eastAsia="宋体" w:cs="Times New Roman"/>
                <w:bCs/>
              </w:rPr>
            </w:pPr>
          </w:p>
        </w:tc>
        <w:tc>
          <w:tcPr>
            <w:tcW w:w="931" w:type="dxa"/>
            <w:vAlign w:val="center"/>
          </w:tcPr>
          <w:p w14:paraId="3FE0FB28">
            <w:pPr>
              <w:spacing w:line="560" w:lineRule="exact"/>
              <w:jc w:val="right"/>
              <w:rPr>
                <w:rFonts w:ascii="宋体" w:hAnsi="宋体" w:eastAsia="宋体" w:cs="Times New Roman"/>
                <w:bCs/>
              </w:rPr>
            </w:pPr>
          </w:p>
        </w:tc>
        <w:tc>
          <w:tcPr>
            <w:tcW w:w="847" w:type="dxa"/>
            <w:vAlign w:val="center"/>
          </w:tcPr>
          <w:p w14:paraId="481FEB79">
            <w:pPr>
              <w:spacing w:line="560" w:lineRule="exact"/>
              <w:jc w:val="right"/>
              <w:rPr>
                <w:rFonts w:ascii="宋体" w:hAnsi="宋体" w:eastAsia="宋体" w:cs="Times New Roman"/>
                <w:bCs/>
              </w:rPr>
            </w:pPr>
          </w:p>
        </w:tc>
        <w:tc>
          <w:tcPr>
            <w:tcW w:w="913" w:type="dxa"/>
            <w:vAlign w:val="center"/>
          </w:tcPr>
          <w:p w14:paraId="51FF2067">
            <w:pPr>
              <w:spacing w:line="560" w:lineRule="exact"/>
              <w:jc w:val="right"/>
              <w:rPr>
                <w:rFonts w:ascii="宋体" w:hAnsi="宋体" w:eastAsia="宋体" w:cs="Times New Roman"/>
                <w:bCs/>
              </w:rPr>
            </w:pPr>
          </w:p>
        </w:tc>
        <w:tc>
          <w:tcPr>
            <w:tcW w:w="913" w:type="dxa"/>
            <w:vAlign w:val="center"/>
          </w:tcPr>
          <w:p w14:paraId="39384467">
            <w:pPr>
              <w:spacing w:line="560" w:lineRule="exact"/>
              <w:jc w:val="right"/>
              <w:rPr>
                <w:rFonts w:ascii="宋体" w:hAnsi="宋体" w:eastAsia="宋体" w:cs="Times New Roman"/>
                <w:bCs/>
              </w:rPr>
            </w:pPr>
          </w:p>
        </w:tc>
        <w:tc>
          <w:tcPr>
            <w:tcW w:w="856" w:type="dxa"/>
            <w:vAlign w:val="center"/>
          </w:tcPr>
          <w:p w14:paraId="1014C060">
            <w:pPr>
              <w:spacing w:line="560" w:lineRule="exact"/>
              <w:jc w:val="right"/>
              <w:rPr>
                <w:rFonts w:ascii="宋体" w:hAnsi="宋体" w:eastAsia="宋体" w:cs="Times New Roman"/>
                <w:bCs/>
              </w:rPr>
            </w:pPr>
          </w:p>
        </w:tc>
      </w:tr>
      <w:tr w14:paraId="19E7A17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76" w:type="dxa"/>
            <w:vAlign w:val="center"/>
          </w:tcPr>
          <w:p w14:paraId="6854860E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  <w:r>
              <w:rPr>
                <w:rFonts w:hint="eastAsia" w:ascii="Calibri" w:hAnsi="Calibri" w:eastAsia="仿宋_GB2312" w:cs="Calibri"/>
                <w:kern w:val="0"/>
                <w:sz w:val="32"/>
                <w:szCs w:val="32"/>
              </w:rPr>
              <w:br w:type="page"/>
            </w:r>
          </w:p>
        </w:tc>
        <w:tc>
          <w:tcPr>
            <w:tcW w:w="1104" w:type="dxa"/>
            <w:vAlign w:val="center"/>
          </w:tcPr>
          <w:p w14:paraId="24FF71A7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910" w:type="dxa"/>
            <w:vAlign w:val="center"/>
          </w:tcPr>
          <w:p w14:paraId="0A0DD812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新能源电动汽车</w:t>
            </w:r>
          </w:p>
        </w:tc>
        <w:tc>
          <w:tcPr>
            <w:tcW w:w="1447" w:type="dxa"/>
            <w:vAlign w:val="center"/>
          </w:tcPr>
          <w:p w14:paraId="348E7103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910" w:type="dxa"/>
            <w:vAlign w:val="center"/>
          </w:tcPr>
          <w:p w14:paraId="4811EBEC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辆</w:t>
            </w:r>
          </w:p>
        </w:tc>
        <w:tc>
          <w:tcPr>
            <w:tcW w:w="910" w:type="dxa"/>
            <w:vAlign w:val="center"/>
          </w:tcPr>
          <w:p w14:paraId="6D4C0F9F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1</w:t>
            </w:r>
          </w:p>
        </w:tc>
        <w:tc>
          <w:tcPr>
            <w:tcW w:w="934" w:type="dxa"/>
            <w:vAlign w:val="center"/>
          </w:tcPr>
          <w:p w14:paraId="14296DE8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20</w:t>
            </w:r>
          </w:p>
        </w:tc>
        <w:tc>
          <w:tcPr>
            <w:tcW w:w="931" w:type="dxa"/>
            <w:vAlign w:val="center"/>
          </w:tcPr>
          <w:p w14:paraId="68DF0073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20</w:t>
            </w:r>
          </w:p>
        </w:tc>
        <w:tc>
          <w:tcPr>
            <w:tcW w:w="931" w:type="dxa"/>
            <w:vAlign w:val="center"/>
          </w:tcPr>
          <w:p w14:paraId="787A54C6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931" w:type="dxa"/>
            <w:vAlign w:val="center"/>
          </w:tcPr>
          <w:p w14:paraId="18609FD7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847" w:type="dxa"/>
            <w:vAlign w:val="center"/>
          </w:tcPr>
          <w:p w14:paraId="75315CEB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913" w:type="dxa"/>
            <w:vAlign w:val="center"/>
          </w:tcPr>
          <w:p w14:paraId="10C7CAAD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913" w:type="dxa"/>
            <w:vAlign w:val="center"/>
          </w:tcPr>
          <w:p w14:paraId="7F856C5D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856" w:type="dxa"/>
            <w:vAlign w:val="center"/>
          </w:tcPr>
          <w:p w14:paraId="1ED70D53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</w:tr>
      <w:tr w14:paraId="74ACF6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76" w:type="dxa"/>
            <w:vAlign w:val="center"/>
          </w:tcPr>
          <w:p w14:paraId="5AA26820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1104" w:type="dxa"/>
            <w:vAlign w:val="center"/>
          </w:tcPr>
          <w:p w14:paraId="61DC0B3E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910" w:type="dxa"/>
            <w:vAlign w:val="center"/>
          </w:tcPr>
          <w:p w14:paraId="6CE66FE1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办公桌椅</w:t>
            </w:r>
          </w:p>
        </w:tc>
        <w:tc>
          <w:tcPr>
            <w:tcW w:w="1447" w:type="dxa"/>
            <w:vAlign w:val="center"/>
          </w:tcPr>
          <w:p w14:paraId="1DFC3BA2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910" w:type="dxa"/>
            <w:vAlign w:val="center"/>
          </w:tcPr>
          <w:p w14:paraId="71BCEAFB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套</w:t>
            </w:r>
          </w:p>
        </w:tc>
        <w:tc>
          <w:tcPr>
            <w:tcW w:w="910" w:type="dxa"/>
            <w:vAlign w:val="center"/>
          </w:tcPr>
          <w:p w14:paraId="770FD024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5</w:t>
            </w:r>
          </w:p>
        </w:tc>
        <w:tc>
          <w:tcPr>
            <w:tcW w:w="934" w:type="dxa"/>
            <w:vAlign w:val="center"/>
          </w:tcPr>
          <w:p w14:paraId="57826DCD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0.50</w:t>
            </w:r>
          </w:p>
        </w:tc>
        <w:tc>
          <w:tcPr>
            <w:tcW w:w="931" w:type="dxa"/>
            <w:vAlign w:val="center"/>
          </w:tcPr>
          <w:p w14:paraId="7403F397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</w:rPr>
              <w:t>2.50</w:t>
            </w:r>
          </w:p>
        </w:tc>
        <w:tc>
          <w:tcPr>
            <w:tcW w:w="931" w:type="dxa"/>
            <w:vAlign w:val="center"/>
          </w:tcPr>
          <w:p w14:paraId="2C207319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931" w:type="dxa"/>
            <w:vAlign w:val="center"/>
          </w:tcPr>
          <w:p w14:paraId="613A1011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847" w:type="dxa"/>
            <w:vAlign w:val="center"/>
          </w:tcPr>
          <w:p w14:paraId="61045F83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913" w:type="dxa"/>
            <w:vAlign w:val="center"/>
          </w:tcPr>
          <w:p w14:paraId="42EB64EE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913" w:type="dxa"/>
            <w:vAlign w:val="center"/>
          </w:tcPr>
          <w:p w14:paraId="0C372722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856" w:type="dxa"/>
            <w:vAlign w:val="center"/>
          </w:tcPr>
          <w:p w14:paraId="5350DC5A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</w:tr>
      <w:tr w14:paraId="0A43DE6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76" w:type="dxa"/>
            <w:vAlign w:val="center"/>
          </w:tcPr>
          <w:p w14:paraId="07D5256D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1104" w:type="dxa"/>
            <w:vAlign w:val="center"/>
          </w:tcPr>
          <w:p w14:paraId="7CFFB825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910" w:type="dxa"/>
            <w:vAlign w:val="center"/>
          </w:tcPr>
          <w:p w14:paraId="2D05232D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1447" w:type="dxa"/>
            <w:vAlign w:val="center"/>
          </w:tcPr>
          <w:p w14:paraId="493DEF87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910" w:type="dxa"/>
            <w:vAlign w:val="center"/>
          </w:tcPr>
          <w:p w14:paraId="0D3E51AB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910" w:type="dxa"/>
            <w:vAlign w:val="center"/>
          </w:tcPr>
          <w:p w14:paraId="5A9137B5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934" w:type="dxa"/>
            <w:vAlign w:val="center"/>
          </w:tcPr>
          <w:p w14:paraId="4D1731D4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931" w:type="dxa"/>
            <w:vAlign w:val="center"/>
          </w:tcPr>
          <w:p w14:paraId="2D7B27D7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931" w:type="dxa"/>
            <w:vAlign w:val="center"/>
          </w:tcPr>
          <w:p w14:paraId="3FFBDF88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931" w:type="dxa"/>
            <w:vAlign w:val="center"/>
          </w:tcPr>
          <w:p w14:paraId="37A256B3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847" w:type="dxa"/>
            <w:vAlign w:val="center"/>
          </w:tcPr>
          <w:p w14:paraId="5642A3DF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913" w:type="dxa"/>
            <w:vAlign w:val="center"/>
          </w:tcPr>
          <w:p w14:paraId="2887CEAF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913" w:type="dxa"/>
            <w:vAlign w:val="center"/>
          </w:tcPr>
          <w:p w14:paraId="6F9C602B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856" w:type="dxa"/>
            <w:vAlign w:val="center"/>
          </w:tcPr>
          <w:p w14:paraId="31070650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</w:tr>
    </w:tbl>
    <w:p w14:paraId="62A98A5D">
      <w:pPr>
        <w:widowControl/>
        <w:spacing w:line="360" w:lineRule="auto"/>
        <w:jc w:val="left"/>
        <w:rPr>
          <w:rFonts w:ascii="Calibri" w:hAnsi="Calibri" w:eastAsia="仿宋_GB2312" w:cs="Calibri"/>
          <w:b/>
          <w:kern w:val="0"/>
          <w:sz w:val="32"/>
          <w:szCs w:val="32"/>
        </w:rPr>
      </w:pPr>
    </w:p>
    <w:p w14:paraId="04C47ECB">
      <w:pPr>
        <w:autoSpaceDE w:val="0"/>
        <w:autoSpaceDN w:val="0"/>
        <w:adjustRightInd w:val="0"/>
        <w:spacing w:line="560" w:lineRule="exact"/>
        <w:ind w:left="198" w:firstLine="640" w:firstLineChars="200"/>
        <w:jc w:val="left"/>
        <w:rPr>
          <w:rFonts w:ascii="楷体" w:hAnsi="楷体" w:eastAsia="楷体" w:cs="Times New Roman"/>
          <w:b/>
          <w:sz w:val="32"/>
          <w:szCs w:val="32"/>
        </w:rPr>
      </w:pPr>
      <w:r>
        <w:rPr>
          <w:rFonts w:hint="eastAsia" w:ascii="楷体" w:hAnsi="楷体" w:eastAsia="楷体" w:cs="黑体"/>
          <w:b/>
          <w:sz w:val="32"/>
          <w:szCs w:val="32"/>
        </w:rPr>
        <w:t>七、国有资产信息</w:t>
      </w:r>
    </w:p>
    <w:p w14:paraId="61A4F35C">
      <w:pPr>
        <w:spacing w:line="560" w:lineRule="exact"/>
        <w:ind w:firstLine="64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仿宋_GB2312"/>
          <w:sz w:val="30"/>
          <w:szCs w:val="30"/>
        </w:rPr>
        <w:t>截止年末固定资产金额为111.60万元，本年度拟购置固定资产主要为计算机设备、打印设备、视频设备、专用设备等，已列入政府采购预算。详见下表。</w:t>
      </w:r>
    </w:p>
    <w:tbl>
      <w:tblPr>
        <w:tblStyle w:val="7"/>
        <w:tblW w:w="15118" w:type="dxa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9"/>
        <w:gridCol w:w="7559"/>
      </w:tblGrid>
      <w:tr w14:paraId="3A2846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55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7"/>
              <w:tblpPr w:leftFromText="180" w:rightFromText="180" w:vertAnchor="text" w:horzAnchor="page" w:tblpX="4230" w:tblpY="1178"/>
              <w:tblOverlap w:val="never"/>
              <w:tblW w:w="7343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354"/>
              <w:gridCol w:w="693"/>
              <w:gridCol w:w="3296"/>
            </w:tblGrid>
            <w:tr w14:paraId="7CDB3848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05" w:hRule="atLeast"/>
              </w:trPr>
              <w:tc>
                <w:tcPr>
                  <w:tcW w:w="734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B10A8AB">
                  <w:pPr>
                    <w:widowControl/>
                    <w:jc w:val="left"/>
                    <w:rPr>
                      <w:rFonts w:ascii="仿宋" w:hAnsi="仿宋" w:eastAsia="仿宋" w:cs="Times New Roman"/>
                      <w:b/>
                      <w:bCs/>
                      <w:kern w:val="0"/>
                      <w:sz w:val="32"/>
                      <w:szCs w:val="32"/>
                    </w:rPr>
                  </w:pPr>
                </w:p>
                <w:p w14:paraId="4DB9AD2C">
                  <w:pPr>
                    <w:widowControl/>
                    <w:ind w:firstLine="3520" w:firstLineChars="1100"/>
                    <w:jc w:val="left"/>
                    <w:rPr>
                      <w:rFonts w:ascii="仿宋" w:hAnsi="仿宋" w:eastAsia="仿宋" w:cs="Times New Roman"/>
                      <w:bCs/>
                      <w:kern w:val="0"/>
                      <w:sz w:val="32"/>
                      <w:szCs w:val="32"/>
                    </w:rPr>
                  </w:pPr>
                  <w:r>
                    <w:rPr>
                      <w:rFonts w:hint="eastAsia" w:ascii="仿宋" w:hAnsi="仿宋" w:eastAsia="仿宋" w:cs="宋体"/>
                      <w:bCs/>
                      <w:kern w:val="0"/>
                      <w:sz w:val="32"/>
                      <w:szCs w:val="32"/>
                    </w:rPr>
                    <w:t>部门固定资产占用情况表</w:t>
                  </w:r>
                </w:p>
              </w:tc>
            </w:tr>
            <w:tr w14:paraId="07D1F3EB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404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E08C9B1">
                  <w:pPr>
                    <w:widowControl/>
                    <w:jc w:val="left"/>
                    <w:rPr>
                      <w:rFonts w:ascii="仿宋" w:hAnsi="仿宋" w:eastAsia="仿宋" w:cs="Times New Roman"/>
                      <w:kern w:val="0"/>
                      <w:sz w:val="22"/>
                    </w:rPr>
                  </w:pPr>
                  <w:r>
                    <w:rPr>
                      <w:rFonts w:hint="eastAsia" w:ascii="仿宋" w:hAnsi="仿宋" w:eastAsia="仿宋" w:cs="宋体"/>
                      <w:kern w:val="0"/>
                      <w:sz w:val="22"/>
                    </w:rPr>
                    <w:t>编制部门：成安县工业和信息化局</w:t>
                  </w:r>
                </w:p>
              </w:tc>
              <w:tc>
                <w:tcPr>
                  <w:tcW w:w="329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8811012">
                  <w:pPr>
                    <w:widowControl/>
                    <w:ind w:firstLine="550" w:firstLineChars="250"/>
                    <w:jc w:val="left"/>
                    <w:rPr>
                      <w:rFonts w:ascii="仿宋" w:hAnsi="仿宋" w:eastAsia="仿宋" w:cs="宋体"/>
                      <w:kern w:val="0"/>
                      <w:sz w:val="22"/>
                    </w:rPr>
                  </w:pPr>
                  <w:r>
                    <w:rPr>
                      <w:rFonts w:hint="eastAsia" w:ascii="仿宋" w:hAnsi="仿宋" w:eastAsia="仿宋" w:cs="宋体"/>
                      <w:kern w:val="0"/>
                      <w:sz w:val="22"/>
                    </w:rPr>
                    <w:t>截止时间：</w:t>
                  </w:r>
                  <w:r>
                    <w:rPr>
                      <w:rFonts w:ascii="仿宋" w:hAnsi="仿宋" w:eastAsia="仿宋" w:cs="宋体"/>
                      <w:kern w:val="0"/>
                      <w:sz w:val="22"/>
                    </w:rPr>
                    <w:t>2016</w:t>
                  </w:r>
                  <w:r>
                    <w:rPr>
                      <w:rFonts w:hint="eastAsia" w:ascii="仿宋" w:hAnsi="仿宋" w:eastAsia="仿宋" w:cs="宋体"/>
                      <w:kern w:val="0"/>
                      <w:sz w:val="22"/>
                    </w:rPr>
                    <w:t>年</w:t>
                  </w:r>
                  <w:r>
                    <w:rPr>
                      <w:rFonts w:ascii="仿宋" w:hAnsi="仿宋" w:eastAsia="仿宋" w:cs="宋体"/>
                      <w:kern w:val="0"/>
                      <w:sz w:val="22"/>
                    </w:rPr>
                    <w:t>12</w:t>
                  </w:r>
                  <w:r>
                    <w:rPr>
                      <w:rFonts w:hint="eastAsia" w:ascii="仿宋" w:hAnsi="仿宋" w:eastAsia="仿宋" w:cs="宋体"/>
                      <w:kern w:val="0"/>
                      <w:sz w:val="22"/>
                    </w:rPr>
                    <w:t>月</w:t>
                  </w:r>
                  <w:r>
                    <w:rPr>
                      <w:rFonts w:ascii="仿宋" w:hAnsi="仿宋" w:eastAsia="仿宋" w:cs="宋体"/>
                      <w:kern w:val="0"/>
                      <w:sz w:val="22"/>
                    </w:rPr>
                    <w:t>31</w:t>
                  </w:r>
                  <w:r>
                    <w:rPr>
                      <w:rFonts w:hint="eastAsia" w:ascii="仿宋" w:hAnsi="仿宋" w:eastAsia="仿宋" w:cs="宋体"/>
                      <w:kern w:val="0"/>
                      <w:sz w:val="22"/>
                    </w:rPr>
                    <w:t>日</w:t>
                  </w:r>
                </w:p>
              </w:tc>
            </w:tr>
            <w:tr w14:paraId="33D306BA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45" w:hRule="atLeast"/>
              </w:trPr>
              <w:tc>
                <w:tcPr>
                  <w:tcW w:w="33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24455F27">
                  <w:pPr>
                    <w:widowControl/>
                    <w:jc w:val="left"/>
                    <w:rPr>
                      <w:rFonts w:ascii="仿宋" w:hAnsi="仿宋" w:eastAsia="仿宋" w:cs="Times New Roman"/>
                      <w:b/>
                      <w:bCs/>
                      <w:kern w:val="0"/>
                      <w:sz w:val="22"/>
                    </w:rPr>
                  </w:pPr>
                  <w:r>
                    <w:rPr>
                      <w:rFonts w:hint="eastAsia" w:ascii="仿宋" w:hAnsi="仿宋" w:eastAsia="仿宋" w:cs="宋体"/>
                      <w:b/>
                      <w:bCs/>
                      <w:kern w:val="0"/>
                      <w:sz w:val="22"/>
                    </w:rPr>
                    <w:t>项</w:t>
                  </w:r>
                  <w:r>
                    <w:rPr>
                      <w:rFonts w:ascii="仿宋" w:hAnsi="仿宋" w:eastAsia="仿宋" w:cs="宋体"/>
                      <w:b/>
                      <w:bCs/>
                      <w:kern w:val="0"/>
                      <w:sz w:val="22"/>
                    </w:rPr>
                    <w:t xml:space="preserve">   </w:t>
                  </w:r>
                  <w:r>
                    <w:rPr>
                      <w:rFonts w:hint="eastAsia" w:ascii="仿宋" w:hAnsi="仿宋" w:eastAsia="仿宋" w:cs="宋体"/>
                      <w:b/>
                      <w:bCs/>
                      <w:kern w:val="0"/>
                      <w:sz w:val="22"/>
                    </w:rPr>
                    <w:t>目</w:t>
                  </w:r>
                </w:p>
              </w:tc>
              <w:tc>
                <w:tcPr>
                  <w:tcW w:w="69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0C31BE39">
                  <w:pPr>
                    <w:widowControl/>
                    <w:jc w:val="left"/>
                    <w:rPr>
                      <w:rFonts w:ascii="仿宋" w:hAnsi="仿宋" w:eastAsia="仿宋" w:cs="Times New Roman"/>
                      <w:b/>
                      <w:bCs/>
                      <w:kern w:val="0"/>
                      <w:sz w:val="22"/>
                    </w:rPr>
                  </w:pPr>
                  <w:r>
                    <w:rPr>
                      <w:rFonts w:hint="eastAsia" w:ascii="仿宋" w:hAnsi="仿宋" w:eastAsia="仿宋" w:cs="宋体"/>
                      <w:b/>
                      <w:bCs/>
                      <w:kern w:val="0"/>
                      <w:sz w:val="22"/>
                    </w:rPr>
                    <w:t>数量</w:t>
                  </w:r>
                </w:p>
              </w:tc>
              <w:tc>
                <w:tcPr>
                  <w:tcW w:w="3296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016C9278">
                  <w:pPr>
                    <w:widowControl/>
                    <w:jc w:val="left"/>
                    <w:rPr>
                      <w:rFonts w:ascii="仿宋" w:hAnsi="仿宋" w:eastAsia="仿宋" w:cs="Times New Roman"/>
                      <w:b/>
                      <w:bCs/>
                      <w:kern w:val="0"/>
                      <w:sz w:val="22"/>
                    </w:rPr>
                  </w:pPr>
                  <w:r>
                    <w:rPr>
                      <w:rFonts w:hint="eastAsia" w:ascii="仿宋" w:hAnsi="仿宋" w:eastAsia="仿宋" w:cs="宋体"/>
                      <w:b/>
                      <w:bCs/>
                      <w:kern w:val="0"/>
                      <w:sz w:val="22"/>
                    </w:rPr>
                    <w:t>价值（金额单位：万元）</w:t>
                  </w:r>
                </w:p>
              </w:tc>
            </w:tr>
            <w:tr w14:paraId="7BEA5F23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45" w:hRule="atLeast"/>
              </w:trPr>
              <w:tc>
                <w:tcPr>
                  <w:tcW w:w="3354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335C777C">
                  <w:pPr>
                    <w:widowControl/>
                    <w:jc w:val="left"/>
                    <w:rPr>
                      <w:rFonts w:ascii="仿宋" w:hAnsi="仿宋" w:eastAsia="仿宋" w:cs="Times New Roman"/>
                      <w:kern w:val="0"/>
                      <w:sz w:val="22"/>
                    </w:rPr>
                  </w:pPr>
                  <w:r>
                    <w:rPr>
                      <w:rFonts w:hint="eastAsia" w:ascii="仿宋" w:hAnsi="仿宋" w:eastAsia="仿宋" w:cs="宋体"/>
                      <w:kern w:val="0"/>
                      <w:sz w:val="22"/>
                    </w:rPr>
                    <w:t>资产总额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156FBDE0">
                  <w:pPr>
                    <w:widowControl/>
                    <w:jc w:val="left"/>
                    <w:rPr>
                      <w:rFonts w:ascii="仿宋" w:hAnsi="仿宋" w:eastAsia="仿宋" w:cs="宋体"/>
                      <w:kern w:val="0"/>
                      <w:sz w:val="22"/>
                    </w:rPr>
                  </w:pPr>
                  <w:r>
                    <w:rPr>
                      <w:rFonts w:ascii="仿宋" w:hAnsi="仿宋" w:eastAsia="仿宋" w:cs="宋体"/>
                      <w:kern w:val="0"/>
                      <w:sz w:val="22"/>
                    </w:rPr>
                    <w:t>——</w:t>
                  </w:r>
                </w:p>
              </w:tc>
              <w:tc>
                <w:tcPr>
                  <w:tcW w:w="3296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702F2775">
                  <w:pPr>
                    <w:widowControl/>
                    <w:jc w:val="center"/>
                    <w:rPr>
                      <w:rFonts w:ascii="仿宋" w:hAnsi="仿宋" w:eastAsia="仿宋" w:cs="宋体"/>
                      <w:kern w:val="0"/>
                      <w:sz w:val="22"/>
                    </w:rPr>
                  </w:pPr>
                  <w:r>
                    <w:rPr>
                      <w:rFonts w:hint="eastAsia" w:ascii="仿宋" w:hAnsi="仿宋" w:eastAsia="仿宋" w:cs="宋体"/>
                      <w:kern w:val="0"/>
                      <w:sz w:val="22"/>
                    </w:rPr>
                    <w:t>111.60</w:t>
                  </w:r>
                </w:p>
              </w:tc>
            </w:tr>
            <w:tr w14:paraId="57C3E2F5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45" w:hRule="atLeast"/>
              </w:trPr>
              <w:tc>
                <w:tcPr>
                  <w:tcW w:w="3354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1D355C42">
                  <w:pPr>
                    <w:widowControl/>
                    <w:jc w:val="left"/>
                    <w:rPr>
                      <w:rFonts w:ascii="仿宋" w:hAnsi="仿宋" w:eastAsia="仿宋" w:cs="Times New Roman"/>
                      <w:kern w:val="0"/>
                      <w:sz w:val="22"/>
                    </w:rPr>
                  </w:pPr>
                  <w:r>
                    <w:rPr>
                      <w:rFonts w:ascii="仿宋" w:hAnsi="仿宋" w:eastAsia="仿宋" w:cs="宋体"/>
                      <w:kern w:val="0"/>
                      <w:sz w:val="22"/>
                    </w:rPr>
                    <w:t>1</w:t>
                  </w:r>
                  <w:r>
                    <w:rPr>
                      <w:rFonts w:hint="eastAsia" w:ascii="仿宋" w:hAnsi="仿宋" w:eastAsia="仿宋" w:cs="宋体"/>
                      <w:kern w:val="0"/>
                      <w:sz w:val="22"/>
                    </w:rPr>
                    <w:t>、房屋（平方米）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04B1BFFF">
                  <w:pPr>
                    <w:widowControl/>
                    <w:jc w:val="left"/>
                    <w:rPr>
                      <w:rFonts w:ascii="仿宋" w:hAnsi="仿宋" w:eastAsia="仿宋" w:cs="Times New Roman"/>
                      <w:kern w:val="0"/>
                      <w:sz w:val="22"/>
                    </w:rPr>
                  </w:pPr>
                  <w:r>
                    <w:rPr>
                      <w:rFonts w:hint="eastAsia" w:ascii="仿宋" w:hAnsi="仿宋" w:eastAsia="仿宋" w:cs="Times New Roman"/>
                      <w:kern w:val="0"/>
                      <w:sz w:val="22"/>
                    </w:rPr>
                    <w:t>260</w:t>
                  </w:r>
                </w:p>
              </w:tc>
              <w:tc>
                <w:tcPr>
                  <w:tcW w:w="3296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20532AA6">
                  <w:pPr>
                    <w:widowControl/>
                    <w:rPr>
                      <w:rFonts w:ascii="仿宋" w:hAnsi="仿宋" w:eastAsia="仿宋" w:cs="Times New Roman"/>
                      <w:kern w:val="0"/>
                      <w:sz w:val="22"/>
                    </w:rPr>
                  </w:pPr>
                  <w:r>
                    <w:rPr>
                      <w:rFonts w:hint="eastAsia" w:ascii="仿宋" w:hAnsi="仿宋" w:eastAsia="仿宋" w:cs="Times New Roman"/>
                      <w:kern w:val="0"/>
                      <w:sz w:val="22"/>
                    </w:rPr>
                    <w:t xml:space="preserve">             59.8</w:t>
                  </w:r>
                </w:p>
              </w:tc>
            </w:tr>
            <w:tr w14:paraId="3D24B08C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45" w:hRule="atLeast"/>
              </w:trPr>
              <w:tc>
                <w:tcPr>
                  <w:tcW w:w="3354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32E0D126">
                  <w:pPr>
                    <w:widowControl/>
                    <w:jc w:val="left"/>
                    <w:rPr>
                      <w:rFonts w:ascii="仿宋" w:hAnsi="仿宋" w:eastAsia="仿宋" w:cs="Times New Roman"/>
                      <w:kern w:val="0"/>
                      <w:sz w:val="22"/>
                    </w:rPr>
                  </w:pPr>
                  <w:r>
                    <w:rPr>
                      <w:rFonts w:hint="eastAsia" w:ascii="仿宋" w:hAnsi="仿宋" w:eastAsia="仿宋" w:cs="宋体"/>
                      <w:kern w:val="0"/>
                      <w:sz w:val="22"/>
                    </w:rPr>
                    <w:t>其中：办公用房（平方米）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4D9AEAE2">
                  <w:pPr>
                    <w:widowControl/>
                    <w:jc w:val="left"/>
                    <w:rPr>
                      <w:rFonts w:ascii="仿宋" w:hAnsi="仿宋" w:eastAsia="仿宋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3296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3F3BC38C">
                  <w:pPr>
                    <w:widowControl/>
                    <w:jc w:val="center"/>
                    <w:rPr>
                      <w:rFonts w:ascii="仿宋" w:hAnsi="仿宋" w:eastAsia="仿宋" w:cs="Times New Roman"/>
                      <w:kern w:val="0"/>
                      <w:sz w:val="22"/>
                    </w:rPr>
                  </w:pPr>
                  <w:r>
                    <w:rPr>
                      <w:rFonts w:hint="eastAsia" w:ascii="仿宋" w:hAnsi="仿宋" w:eastAsia="仿宋" w:cs="Times New Roman"/>
                      <w:kern w:val="0"/>
                      <w:sz w:val="22"/>
                    </w:rPr>
                    <w:t>45</w:t>
                  </w:r>
                </w:p>
              </w:tc>
            </w:tr>
            <w:tr w14:paraId="3107A2AE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45" w:hRule="atLeast"/>
              </w:trPr>
              <w:tc>
                <w:tcPr>
                  <w:tcW w:w="3354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46FCF001">
                  <w:pPr>
                    <w:widowControl/>
                    <w:jc w:val="left"/>
                    <w:rPr>
                      <w:rFonts w:ascii="仿宋" w:hAnsi="仿宋" w:eastAsia="仿宋" w:cs="Times New Roman"/>
                      <w:kern w:val="0"/>
                      <w:sz w:val="22"/>
                    </w:rPr>
                  </w:pPr>
                  <w:r>
                    <w:rPr>
                      <w:rFonts w:ascii="仿宋" w:hAnsi="仿宋" w:eastAsia="仿宋" w:cs="宋体"/>
                      <w:kern w:val="0"/>
                      <w:sz w:val="22"/>
                    </w:rPr>
                    <w:t>2</w:t>
                  </w:r>
                  <w:r>
                    <w:rPr>
                      <w:rFonts w:hint="eastAsia" w:ascii="仿宋" w:hAnsi="仿宋" w:eastAsia="仿宋" w:cs="宋体"/>
                      <w:kern w:val="0"/>
                      <w:sz w:val="22"/>
                    </w:rPr>
                    <w:t>、车辆（台、辆）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74A96375">
                  <w:pPr>
                    <w:widowControl/>
                    <w:jc w:val="left"/>
                    <w:rPr>
                      <w:rFonts w:ascii="仿宋" w:hAnsi="仿宋" w:eastAsia="仿宋" w:cs="Times New Roman"/>
                      <w:kern w:val="0"/>
                      <w:sz w:val="22"/>
                    </w:rPr>
                  </w:pPr>
                  <w:r>
                    <w:rPr>
                      <w:rFonts w:hint="eastAsia" w:ascii="仿宋" w:hAnsi="仿宋" w:eastAsia="仿宋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3296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33015686">
                  <w:pPr>
                    <w:widowControl/>
                    <w:jc w:val="center"/>
                    <w:rPr>
                      <w:rFonts w:ascii="仿宋" w:hAnsi="仿宋" w:eastAsia="仿宋" w:cs="Times New Roman"/>
                      <w:kern w:val="0"/>
                      <w:sz w:val="22"/>
                    </w:rPr>
                  </w:pPr>
                  <w:r>
                    <w:rPr>
                      <w:rFonts w:hint="eastAsia" w:ascii="仿宋" w:hAnsi="仿宋" w:eastAsia="仿宋" w:cs="Times New Roman"/>
                      <w:kern w:val="0"/>
                      <w:sz w:val="22"/>
                    </w:rPr>
                    <w:t>15</w:t>
                  </w:r>
                </w:p>
              </w:tc>
            </w:tr>
            <w:tr w14:paraId="6379FBAE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45" w:hRule="atLeast"/>
              </w:trPr>
              <w:tc>
                <w:tcPr>
                  <w:tcW w:w="3354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26A8A1EC">
                  <w:pPr>
                    <w:widowControl/>
                    <w:jc w:val="left"/>
                    <w:rPr>
                      <w:rFonts w:ascii="仿宋" w:hAnsi="仿宋" w:eastAsia="仿宋" w:cs="Times New Roman"/>
                      <w:kern w:val="0"/>
                      <w:sz w:val="22"/>
                    </w:rPr>
                  </w:pPr>
                  <w:r>
                    <w:rPr>
                      <w:rFonts w:ascii="仿宋" w:hAnsi="仿宋" w:eastAsia="仿宋" w:cs="宋体"/>
                      <w:kern w:val="0"/>
                      <w:sz w:val="22"/>
                    </w:rPr>
                    <w:t>3</w:t>
                  </w:r>
                  <w:r>
                    <w:rPr>
                      <w:rFonts w:hint="eastAsia" w:ascii="仿宋" w:hAnsi="仿宋" w:eastAsia="仿宋" w:cs="宋体"/>
                      <w:kern w:val="0"/>
                      <w:sz w:val="22"/>
                    </w:rPr>
                    <w:t>、单价在</w:t>
                  </w:r>
                  <w:r>
                    <w:rPr>
                      <w:rFonts w:ascii="仿宋" w:hAnsi="仿宋" w:eastAsia="仿宋" w:cs="宋体"/>
                      <w:kern w:val="0"/>
                      <w:sz w:val="22"/>
                    </w:rPr>
                    <w:t>50</w:t>
                  </w:r>
                  <w:r>
                    <w:rPr>
                      <w:rFonts w:hint="eastAsia" w:ascii="仿宋" w:hAnsi="仿宋" w:eastAsia="仿宋" w:cs="宋体"/>
                      <w:kern w:val="0"/>
                      <w:sz w:val="22"/>
                    </w:rPr>
                    <w:t>万元以上的设备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58BC30BE">
                  <w:pPr>
                    <w:widowControl/>
                    <w:jc w:val="left"/>
                    <w:rPr>
                      <w:rFonts w:ascii="仿宋" w:hAnsi="仿宋" w:eastAsia="仿宋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3296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0FD555DF">
                  <w:pPr>
                    <w:widowControl/>
                    <w:jc w:val="center"/>
                    <w:rPr>
                      <w:rFonts w:ascii="仿宋" w:hAnsi="仿宋" w:eastAsia="仿宋" w:cs="Times New Roman"/>
                      <w:kern w:val="0"/>
                      <w:sz w:val="22"/>
                    </w:rPr>
                  </w:pPr>
                </w:p>
              </w:tc>
            </w:tr>
            <w:tr w14:paraId="024360CE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45" w:hRule="atLeast"/>
              </w:trPr>
              <w:tc>
                <w:tcPr>
                  <w:tcW w:w="3354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5A813260">
                  <w:pPr>
                    <w:widowControl/>
                    <w:jc w:val="left"/>
                    <w:rPr>
                      <w:rFonts w:ascii="仿宋" w:hAnsi="仿宋" w:eastAsia="仿宋" w:cs="Times New Roman"/>
                      <w:kern w:val="0"/>
                      <w:sz w:val="22"/>
                    </w:rPr>
                  </w:pPr>
                  <w:r>
                    <w:rPr>
                      <w:rFonts w:ascii="仿宋" w:hAnsi="仿宋" w:eastAsia="仿宋" w:cs="宋体"/>
                      <w:kern w:val="0"/>
                      <w:sz w:val="22"/>
                    </w:rPr>
                    <w:t>4</w:t>
                  </w:r>
                  <w:r>
                    <w:rPr>
                      <w:rFonts w:hint="eastAsia" w:ascii="仿宋" w:hAnsi="仿宋" w:eastAsia="仿宋" w:cs="宋体"/>
                      <w:kern w:val="0"/>
                      <w:sz w:val="22"/>
                    </w:rPr>
                    <w:t>、其他固定资产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75A1551A">
                  <w:pPr>
                    <w:widowControl/>
                    <w:jc w:val="left"/>
                    <w:rPr>
                      <w:rFonts w:ascii="仿宋" w:hAnsi="仿宋" w:eastAsia="仿宋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3296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045200BD">
                  <w:pPr>
                    <w:widowControl/>
                    <w:jc w:val="center"/>
                    <w:rPr>
                      <w:rFonts w:ascii="仿宋" w:hAnsi="仿宋" w:eastAsia="仿宋" w:cs="Times New Roman"/>
                      <w:kern w:val="0"/>
                      <w:sz w:val="22"/>
                    </w:rPr>
                  </w:pPr>
                  <w:r>
                    <w:rPr>
                      <w:rFonts w:hint="eastAsia" w:ascii="仿宋" w:hAnsi="仿宋" w:eastAsia="仿宋" w:cs="Times New Roman"/>
                      <w:kern w:val="0"/>
                      <w:sz w:val="22"/>
                    </w:rPr>
                    <w:t>36.8</w:t>
                  </w:r>
                </w:p>
              </w:tc>
            </w:tr>
          </w:tbl>
          <w:p w14:paraId="20107031">
            <w:pPr>
              <w:autoSpaceDE w:val="0"/>
              <w:autoSpaceDN w:val="0"/>
              <w:adjustRightInd w:val="0"/>
              <w:ind w:left="198" w:firstLine="640" w:firstLineChars="200"/>
              <w:jc w:val="left"/>
              <w:rPr>
                <w:rFonts w:ascii="仿宋" w:hAnsi="仿宋" w:eastAsia="仿宋" w:cs="Times New Roman"/>
                <w:sz w:val="32"/>
                <w:szCs w:val="32"/>
              </w:rPr>
            </w:pPr>
          </w:p>
          <w:p w14:paraId="65043F34">
            <w:pPr>
              <w:widowControl/>
              <w:ind w:firstLine="2064" w:firstLineChars="645"/>
              <w:jc w:val="left"/>
              <w:rPr>
                <w:rFonts w:ascii="仿宋" w:hAnsi="仿宋" w:eastAsia="仿宋" w:cs="Times New Roman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F116E1">
            <w:pPr>
              <w:widowControl/>
              <w:jc w:val="left"/>
              <w:rPr>
                <w:rFonts w:ascii="仿宋" w:hAnsi="仿宋" w:eastAsia="仿宋" w:cs="宋体"/>
                <w:b/>
                <w:bCs/>
                <w:kern w:val="0"/>
                <w:sz w:val="32"/>
                <w:szCs w:val="32"/>
              </w:rPr>
            </w:pPr>
          </w:p>
          <w:p w14:paraId="3DC1D02F">
            <w:pPr>
              <w:widowControl/>
              <w:jc w:val="left"/>
              <w:rPr>
                <w:rFonts w:ascii="仿宋" w:hAnsi="仿宋" w:eastAsia="仿宋" w:cs="宋体"/>
                <w:b/>
                <w:bCs/>
                <w:kern w:val="0"/>
                <w:sz w:val="32"/>
                <w:szCs w:val="32"/>
              </w:rPr>
            </w:pPr>
          </w:p>
          <w:p w14:paraId="3B6EF031">
            <w:pPr>
              <w:widowControl/>
              <w:ind w:firstLine="4784" w:firstLineChars="1495"/>
              <w:jc w:val="left"/>
              <w:rPr>
                <w:rFonts w:ascii="仿宋" w:hAnsi="仿宋" w:eastAsia="仿宋" w:cs="Times New Roman"/>
                <w:b/>
                <w:bCs/>
                <w:kern w:val="0"/>
                <w:sz w:val="32"/>
                <w:szCs w:val="32"/>
              </w:rPr>
            </w:pPr>
          </w:p>
        </w:tc>
      </w:tr>
    </w:tbl>
    <w:p w14:paraId="20C18124">
      <w:pPr>
        <w:widowControl/>
        <w:spacing w:line="360" w:lineRule="auto"/>
        <w:ind w:firstLine="640" w:firstLineChars="200"/>
        <w:jc w:val="left"/>
        <w:rPr>
          <w:rFonts w:ascii="Calibri" w:hAnsi="Calibri" w:eastAsia="仿宋_GB2312" w:cs="Calibri"/>
          <w:b/>
          <w:kern w:val="0"/>
          <w:sz w:val="32"/>
          <w:szCs w:val="32"/>
        </w:rPr>
      </w:pPr>
    </w:p>
    <w:p w14:paraId="65B34878">
      <w:pPr>
        <w:widowControl/>
        <w:spacing w:line="360" w:lineRule="auto"/>
        <w:ind w:firstLine="640" w:firstLineChars="200"/>
        <w:jc w:val="left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八</w:t>
      </w:r>
      <w:r>
        <w:rPr>
          <w:rFonts w:hint="eastAsia" w:ascii="楷体" w:hAnsi="楷体" w:eastAsia="楷体" w:cs="仿宋_GB2312"/>
          <w:b/>
          <w:kern w:val="0"/>
          <w:sz w:val="32"/>
          <w:szCs w:val="32"/>
        </w:rPr>
        <w:t>、</w:t>
      </w:r>
      <w:r>
        <w:rPr>
          <w:rFonts w:hint="eastAsia" w:ascii="楷体" w:hAnsi="楷体" w:eastAsia="楷体" w:cs="仿宋"/>
          <w:b/>
          <w:kern w:val="0"/>
          <w:sz w:val="32"/>
          <w:szCs w:val="32"/>
        </w:rPr>
        <w:t>名词解释</w:t>
      </w:r>
      <w:r>
        <w:rPr>
          <w:rFonts w:hint="eastAsia" w:ascii="仿宋" w:hAnsi="仿宋" w:eastAsia="仿宋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kern w:val="0"/>
          <w:sz w:val="32"/>
          <w:szCs w:val="32"/>
        </w:rPr>
        <w:t> 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1、财政拨款收入：指</w:t>
      </w:r>
      <w:r>
        <w:rPr>
          <w:rFonts w:hint="eastAsia" w:ascii="仿宋" w:hAnsi="仿宋" w:eastAsia="仿宋" w:cs="仿宋"/>
          <w:kern w:val="0"/>
          <w:sz w:val="32"/>
          <w:szCs w:val="32"/>
        </w:rPr>
        <w:t>财政当年拨付的资金。2、“三公”经费：包括因公出国（境）费、公务接待费和公务用车购置及运行费。因公出国（境）费，指单位工作人员公务出国（境）的住宿费、差旅费、伙食补助费、杂费、培训费等支出。公务接待费，指单位按规定开支的各类公务接待（含外宾接待）支出。公务用车购置及运行费，指单位公务用车购置费及租用费、燃料费、维修费、等支出，公务用车指用于履行公务的机动车辆，包括领导干部专车、一般公务用车和执法执勤等业务用车。</w:t>
      </w:r>
      <w:r>
        <w:rPr>
          <w:rFonts w:hint="eastAsia" w:ascii="仿宋" w:hAnsi="仿宋" w:eastAsia="仿宋" w:cs="微软雅黑"/>
          <w:kern w:val="0"/>
          <w:sz w:val="24"/>
          <w:szCs w:val="24"/>
        </w:rPr>
        <w:t xml:space="preserve"> 3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、年初结转和结余</w:t>
      </w:r>
      <w:r>
        <w:rPr>
          <w:rFonts w:hint="eastAsia" w:ascii="仿宋" w:hAnsi="仿宋" w:eastAsia="仿宋" w:cs="仿宋"/>
          <w:kern w:val="0"/>
          <w:sz w:val="32"/>
          <w:szCs w:val="32"/>
        </w:rPr>
        <w:t>：指以前年度尚未完成，结转到本年仍按照原规定用途继续使用的资金，或项目已完成等产生的结余资金。</w:t>
      </w:r>
      <w:r>
        <w:rPr>
          <w:rFonts w:hint="eastAsia" w:ascii="仿宋" w:hAnsi="仿宋" w:eastAsia="仿宋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 4、基本支出</w:t>
      </w:r>
      <w:r>
        <w:rPr>
          <w:rFonts w:hint="eastAsia" w:ascii="仿宋" w:hAnsi="仿宋" w:eastAsia="仿宋" w:cs="仿宋"/>
          <w:kern w:val="0"/>
          <w:sz w:val="32"/>
          <w:szCs w:val="32"/>
        </w:rPr>
        <w:t>：指单位为了保障其正常运转、完成日常工作任务而发生的人员支出和公用支出。</w:t>
      </w:r>
      <w:r>
        <w:rPr>
          <w:rFonts w:hint="eastAsia" w:ascii="仿宋" w:hAnsi="仿宋" w:eastAsia="仿宋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 5、项目支出：</w:t>
      </w:r>
      <w:r>
        <w:rPr>
          <w:rFonts w:hint="eastAsia" w:ascii="仿宋" w:hAnsi="仿宋" w:eastAsia="仿宋" w:cs="仿宋"/>
          <w:kern w:val="0"/>
          <w:sz w:val="32"/>
          <w:szCs w:val="32"/>
        </w:rPr>
        <w:t>指单位为了特定的工作任务和事业发展目标，在基本支出之外所发生的支出。</w:t>
      </w:r>
    </w:p>
    <w:p w14:paraId="744C0C07">
      <w:pPr>
        <w:widowControl/>
        <w:spacing w:line="360" w:lineRule="auto"/>
        <w:ind w:firstLine="640" w:firstLineChars="200"/>
        <w:jc w:val="left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九、其他需要说明的事项</w:t>
      </w:r>
    </w:p>
    <w:p w14:paraId="0C2C5C2B">
      <w:pPr>
        <w:widowControl/>
        <w:spacing w:line="360" w:lineRule="auto"/>
        <w:ind w:firstLine="640" w:firstLineChars="200"/>
        <w:jc w:val="left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无。</w:t>
      </w:r>
    </w:p>
    <w:sectPr>
      <w:headerReference r:id="rId11" w:type="first"/>
      <w:footerReference r:id="rId14" w:type="first"/>
      <w:headerReference r:id="rId9" w:type="default"/>
      <w:footerReference r:id="rId12" w:type="default"/>
      <w:headerReference r:id="rId10" w:type="even"/>
      <w:footerReference r:id="rId13" w:type="even"/>
      <w:pgSz w:w="16839" w:h="11907" w:orient="landscape"/>
      <w:pgMar w:top="1134" w:right="1021" w:bottom="1134" w:left="1021" w:header="851" w:footer="992" w:gutter="0"/>
      <w:cols w:space="0" w:num="1"/>
      <w:docGrid w:type="linesAndChars" w:linePitch="32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书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D5C2C4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CADF01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BE3065">
    <w:pPr>
      <w:pStyle w:val="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F952A4">
    <w:pPr>
      <w:pStyle w:val="3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3D4987">
    <w:pPr>
      <w:pStyle w:val="3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ED2588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FE08DB"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A5E16F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D02EE7">
    <w:pPr>
      <w:pStyle w:val="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4D4F8C">
    <w:pPr>
      <w:pStyle w:val="4"/>
      <w:pBdr>
        <w:bottom w:val="none" w:color="auto" w:sz="0" w:space="0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44263B">
    <w:pPr>
      <w:pStyle w:val="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A886E9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512DE9"/>
    <w:multiLevelType w:val="singleLevel"/>
    <w:tmpl w:val="58512DE9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6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810D6"/>
    <w:rsid w:val="0002622A"/>
    <w:rsid w:val="0007144E"/>
    <w:rsid w:val="000A6D32"/>
    <w:rsid w:val="000C2B52"/>
    <w:rsid w:val="000F29C1"/>
    <w:rsid w:val="00250192"/>
    <w:rsid w:val="00266CB8"/>
    <w:rsid w:val="00295789"/>
    <w:rsid w:val="002A691E"/>
    <w:rsid w:val="002B1BBB"/>
    <w:rsid w:val="002C5E04"/>
    <w:rsid w:val="002E3A95"/>
    <w:rsid w:val="00301215"/>
    <w:rsid w:val="00307157"/>
    <w:rsid w:val="00307CE7"/>
    <w:rsid w:val="00354D52"/>
    <w:rsid w:val="003E31CF"/>
    <w:rsid w:val="003F3C17"/>
    <w:rsid w:val="004153CF"/>
    <w:rsid w:val="00497447"/>
    <w:rsid w:val="004A6093"/>
    <w:rsid w:val="004C429D"/>
    <w:rsid w:val="00501D9B"/>
    <w:rsid w:val="00541AAA"/>
    <w:rsid w:val="00555D8D"/>
    <w:rsid w:val="005717AA"/>
    <w:rsid w:val="005D136A"/>
    <w:rsid w:val="0062621A"/>
    <w:rsid w:val="00685811"/>
    <w:rsid w:val="006A1DD2"/>
    <w:rsid w:val="006A3040"/>
    <w:rsid w:val="006B10C1"/>
    <w:rsid w:val="006D1C5B"/>
    <w:rsid w:val="006E7454"/>
    <w:rsid w:val="00701C8B"/>
    <w:rsid w:val="007A507B"/>
    <w:rsid w:val="007C707C"/>
    <w:rsid w:val="007D674B"/>
    <w:rsid w:val="007D6BF0"/>
    <w:rsid w:val="007F0D9A"/>
    <w:rsid w:val="008058DC"/>
    <w:rsid w:val="00805C29"/>
    <w:rsid w:val="0081148E"/>
    <w:rsid w:val="00821D25"/>
    <w:rsid w:val="00897DFB"/>
    <w:rsid w:val="008C6939"/>
    <w:rsid w:val="008C7744"/>
    <w:rsid w:val="008C7C1B"/>
    <w:rsid w:val="008D4243"/>
    <w:rsid w:val="00916364"/>
    <w:rsid w:val="00986EFD"/>
    <w:rsid w:val="00A07D70"/>
    <w:rsid w:val="00A2155D"/>
    <w:rsid w:val="00A33097"/>
    <w:rsid w:val="00A37AEA"/>
    <w:rsid w:val="00A507A6"/>
    <w:rsid w:val="00A51716"/>
    <w:rsid w:val="00A7466F"/>
    <w:rsid w:val="00AA64D7"/>
    <w:rsid w:val="00AE448B"/>
    <w:rsid w:val="00B32888"/>
    <w:rsid w:val="00B60249"/>
    <w:rsid w:val="00B76B4C"/>
    <w:rsid w:val="00C24EC8"/>
    <w:rsid w:val="00C61522"/>
    <w:rsid w:val="00CA5D72"/>
    <w:rsid w:val="00CC2D9D"/>
    <w:rsid w:val="00D03FD0"/>
    <w:rsid w:val="00D27DFB"/>
    <w:rsid w:val="00D3650E"/>
    <w:rsid w:val="00D853F9"/>
    <w:rsid w:val="00D909FF"/>
    <w:rsid w:val="00D9395A"/>
    <w:rsid w:val="00DD3704"/>
    <w:rsid w:val="00DE56E4"/>
    <w:rsid w:val="00E810D6"/>
    <w:rsid w:val="00F41F3E"/>
    <w:rsid w:val="00F52FCC"/>
    <w:rsid w:val="00FA2E81"/>
    <w:rsid w:val="013B67CD"/>
    <w:rsid w:val="01CA412B"/>
    <w:rsid w:val="026B3F17"/>
    <w:rsid w:val="037D399A"/>
    <w:rsid w:val="03B213E5"/>
    <w:rsid w:val="044701AC"/>
    <w:rsid w:val="06096D52"/>
    <w:rsid w:val="06550E5D"/>
    <w:rsid w:val="06680F39"/>
    <w:rsid w:val="06930B90"/>
    <w:rsid w:val="0726741C"/>
    <w:rsid w:val="0794691E"/>
    <w:rsid w:val="08D34D69"/>
    <w:rsid w:val="09C07A2F"/>
    <w:rsid w:val="09E50DB9"/>
    <w:rsid w:val="0B923CED"/>
    <w:rsid w:val="0BB759F9"/>
    <w:rsid w:val="0CBF7A43"/>
    <w:rsid w:val="0DD4180B"/>
    <w:rsid w:val="0DDE5EF8"/>
    <w:rsid w:val="11807E93"/>
    <w:rsid w:val="12C53CE6"/>
    <w:rsid w:val="130B706D"/>
    <w:rsid w:val="139106CF"/>
    <w:rsid w:val="13DE0FA8"/>
    <w:rsid w:val="13F52BF3"/>
    <w:rsid w:val="140B2ED0"/>
    <w:rsid w:val="163506CD"/>
    <w:rsid w:val="17252863"/>
    <w:rsid w:val="175940C0"/>
    <w:rsid w:val="176A2DEB"/>
    <w:rsid w:val="17BD6DFD"/>
    <w:rsid w:val="17C16AC9"/>
    <w:rsid w:val="180D78B9"/>
    <w:rsid w:val="186630B8"/>
    <w:rsid w:val="1A715922"/>
    <w:rsid w:val="1AEF7278"/>
    <w:rsid w:val="1B131AC6"/>
    <w:rsid w:val="1B2A5EA4"/>
    <w:rsid w:val="1CC97251"/>
    <w:rsid w:val="1CEB0A1C"/>
    <w:rsid w:val="1E8167C1"/>
    <w:rsid w:val="1EAA0AE1"/>
    <w:rsid w:val="1F45494B"/>
    <w:rsid w:val="20B43F44"/>
    <w:rsid w:val="20B97FD9"/>
    <w:rsid w:val="21B66276"/>
    <w:rsid w:val="21F615DB"/>
    <w:rsid w:val="228819EE"/>
    <w:rsid w:val="2487500B"/>
    <w:rsid w:val="2716314B"/>
    <w:rsid w:val="288A4B30"/>
    <w:rsid w:val="28E516DB"/>
    <w:rsid w:val="299267B6"/>
    <w:rsid w:val="2AD57C75"/>
    <w:rsid w:val="2AEC5CE4"/>
    <w:rsid w:val="2BAA47A7"/>
    <w:rsid w:val="2DCE40BA"/>
    <w:rsid w:val="2E066AE5"/>
    <w:rsid w:val="2E2777CE"/>
    <w:rsid w:val="2EE04A84"/>
    <w:rsid w:val="31D059F4"/>
    <w:rsid w:val="32C36785"/>
    <w:rsid w:val="332A0BBD"/>
    <w:rsid w:val="3387759D"/>
    <w:rsid w:val="34924273"/>
    <w:rsid w:val="351C5D1D"/>
    <w:rsid w:val="357B5A09"/>
    <w:rsid w:val="35F91204"/>
    <w:rsid w:val="36DF5EE5"/>
    <w:rsid w:val="38963AA1"/>
    <w:rsid w:val="390B2F4C"/>
    <w:rsid w:val="39461E7C"/>
    <w:rsid w:val="39A75722"/>
    <w:rsid w:val="3B2F595B"/>
    <w:rsid w:val="3B6E7B6E"/>
    <w:rsid w:val="3C712CD5"/>
    <w:rsid w:val="3CEC5D53"/>
    <w:rsid w:val="3D7F2045"/>
    <w:rsid w:val="3E01287C"/>
    <w:rsid w:val="42134CBB"/>
    <w:rsid w:val="421B4BB3"/>
    <w:rsid w:val="439A228F"/>
    <w:rsid w:val="441C57E9"/>
    <w:rsid w:val="44240E6E"/>
    <w:rsid w:val="44986D47"/>
    <w:rsid w:val="456A5D0D"/>
    <w:rsid w:val="457C0C14"/>
    <w:rsid w:val="45B90BF3"/>
    <w:rsid w:val="460143F1"/>
    <w:rsid w:val="475B18CD"/>
    <w:rsid w:val="48F36C30"/>
    <w:rsid w:val="4960260B"/>
    <w:rsid w:val="4A4F1F05"/>
    <w:rsid w:val="4B7040C7"/>
    <w:rsid w:val="4CA957E7"/>
    <w:rsid w:val="4CCC0ED6"/>
    <w:rsid w:val="4D3E509A"/>
    <w:rsid w:val="4D4D67C6"/>
    <w:rsid w:val="4D9730D4"/>
    <w:rsid w:val="4E4335D2"/>
    <w:rsid w:val="4FAF796B"/>
    <w:rsid w:val="529663F2"/>
    <w:rsid w:val="531161B8"/>
    <w:rsid w:val="536772A0"/>
    <w:rsid w:val="56FA2CCC"/>
    <w:rsid w:val="58F0567B"/>
    <w:rsid w:val="59AF56D7"/>
    <w:rsid w:val="5A232646"/>
    <w:rsid w:val="5A6C7974"/>
    <w:rsid w:val="5B2B3FCD"/>
    <w:rsid w:val="5BAE356C"/>
    <w:rsid w:val="5CB07A05"/>
    <w:rsid w:val="5ED17601"/>
    <w:rsid w:val="612F2391"/>
    <w:rsid w:val="61897173"/>
    <w:rsid w:val="61912612"/>
    <w:rsid w:val="63F21B1B"/>
    <w:rsid w:val="65493192"/>
    <w:rsid w:val="666C26EF"/>
    <w:rsid w:val="66FB7067"/>
    <w:rsid w:val="6B511389"/>
    <w:rsid w:val="6D5763C1"/>
    <w:rsid w:val="6D81148F"/>
    <w:rsid w:val="6E8006EE"/>
    <w:rsid w:val="6ECC4D84"/>
    <w:rsid w:val="70BA2DA1"/>
    <w:rsid w:val="71333626"/>
    <w:rsid w:val="71B87B2B"/>
    <w:rsid w:val="729B4F6A"/>
    <w:rsid w:val="733E01F4"/>
    <w:rsid w:val="7424079F"/>
    <w:rsid w:val="74D4598A"/>
    <w:rsid w:val="76FD3FC3"/>
    <w:rsid w:val="773221DC"/>
    <w:rsid w:val="7A450B21"/>
    <w:rsid w:val="7AA5545A"/>
    <w:rsid w:val="7B00734A"/>
    <w:rsid w:val="7BAA5900"/>
    <w:rsid w:val="7D9A3104"/>
    <w:rsid w:val="7DB94919"/>
    <w:rsid w:val="7E4317C4"/>
    <w:rsid w:val="7F33484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oc 1"/>
    <w:basedOn w:val="1"/>
    <w:next w:val="1"/>
    <w:unhideWhenUsed/>
    <w:qFormat/>
    <w:uiPriority w:val="39"/>
  </w:style>
  <w:style w:type="paragraph" w:styleId="6">
    <w:name w:val="toc 2"/>
    <w:basedOn w:val="1"/>
    <w:next w:val="1"/>
    <w:unhideWhenUsed/>
    <w:qFormat/>
    <w:uiPriority w:val="39"/>
    <w:pPr>
      <w:ind w:left="420" w:leftChars="200"/>
    </w:pPr>
  </w:style>
  <w:style w:type="character" w:customStyle="1" w:styleId="9">
    <w:name w:val="页眉 Char"/>
    <w:basedOn w:val="8"/>
    <w:link w:val="4"/>
    <w:qFormat/>
    <w:uiPriority w:val="0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0"/>
    <w:rPr>
      <w:sz w:val="18"/>
      <w:szCs w:val="18"/>
    </w:rPr>
  </w:style>
  <w:style w:type="paragraph" w:customStyle="1" w:styleId="11">
    <w:name w:val="列出段落1"/>
    <w:basedOn w:val="1"/>
    <w:unhideWhenUsed/>
    <w:qFormat/>
    <w:uiPriority w:val="99"/>
    <w:pPr>
      <w:ind w:firstLine="420" w:firstLineChars="200"/>
    </w:pPr>
  </w:style>
  <w:style w:type="paragraph" w:styleId="12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3">
    <w:name w:val="日期 Char"/>
    <w:basedOn w:val="8"/>
    <w:link w:val="2"/>
    <w:semiHidden/>
    <w:qFormat/>
    <w:uiPriority w:val="99"/>
    <w:rPr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theme" Target="theme/theme1.xml"/><Relationship Id="rId14" Type="http://schemas.openxmlformats.org/officeDocument/2006/relationships/footer" Target="footer6.xml"/><Relationship Id="rId13" Type="http://schemas.openxmlformats.org/officeDocument/2006/relationships/footer" Target="footer5.xml"/><Relationship Id="rId12" Type="http://schemas.openxmlformats.org/officeDocument/2006/relationships/footer" Target="footer4.xml"/><Relationship Id="rId11" Type="http://schemas.openxmlformats.org/officeDocument/2006/relationships/header" Target="header6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12</Pages>
  <Words>4726</Words>
  <Characters>4913</Characters>
  <Lines>37</Lines>
  <Paragraphs>10</Paragraphs>
  <TotalTime>0</TotalTime>
  <ScaleCrop>false</ScaleCrop>
  <LinksUpToDate>false</LinksUpToDate>
  <CharactersWithSpaces>4944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2016-04-01T02:15:00Z</dcterms:created>
  <dc:creator>lenovo</dc:creator>
  <cp:lastModifiedBy>lenovo</cp:lastModifiedBy>
  <cp:lastPrinted>2016-04-01T02:44:00Z</cp:lastPrinted>
  <dcterms:modified xsi:type="dcterms:W3CDTF">2025-10-27T02:05:55Z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eyJoZGlkIjoiNDcwZjliMzc5MTkwNWZhZTk3YzczMDZjNjk2Y2IxMmIifQ==</vt:lpwstr>
  </property>
  <property fmtid="{D5CDD505-2E9C-101B-9397-08002B2CF9AE}" pid="4" name="ICV">
    <vt:lpwstr>92C4BE5F73BE4865921B6A6734AEF7D7_12</vt:lpwstr>
  </property>
</Properties>
</file>