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1D631">
      <w:pPr>
        <w:spacing w:line="560" w:lineRule="exact"/>
        <w:jc w:val="center"/>
        <w:rPr>
          <w:rFonts w:ascii="方正小标宋简体" w:hAnsi="黑体" w:eastAsia="方正小标宋简体" w:cs="Times New Roman"/>
          <w:sz w:val="44"/>
          <w:szCs w:val="44"/>
        </w:rPr>
      </w:pPr>
      <w:r>
        <w:rPr>
          <w:rFonts w:ascii="方正小标宋简体" w:hAnsi="黑体" w:eastAsia="方正小标宋简体" w:cs="方正小标宋简体"/>
          <w:sz w:val="44"/>
          <w:szCs w:val="44"/>
        </w:rPr>
        <w:t>2017</w:t>
      </w:r>
      <w:r>
        <w:rPr>
          <w:rFonts w:hint="eastAsia" w:ascii="方正小标宋简体" w:hAnsi="黑体" w:eastAsia="方正小标宋简体" w:cs="方正小标宋简体"/>
          <w:sz w:val="44"/>
          <w:szCs w:val="44"/>
        </w:rPr>
        <w:t>年部门预算公开督导整改要求</w:t>
      </w:r>
    </w:p>
    <w:p w14:paraId="333D27BD">
      <w:pPr>
        <w:spacing w:line="560" w:lineRule="exact"/>
        <w:ind w:firstLine="645"/>
        <w:rPr>
          <w:rFonts w:ascii="黑体" w:hAnsi="黑体" w:eastAsia="黑体" w:cs="Times New Roman"/>
          <w:sz w:val="32"/>
          <w:szCs w:val="32"/>
        </w:rPr>
      </w:pPr>
    </w:p>
    <w:p w14:paraId="00F838F0">
      <w:pPr>
        <w:ind w:firstLine="640" w:firstLineChars="200"/>
        <w:jc w:val="left"/>
        <w:rPr>
          <w:rFonts w:ascii="仿宋" w:hAnsi="仿宋" w:eastAsia="仿宋" w:cs="仿宋_GB2312"/>
          <w:kern w:val="0"/>
          <w:sz w:val="32"/>
          <w:szCs w:val="32"/>
        </w:rPr>
      </w:pPr>
      <w:r>
        <w:rPr>
          <w:rFonts w:ascii="仿宋" w:hAnsi="仿宋" w:eastAsia="仿宋" w:cs="仿宋_GB2312"/>
          <w:sz w:val="32"/>
          <w:szCs w:val="32"/>
        </w:rPr>
        <w:t>按照</w:t>
      </w:r>
      <w:r>
        <w:rPr>
          <w:rFonts w:ascii="仿宋_GB2312" w:hAnsi="黑体" w:eastAsia="仿宋_GB2312" w:cs="仿宋_GB2312"/>
          <w:sz w:val="32"/>
          <w:szCs w:val="32"/>
        </w:rPr>
        <w:t>《</w:t>
      </w:r>
      <w:r>
        <w:rPr>
          <w:rFonts w:hint="eastAsia" w:ascii="仿宋_GB2312" w:hAnsi="黑体" w:eastAsia="仿宋_GB2312" w:cs="仿宋_GB2312"/>
          <w:sz w:val="32"/>
          <w:szCs w:val="32"/>
          <w:lang w:eastAsia="zh-CN"/>
        </w:rPr>
        <w:t>中华人民共和国</w:t>
      </w:r>
      <w:r>
        <w:rPr>
          <w:rFonts w:ascii="仿宋_GB2312" w:hAnsi="黑体" w:eastAsia="仿宋_GB2312" w:cs="仿宋_GB2312"/>
          <w:sz w:val="32"/>
          <w:szCs w:val="32"/>
        </w:rPr>
        <w:t>预算法》</w:t>
      </w:r>
      <w:r>
        <w:rPr>
          <w:rFonts w:ascii="仿宋" w:hAnsi="仿宋" w:eastAsia="仿宋" w:cs="仿宋_GB2312"/>
          <w:sz w:val="32"/>
          <w:szCs w:val="32"/>
        </w:rPr>
        <w:t>有关规定</w:t>
      </w:r>
      <w:r>
        <w:rPr>
          <w:rFonts w:hint="eastAsia" w:ascii="仿宋" w:hAnsi="仿宋" w:eastAsia="仿宋" w:cs="仿宋_GB2312"/>
          <w:sz w:val="32"/>
          <w:szCs w:val="32"/>
        </w:rPr>
        <w:t>和</w:t>
      </w:r>
      <w:r>
        <w:rPr>
          <w:rFonts w:ascii="仿宋" w:hAnsi="仿宋" w:eastAsia="仿宋" w:cs="楷体_GB2312"/>
          <w:sz w:val="32"/>
          <w:szCs w:val="32"/>
        </w:rPr>
        <w:t>财政部关于印发《地方预决算公开操作规程》的通知，</w:t>
      </w:r>
      <w:r>
        <w:rPr>
          <w:rFonts w:ascii="仿宋" w:hAnsi="仿宋" w:eastAsia="仿宋" w:cs="仿宋_GB2312"/>
          <w:kern w:val="0"/>
          <w:sz w:val="32"/>
          <w:szCs w:val="32"/>
        </w:rPr>
        <w:t>现将</w:t>
      </w:r>
      <w:r>
        <w:rPr>
          <w:rFonts w:hint="eastAsia" w:ascii="仿宋" w:hAnsi="仿宋" w:eastAsia="仿宋" w:cs="仿宋_GB2312"/>
          <w:kern w:val="0"/>
          <w:sz w:val="32"/>
          <w:szCs w:val="32"/>
        </w:rPr>
        <w:t>成安县</w:t>
      </w:r>
      <w:r>
        <w:rPr>
          <w:rFonts w:hint="eastAsia" w:ascii="仿宋" w:hAnsi="仿宋" w:eastAsia="仿宋" w:cs="仿宋_GB2312"/>
          <w:kern w:val="0"/>
          <w:sz w:val="32"/>
          <w:szCs w:val="32"/>
          <w:lang w:eastAsia="zh-CN"/>
        </w:rPr>
        <w:t>财政</w:t>
      </w:r>
      <w:r>
        <w:rPr>
          <w:rFonts w:ascii="仿宋" w:hAnsi="仿宋" w:eastAsia="仿宋" w:cs="仿宋_GB2312"/>
          <w:kern w:val="0"/>
          <w:sz w:val="32"/>
          <w:szCs w:val="32"/>
        </w:rPr>
        <w:t>局201</w:t>
      </w:r>
      <w:r>
        <w:rPr>
          <w:rFonts w:hint="eastAsia" w:ascii="仿宋" w:hAnsi="仿宋" w:eastAsia="仿宋" w:cs="仿宋_GB2312"/>
          <w:kern w:val="0"/>
          <w:sz w:val="32"/>
          <w:szCs w:val="32"/>
        </w:rPr>
        <w:t>7</w:t>
      </w:r>
      <w:r>
        <w:rPr>
          <w:rFonts w:ascii="仿宋" w:hAnsi="仿宋" w:eastAsia="仿宋" w:cs="仿宋_GB2312"/>
          <w:kern w:val="0"/>
          <w:sz w:val="32"/>
          <w:szCs w:val="32"/>
        </w:rPr>
        <w:t>年部门预算公开如下</w:t>
      </w:r>
      <w:r>
        <w:rPr>
          <w:rFonts w:hint="eastAsia" w:ascii="仿宋" w:hAnsi="仿宋" w:eastAsia="仿宋" w:cs="仿宋_GB2312"/>
          <w:kern w:val="0"/>
          <w:sz w:val="32"/>
          <w:szCs w:val="32"/>
        </w:rPr>
        <w:t>：</w:t>
      </w:r>
    </w:p>
    <w:p w14:paraId="0494C304">
      <w:pPr>
        <w:ind w:firstLine="640"/>
        <w:rPr>
          <w:rFonts w:ascii="黑体" w:hAnsi="黑体" w:eastAsia="黑体" w:cs="Times New Roman"/>
          <w:sz w:val="32"/>
          <w:szCs w:val="32"/>
        </w:rPr>
      </w:pPr>
      <w:r>
        <w:rPr>
          <w:rFonts w:hint="eastAsia" w:ascii="黑体" w:hAnsi="黑体" w:eastAsia="黑体" w:cs="黑体"/>
          <w:sz w:val="32"/>
          <w:szCs w:val="32"/>
        </w:rPr>
        <w:t>一、部门职责及机构设置情况</w:t>
      </w:r>
    </w:p>
    <w:p w14:paraId="4ECE2EEE">
      <w:pPr>
        <w:widowControl/>
        <w:spacing w:line="360" w:lineRule="auto"/>
        <w:ind w:left="641" w:firstLine="643" w:firstLineChars="200"/>
        <w:jc w:val="left"/>
        <w:rPr>
          <w:rFonts w:ascii="楷体" w:hAnsi="楷体" w:eastAsia="楷体" w:cs="仿宋"/>
          <w:b/>
          <w:sz w:val="32"/>
          <w:szCs w:val="32"/>
        </w:rPr>
      </w:pPr>
      <w:r>
        <w:rPr>
          <w:rFonts w:hint="eastAsia" w:ascii="楷体" w:hAnsi="楷体" w:eastAsia="楷体" w:cs="仿宋"/>
          <w:b/>
          <w:sz w:val="32"/>
          <w:szCs w:val="32"/>
        </w:rPr>
        <w:t>一、非税收入管理局</w:t>
      </w:r>
      <w:bookmarkStart w:id="2" w:name="_GoBack"/>
      <w:bookmarkEnd w:id="2"/>
    </w:p>
    <w:p w14:paraId="5F11B388">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0DE32B93">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主要任务：负责全县预算外资金、纳入预算管理的行政事业性收费、罚没收入和政府性基金征管工作，根据国家和省、市有关规定，</w:t>
      </w:r>
      <w:r>
        <w:rPr>
          <w:rFonts w:hint="eastAsia" w:ascii="仿宋" w:hAnsi="仿宋" w:eastAsia="仿宋" w:cs="仿宋"/>
          <w:sz w:val="32"/>
          <w:szCs w:val="32"/>
          <w:lang w:val="en-US" w:eastAsia="zh-CN"/>
        </w:rPr>
        <w:t>拟</w:t>
      </w:r>
      <w:r>
        <w:rPr>
          <w:rFonts w:hint="eastAsia" w:ascii="仿宋" w:hAnsi="仿宋" w:eastAsia="仿宋" w:cs="仿宋"/>
          <w:sz w:val="32"/>
          <w:szCs w:val="32"/>
          <w:lang w:eastAsia="zh-CN"/>
        </w:rPr>
        <w:t>定</w:t>
      </w:r>
      <w:r>
        <w:rPr>
          <w:rFonts w:hint="eastAsia" w:ascii="仿宋" w:hAnsi="仿宋" w:eastAsia="仿宋" w:cs="仿宋"/>
          <w:sz w:val="32"/>
          <w:szCs w:val="32"/>
        </w:rPr>
        <w:t>预算外资金管理办法；负责全县“票款分离”，落实“收支两条线”规定，负责全县执收执罚部门监督检查工作；参与研究收费管理制度改革。</w:t>
      </w:r>
    </w:p>
    <w:p w14:paraId="6B574CB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w:t>
      </w:r>
    </w:p>
    <w:p w14:paraId="2F8B929C">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（1）负责全县行政事业单位预算外资金征收工作；</w:t>
      </w:r>
    </w:p>
    <w:p w14:paraId="6954A027">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（2）落实和</w:t>
      </w:r>
      <w:r>
        <w:rPr>
          <w:rFonts w:hint="eastAsia" w:ascii="仿宋" w:hAnsi="仿宋" w:eastAsia="仿宋" w:cs="仿宋"/>
          <w:sz w:val="32"/>
          <w:szCs w:val="32"/>
          <w:lang w:eastAsia="zh-CN"/>
        </w:rPr>
        <w:t>拟订</w:t>
      </w:r>
      <w:r>
        <w:rPr>
          <w:rFonts w:hint="eastAsia" w:ascii="仿宋" w:hAnsi="仿宋" w:eastAsia="仿宋" w:cs="仿宋"/>
          <w:sz w:val="32"/>
          <w:szCs w:val="32"/>
        </w:rPr>
        <w:t>非税收入管理政策和相关规章制度，负责审核或申报全县行政事业性收费项目和收费标准，严格罚没及收费许可证制度，规范财政票据管理；</w:t>
      </w:r>
    </w:p>
    <w:p w14:paraId="0A9806A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3）负责编制年度非税收入征缴计划，并按程序审批后组织实施；负责行政事业性收费（含政府性基金）“票款分离”办法的实施，分析和改进征管工作，组织非税收入的监督检查工作，确保非税收入按进度及时足额征收；</w:t>
      </w:r>
    </w:p>
    <w:p w14:paraId="11F4CBE2">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（4）牵头负责全县罚没物资管理工作，根据省、市有关政策，拟定罚没物资管理办法；</w:t>
      </w:r>
    </w:p>
    <w:p w14:paraId="507F3961">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（5）负责全县行政事业性收费和罚没收入的财政票据管理工作，并对财政票据使用情况进行监督检查；</w:t>
      </w:r>
    </w:p>
    <w:p w14:paraId="3C1C2EC6">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（6）负责全县“票款分离”工作，会同有关科室实施全县的“收支两条线”工作；</w:t>
      </w:r>
    </w:p>
    <w:p w14:paraId="64D7336C">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（7）负责预算外资金信息宣传工作；</w:t>
      </w:r>
    </w:p>
    <w:p w14:paraId="58D9B33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（8）一个漏斗收费工作；</w:t>
      </w:r>
    </w:p>
    <w:p w14:paraId="2B6DEE9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（9）完成领导交办的其它各项任务。</w:t>
      </w:r>
    </w:p>
    <w:p w14:paraId="0A029353">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2、对口：市局非税收入管理局。</w:t>
      </w:r>
    </w:p>
    <w:p w14:paraId="49F5DB09">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二、农村财税管理局职责范围</w:t>
      </w:r>
    </w:p>
    <w:p w14:paraId="535B4747">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负责组织落实“乡财县管”工作，落实国家、省、市部署的农村税费改革的各项工作，研究执行农村综合改革中的相关政策和负责全县耕地占用税、契税法律法规与政策实施中的一般解释和指导、协调。</w:t>
      </w:r>
    </w:p>
    <w:p w14:paraId="30B5A76D">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负责组织落实“乡财县管”工作；（2）探索县乡财税综合改革制度工作；（3）对全县农村“一事一议”财政奖补资金审批；（4）对农村“普九”债务进行清理化解；（5）完成领导交办的其它各项任务。2、对口：市综改办、市局农村财政管理处。</w:t>
      </w:r>
    </w:p>
    <w:p w14:paraId="34D6BD7F">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三、财政监督稽查局职责范围</w:t>
      </w:r>
    </w:p>
    <w:p w14:paraId="007BB59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22A06575">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制定财政监督的政策和制度，监督财税法律、法规、方针、政策的执行情况，协调财政监督的工作关系，检查财政收支管理中的重大问题，提出加强财政管理的政策建议，依法查处违反财经纪律和打击报复的重点案件，管理财政监督稽查局的业务工作。具体办事机构为财监科。</w:t>
      </w:r>
    </w:p>
    <w:p w14:paraId="5DCAD625">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协调财政监督检查与其他经济监督部门的工作关系，研究拟定强化财政监督的建议或措施；（2）监督检查财税法规、政策、制度和财经纪律的执行情况，对存在的问题依法进行处理，并提出完善财经法规、财会制度和加强财政管理的意见和建议；（3）监督本级预算的执行，监督各项财政收入的征管和“一口对外”检查财政资金的分配、使用、效益等；（4）会同有关部门做好对有关单位、人员违反财经纪律、财税政策和财务、会计制度的检查处理及违纪款项的收缴入库工作；（5）受理对违反财税法律、法规、政策、制度的重大举报事宜，依法对财政干部及财务人员因认真贯彻执行财政法规和财务会计制度而受打击报复的重点案件；（6）协调各科室、单位的监督检查事宜，检查各业务科室、单位履行各自财政监督职责的情况；（7）牵头组织全县重大和专项财政监督检查工作；（8）完成领导交办的其它各项任务。</w:t>
      </w:r>
    </w:p>
    <w:p w14:paraId="0270E87F">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2、对口：市财政监督稽查局、市局财监处。</w:t>
      </w:r>
    </w:p>
    <w:p w14:paraId="6E7DC9B9">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四、财政集中支付中心职责范围</w:t>
      </w:r>
    </w:p>
    <w:p w14:paraId="410BAEC1">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0DEDBEF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主要任务：负责县级行政事业单位工资支出、购买支出、转移支出和其他支出的审核及支付工作，负责审核、支付纳入财政直接支付范围的专项资金工作。</w:t>
      </w:r>
    </w:p>
    <w:p w14:paraId="25BD259F">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负责办理全县行政事业单位资金的集中收付业务，合理调度和及时拨付资金，确保部门单位工作正常运转；（2）在资金所有权、使用权、支配权不变的情况下，对预算单位的支出进行再审核，并完整记录预算单位资金活动情况，定期与单位核对资金结存数额，保证资金的安全、完整；（3）贯彻执行国家财经纪律和财会制度，通过对预算单位支付申请进行合规性、合理性、合法性的审核，充分发挥财政的监督作用；（4）按照财政预算，审核和监督行政事业单位执行财政预算的具体情况，并向有关科室和领导进行反馈；（5）办理政府采购资金的支付，对纳入政府采购目录的支出项目，将资金直接支付给商品供应商或劳务提供者；（6）统一公开各单位预算执行情况，为财政监督和单位对</w:t>
      </w:r>
      <w:r>
        <w:rPr>
          <w:rFonts w:hint="eastAsia" w:ascii="仿宋" w:hAnsi="仿宋" w:eastAsia="仿宋" w:cs="仿宋"/>
          <w:sz w:val="32"/>
          <w:szCs w:val="32"/>
          <w:lang w:eastAsia="zh-CN"/>
        </w:rPr>
        <w:t>账</w:t>
      </w:r>
      <w:r>
        <w:rPr>
          <w:rFonts w:hint="eastAsia" w:ascii="仿宋" w:hAnsi="仿宋" w:eastAsia="仿宋" w:cs="仿宋"/>
          <w:sz w:val="32"/>
          <w:szCs w:val="32"/>
        </w:rPr>
        <w:t>提供及时准确的信息；（7）完成领导交办的其它各项任务。</w:t>
      </w:r>
    </w:p>
    <w:p w14:paraId="33F3AF22">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2、对口：市局集中支付中心。</w:t>
      </w:r>
    </w:p>
    <w:p w14:paraId="455AA2E9">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五、办公室职责范围</w:t>
      </w:r>
    </w:p>
    <w:p w14:paraId="285DF6E8">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485B0957">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综合协调、处理局机关日常政务；负责有关重要会议的组织；起草和修改有关重要报告和文件；研究财政政策；统一管理财政信息、宣传、新闻发布；负责文电、机要保密、档案、信访、办公自动化、人事、财务、车辆、后勤、计划生育、精神文明建设、民主评议、法制宣传教育、党务、工青妇、老干部等工作；负责重要事项的督查督办。</w:t>
      </w:r>
    </w:p>
    <w:p w14:paraId="07339EC1">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 xml:space="preserve">其职责如下：（1）负责局机关日常政务的综合协调和处理，保证局机关正确履行职能和维持正常、良好的工作秩序；（2）组织财政调研工作，研究财政工作重点、难点、热点问题的解决办法，为领导当好参谋；（3）负责制定机关各项工作制度，并督导落实；（4）负责局机关重要综合性文稿的起草、修改和以局名义发出的正式文件的核稿；（5）负责机要文电的收发和文印工作；（6）负责全县财政系统财政信息、财政宣传的统一规划和组织，管理财政对外宣传报道和重要财政新闻发布；（7）负责全县财政工作会议及有关重要会议的组织；（8）办理局党组、局长办公会、局务会议定的各项具体工作并编写会议纪要；（9）负责局机关办公自动化工作的组织、协调和运行；（10）负责管理局机关档案，指导全局各科室档案立卷、归档工作，整理和利用财政档案史料；（11）负责财政系统保密规则制度建设，检查局机关和所属单位保密法规执行情况，调查失泄密事件；（12）负责局机关、直属单位的机构设置和人员编制工作；（13）负责全县财政系统干部职工队伍建设和人事、教育、统计工作，及局机关工作人员的考核、培训、工资福利、退（离）休等工作；（14）负责管理局机关财务和编报局机关行政经费预算建议和决算；（15）负责管理局机关车辆管理、后勤服务、固定资产、安全保卫、综合治理等有关事项；（16）负责全局行政执法证年检、办证工作；（17）负责县委、县政府批办事项的督查、督办工作；（18）负责组织和办理县人大代表建议及县政协委员提案工作；（19）负责局机关党务、团务、工会、妇女、计划生育、信访及财政系统民主评议、精神文明建设、法制宣传教育、纪律检查、行政监督等工作；（20）负责组织安排全县财政系统文体活动；（21）负责组织编写财政局年度大事记；（22）完成领导交办的其它各项任务。 </w:t>
      </w:r>
    </w:p>
    <w:p w14:paraId="521AFDA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2、对口：市局办公室、人教处、纪检监察室。</w:t>
      </w:r>
    </w:p>
    <w:p w14:paraId="7D0B4390">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六、预算科职责范围</w:t>
      </w:r>
    </w:p>
    <w:p w14:paraId="42948EF6">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23256975">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编制县本级政府年度预算（草案）和县直部门预算建议，汇编全县年度预算（草案）；编制县本级预算调整方案，汇总全县收支预算调整；负责本级预算指标的管理，统一办理本级预算追加（减）等事宜；负责本级预算执行的协调和预算内、外资金执行指标、各类财政性资金及各类政府性基金的审核与核算。</w:t>
      </w:r>
    </w:p>
    <w:p w14:paraId="2874966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分析预测全县经济运行情况，并提出运用财税政策加强地方财源建设和落实宏观调控的建议；研究和提出财政收支政策及财政分配政策，拟定增收节支，平衡财政预算，加强预算管理的建议；（2）负责编制年度政府公共预算草案及县级综合财政预算草案，按法定程序批准后，直接批复部门单位。参与县直行政事业单位编制管理，制定和调整部门单位公用经费开支标准和定额。确定财政资金预算安排顺序，研究财政投资政策；（3）负责编制财政预算调整方案，办理动用县级预备费的申报事宜，负责县级预算内、预算外总指标的分配、调整，办理县直部门预算的追加（减）预算指标的审批，审核主管业务科室对年初预算没有确定具体项目的资金提出的使用意见；（4）负责办理市对县的转移支付和县与市财政体制结算的有关事宜，解释和执行地方税收政策，审核税收减免；（5）负责进一步完善乡镇财政管理体制；（6）负责指导本辖区内预算单位的预算管理工作；（7）负责协调县财政与国税局、地税局有关组织收入方面的事宜，牵头负责审计机关对财政预算执行和其他财政收支情况进行的审计，以及对县人大联络的相关事宜；（8）负责在预算编制和执行过程中，逐步开展财政支出效益评价工作，推行财政绩效预算管理；（9）完成领导交办的其它各项任务。</w:t>
      </w:r>
    </w:p>
    <w:p w14:paraId="1C69046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2、对口：市局预算处。</w:t>
      </w:r>
    </w:p>
    <w:p w14:paraId="4CE9A02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3、归口管理的部门和单位为： 9个乡镇和成安镇工业区、商城工业区，县工会、气象局、武警中队。</w:t>
      </w:r>
    </w:p>
    <w:p w14:paraId="2BA18AA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4、归口联系的部门和单位为：交通局、交警大队、国税局、地税局、成安宾馆、药监局、技术监督局、工商局。</w:t>
      </w:r>
    </w:p>
    <w:p w14:paraId="15C51D8B">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七、国库科职责范围</w:t>
      </w:r>
    </w:p>
    <w:p w14:paraId="468DE438">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3F5B3E3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负责全县财政预算的执行工作；归口管理各类财政资金，负责总预算会计核算与资金拨付工作；负责编制财政收支旬、月报工作；牵头负责全县预算内、外资金总决算；批复县直部门决算；负责全县各行政、事业单位新开设</w:t>
      </w:r>
      <w:r>
        <w:rPr>
          <w:rFonts w:hint="eastAsia" w:ascii="仿宋" w:hAnsi="仿宋" w:eastAsia="仿宋" w:cs="仿宋"/>
          <w:sz w:val="32"/>
          <w:szCs w:val="32"/>
          <w:lang w:eastAsia="zh-CN"/>
        </w:rPr>
        <w:t>账</w:t>
      </w:r>
      <w:r>
        <w:rPr>
          <w:rFonts w:hint="eastAsia" w:ascii="仿宋" w:hAnsi="仿宋" w:eastAsia="仿宋" w:cs="仿宋"/>
          <w:sz w:val="32"/>
          <w:szCs w:val="32"/>
        </w:rPr>
        <w:t>户管理；压缩各项支出，组织配合有关单位争取资金，整合财力办大事。</w:t>
      </w:r>
    </w:p>
    <w:p w14:paraId="52B958F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负责综合财政预算的执行。对预算内、预算外、政府性基金执行指标认真审核、及时拨付与核算；按照预外局批准的拨付计划，拨付预算外资金；负责协调预算执行中的有关问题，向有关领导、部门、科室及时反映预算执行情况；（2）负责总预算会计工作。加强资金调度，联系人行国库并协调有关事宜；负责局内所有的财政性资金和乡镇、县直行政事业单位资金</w:t>
      </w:r>
      <w:r>
        <w:rPr>
          <w:rFonts w:hint="eastAsia" w:ascii="仿宋" w:hAnsi="仿宋" w:eastAsia="仿宋" w:cs="仿宋"/>
          <w:sz w:val="32"/>
          <w:szCs w:val="32"/>
          <w:lang w:eastAsia="zh-CN"/>
        </w:rPr>
        <w:t>账</w:t>
      </w:r>
      <w:r>
        <w:rPr>
          <w:rFonts w:hint="eastAsia" w:ascii="仿宋" w:hAnsi="仿宋" w:eastAsia="仿宋" w:cs="仿宋"/>
          <w:sz w:val="32"/>
          <w:szCs w:val="32"/>
        </w:rPr>
        <w:t>户的管理，会同有关科室审批新开</w:t>
      </w:r>
      <w:r>
        <w:rPr>
          <w:rFonts w:hint="eastAsia" w:ascii="仿宋" w:hAnsi="仿宋" w:eastAsia="仿宋" w:cs="仿宋"/>
          <w:sz w:val="32"/>
          <w:szCs w:val="32"/>
          <w:lang w:eastAsia="zh-CN"/>
        </w:rPr>
        <w:t>账</w:t>
      </w:r>
      <w:r>
        <w:rPr>
          <w:rFonts w:hint="eastAsia" w:ascii="仿宋" w:hAnsi="仿宋" w:eastAsia="仿宋" w:cs="仿宋"/>
          <w:sz w:val="32"/>
          <w:szCs w:val="32"/>
        </w:rPr>
        <w:t>户；（3）编制财政收支旬报和月报，分析财政收支存在的问题，及时向领导和有关方面提出合理化建议，确保财政收支正常运行；（4）牵头负责编制全县预算内、外资金总决算，批复县直部门决算，会同有关科室起草有关预算执行和财政总决算的文件；（5）推进国库集中支付制度改革；（6）完成领导交办的其它各项任务。</w:t>
      </w:r>
    </w:p>
    <w:p w14:paraId="739D972F">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2、对口：市局国库处。</w:t>
      </w:r>
    </w:p>
    <w:p w14:paraId="0F3FA9DF">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3、归口联系的部门和单位为：人行、工行、建行、农行、农发行、联社。</w:t>
      </w:r>
    </w:p>
    <w:p w14:paraId="01411067">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八、综合科职责范围主要任务及职责：</w:t>
      </w:r>
    </w:p>
    <w:p w14:paraId="7A6AF93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牵头负责国家财政政策的落实以及在财政投资领域的政策协调和项目安排；监督基建项目实施中资金的管理使用情况；办理归口管理部门、单位基建资金、预算外资金等有关业务；负责城市建设配套资金的执行、管理和监督；牵头管理国债专项资金等。</w:t>
      </w:r>
    </w:p>
    <w:p w14:paraId="0E6D113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负责国家财政政策的组织落实工作；（2）牵头管理在财政投资基本建设领域的政策协调和项目安排，并对基建资金的使用情况进行监督；（3）对归口管理部门、各单位的预算外资金支出计划审核、建议，按程序审批后，组织实施，会同有关科室对预算外资金支出进行监督检查；（4）对上级财政补助的专项资金提出安排使用意见，按程序审批后，组织实施，并对专项资金追踪问效，监督项目实施中资金管理使用情况；（5）牵头参与减轻企业负担、农民负担和治理乱收费工作；（6）会同有关科室组织实施对全县各单位的“收支两条线”监督检查工作；（7）负责县级城市建设配套资金的管理和监督；（8）牵头管理国债专项资金的使用，并给予监督检查；（9）负责基金会、城市信用社的收贷和兑付工作，并监督管理基金会和城市信用社专项贷款资金的使用；（10）负责住房公积金的管理和使用工作；（11）负责审核汇总全县的基本建设、预算外资金年度财务决算；（12）完成领导交办的其它各项任务。</w:t>
      </w:r>
    </w:p>
    <w:p w14:paraId="16502866">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2、对口：市局综合处、经济建设处。</w:t>
      </w:r>
    </w:p>
    <w:p w14:paraId="31B337B7">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3、归口管理的部门和单位为：住房建设局、建筑业管理局、人防办、城区管理局、环保局、环洁公司、商业局、图书管理办、粮食局、国土局。</w:t>
      </w:r>
    </w:p>
    <w:p w14:paraId="6C2302DA">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九、行政事业科职责范围</w:t>
      </w:r>
    </w:p>
    <w:p w14:paraId="189E864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4974B342">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负责掌握分管业务的全县基本情况，并参与分管部门行业发展规划和相关政策、制度的研究制订工作；监督执行《行政单位财务规则》、《事业单位财务规则》，研究拟定行政政法、事业、教科文单位财务管理办法；监督项目实施中资金的管理使用情况，并进行项目完成后的效益考核；负责县级行政政法部门和教育科学文化及所属事业单位年度预算执行分析及监督检查工作；负责审核归口管理部门、单位的有关财务、会计报表和年度财务决算；负责分管单位指标管理工作。</w:t>
      </w:r>
    </w:p>
    <w:p w14:paraId="2793B71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负责掌握分管部门的全县基本情况，并参与分管部门行业发展规划和相关政策、制度的研究制定工作；（2）归口管理县级行政政法、事业、党派团体、文化、出版、文物、教育、科学、计划生育、体育、广播电视等部门及所属事业单位涉及财政、财务有关事宜；（3）监督执行《行政单位财务规则》、《事业单位财务规则》，研究拟定行政政法部门、教科文部门和单位的财务规章制度，并对归口管理部门、单位的执行情况进行监督检查；（4）对专项资金追踪问效，监督项目实施中资金的管理使用情况，并进行项目完成后的效益考核；（5）负责归口管理部门、单位的年度预算执行分析和监督检查工作，审核有关财务、会计报表和年度决算；（6）指导行政政法单位、教科文单位建立健全内部财务制度，并对行政、政法事业单位、教科文单位会计人员执业质量进行有关检查；（7）参与教科文事业体制改革，研究拟定相关的财政、财务政策；（8）负责归口管理行政事业单位预算指标核算工作；（9）完成领导交办的其它各项任务。</w:t>
      </w:r>
    </w:p>
    <w:p w14:paraId="4E4B99A6">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2、对口：市局行政政法处、教科文处。</w:t>
      </w:r>
    </w:p>
    <w:p w14:paraId="52A6D490">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3、归口管理的部门和单位为：县委办、政府办、人大、政协、人武部、统战部、国防办、民兵训练基地、纪检委（监察局）、宣传部（文明办、创建办）、组织部（党建办）、信访局、机要局、保密局、团委、农工委、妇联、610办、县直工委、小康办、 优化办、工商联、档案局、广播局、计生局、党校、安监局、财政局、审计局、物价局、统计局、科技局、科协、宗教局、经济发展局、发展计划局、县志办、党史办、公安局、检察院、法院、司法局、消防科、消防中队、户政科、看守所、拘留所、政法委、开放办、外贸局、教育体育局、文广新局、特教学校、文化科、教育督导室、电教站、教研室、招生办、一中、二中、三中、四中、职校、进修学校、向阳小学、幼儿园、特教学校、文化馆、文联、图书馆、剧团、各乡镇统计广播差补工资。</w:t>
      </w:r>
    </w:p>
    <w:p w14:paraId="6643523B">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十、农业科职责范围</w:t>
      </w:r>
    </w:p>
    <w:p w14:paraId="581D782E">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2CF7278F">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主要任务：负责财政在全县农业领域的政策协调和项目安排，监督项目实施中的资金管理使用情况；负责归口管理的部门、单位和乡镇预算指标等业务。</w:t>
      </w:r>
    </w:p>
    <w:p w14:paraId="19E4A74C">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负责掌握全县农口部门及乡镇财政业务的基本情况和涉及财政、财务的有关事宜，参与分管部门行业发展规划和相关政策、制度的研究制订工作；（2）负责农业综合开发项目资金的审核和验收工作，负责农发有偿资金及支农周转金的清理回收及相关报表工作；（3）研究拟定农口部门、单位和乡镇的财务管理办法，并对县级农口部门、单位和乡镇财政所的执行情况进行监督检查；（4）负责财政在全县农业领域的政策协调和项目安排，监督项目实施中的资金管理使用情况，对专项资金跟踪问效，并进行项目完成后的效益考核；（5）负责归口管理部门、单位和乡镇财政所的年度正常预算执行分析和监督检查工作，审核有关财务、会计报表和年度财务决算；（6）参与研究全县农业发展、农村改革政策和法规；拟定财政支农政策，确定财政支农资金投向政策的农业产业重点、地区重点及管理办法；（7）参与管理和分配财政扶贫资金、扶贫贷款、乡镇企业政策性贷款的贴息资金、农业综合开发资金；（8）负责全县利用世界银行及其他国际金融组织和外国政府贷款的前期准备、项目执行、还款管理、定期检查和回收工作及相关决算报表；（9）负责全县乡镇财政所人员、财务等管理工作；（10）负责全县能繁母猪及奶牛等补贴资金的安排、发放和督查工作。（11）完成领导交办的其它各项任务。</w:t>
      </w:r>
    </w:p>
    <w:p w14:paraId="57B3BFB3">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2、对口：市局农业处、涉外处。</w:t>
      </w:r>
    </w:p>
    <w:p w14:paraId="04FD2F67">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3、归口管理的部门和单位为：农开办、农业区划办、水务局、水资办、农业局、畜牧局、农机局、林业局、企业局、农协办、高新技术园区、各乡镇农口差补工资。</w:t>
      </w:r>
    </w:p>
    <w:p w14:paraId="023DC47D">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十一、社保科职业范围</w:t>
      </w:r>
    </w:p>
    <w:p w14:paraId="141BE34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主要任务：根据国家和省、市有关政策，拟定社会保障财务管理办法；负责办理县级社会保障专项资金（基金）业务，并对资金使用情况进行管理监督；负责县级社会保障部门及所属企事业单位年度预算执行分析及监督检查工作；负责审核归口管理部门有关年度财务会计报表和年度财务决算；参与研究社会保障制度改革。</w:t>
      </w:r>
    </w:p>
    <w:p w14:paraId="57724BC7">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负责编制县级社会保障部门和单位资金预算，按预算安排的重点及顺序组织实施；（2）具体负责归口管理部门和单位涉及财政、财务的有关事宜；（3）对专项资金跟踪问效，监督项目实施中资金的管理使用情况，并进行项目完成后的效益考核；（4）规范财务规章制度管理，对归口管理的社会保障部门、单位的财务和各类社会保障资金进行审核与监督；（5）负责归口管理部门、单位的年度正常预算执行分析和监督审核工作，编制有关财务、会计报表和年度财务决算；（6）研究归口管理部门、单位的预算支出改革，提出优化支出结构的政策建议；（7）完成领导交办的其它各项任务。</w:t>
      </w:r>
    </w:p>
    <w:p w14:paraId="5064F631">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2、对口：市局社保处。</w:t>
      </w:r>
    </w:p>
    <w:p w14:paraId="3E1BB89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3、归口管理的部门和单位为：老干部局、民政局（火化场、光荣院、殡葬服务）、劳动和社会保障局（社会保障中心）、残疾人联合会、卫生局、疾控中心、卫生监督所、妇幼保健站、县医院、中医院。</w:t>
      </w:r>
    </w:p>
    <w:p w14:paraId="72E839CF">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十二、企业科职责范围</w:t>
      </w:r>
    </w:p>
    <w:p w14:paraId="171DC164">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06B49D2E">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参与全县产业政策的研究，研究国家与企业分配改革，监督执行《企业财务通则》；负责归口单位专项资金支出预算管理建议，并监督项目实施中资金的管理使用情况并进行完成后的效益考核；负责国有企业各种报表的收集、审核、汇总（包括国有企业的月报表、季报表、产权登记报表、年终决算报表及其他有关报表）和全县城镇集体企业、集体金融企业的年终决算报表的收集、审核、汇总。</w:t>
      </w:r>
    </w:p>
    <w:p w14:paraId="1F1EFF0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参与产业结构调整，提出有关政策、建议或措施；（2）掌握全县国有经济发展的基本情况，参与行业发展规划和相关政策、制度的研究制订工作；（3）监督执行《企业财务通则》，拟定相应的企业财务制度并实施监管；（4）负责退耕还林、粮食直补及综合直补资金的发放管理，负责全县农业保险及无害化处理工作；（5）负责上报归口单位的基本建设项目，争取上级资金，并对建设项目资金管理使用情况进行监督检查，进行项目完成后的施工验收和效益考核；（6）负责全县国有企业的授权经营，并对其运营状况进行监管；（7）完成领导交办的其它各项任务。</w:t>
      </w:r>
    </w:p>
    <w:p w14:paraId="2C9EE940">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2、对口：市局企业处、市局经济建设处。</w:t>
      </w:r>
    </w:p>
    <w:p w14:paraId="088231D3">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十三、会计科职责范围</w:t>
      </w:r>
    </w:p>
    <w:p w14:paraId="466AE378">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41FE161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根据《会计法》、《注册会计师法》、会计准则、行业会计制度等法规，对全县会计人员进行管理；指导和管理社会审计和评估工作；开展会计诚信建设，督导会计信息质量；组织和管理会计人员业务培训，以专业技术职务管理、会计证管理、电算化管理等手段加强会计基础工作规范和会计建设。</w:t>
      </w:r>
    </w:p>
    <w:p w14:paraId="48691C37">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管理全县会计工作和会计人员，拟定全县会计改革与发展规划，研究和提出加强会计工作的政策和建议；（2）组织贯彻实施国家《会计法》、会计制度和会计准则；（3）指导和管理社会审计工作；（4）负责对会计执业人员的监督管理工作；（5）拟定和实施全县会计人员监督管理的有关办法；（6）负责组织全县会计职称资格考试、会计从业资格考试；（7）负责全县会计基础规范化工作；（8）指导、管理并具体负责资产的评估工作；（9）组织开展会计法执行情况检查；（10）办理会计证年检和会计证发放；（11）表彰和奖励会计工作先进集体和优秀会计人员，负责受理涉及打击报复会计人员的人们来信和来访；（12）办理领导交办的其他事项。</w:t>
      </w:r>
    </w:p>
    <w:p w14:paraId="1761E99E">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2、对口：市局会计处。</w:t>
      </w:r>
    </w:p>
    <w:p w14:paraId="7F1AC972">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十四、国有资产管理科职责范围</w:t>
      </w:r>
    </w:p>
    <w:p w14:paraId="1587399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783C03E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负责制订全县国有企业、行政事业单位的国有资产管理的规章制度；负责全县国有企业月报及决算工作；监督执行企业和行政事业单位国有资产管理的各项法规、规章制度，组织实施全县各类国有资产权属的界定、登记、年检、转让及变现、改制；指导全县资产评估工作；具体牵头研究拟定行政事业单位国有资产管理的规章制度，组织全县行政事业单位国有资产的管理、权属界定、产权登记、转让、年检、纠纷调处和国有资产的变现、报废工作；贯彻执行清产核资的有关制度、办法，组织实施全县清产核资工作。</w:t>
      </w:r>
    </w:p>
    <w:p w14:paraId="40AEDA9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贯彻国家有关国有资产管理的方针政策和规章制度，组织国有资产管理理论研究，拟定国有资产管理体制改革方案，提出加强国有资产基础管理工作的合理化建议；（2）在县政府的领导下，组织实施全县国有资本金权属界定、产权登记、转让、处置以及统计、分析等国有资产监管工作，负责全县非经营性国有资产的管理；（3）负责县级各类国有资产权属的界定、登记、年检和转让及变现工作；（4）对非经营性资产转经营性资产进行审批管理，收缴国有资产占用费；（5）负责全县国有资产流失举报案件的受理、查处工作；（6）负责我县国有企业的产权登记报表的收集、审核、汇总上报；（7）管理和指导全县产权交易工作；（8）负责我县国有企业的资产评估项目的立项、确认及企业清算工作的立项、确认；（9）建立全县公共资源统计评价指标体系及确定评价标准系数，对全县国有资产经营绩效进行评价和保值增值考核；（10）完成领导交办的其它各项任务。</w:t>
      </w:r>
    </w:p>
    <w:p w14:paraId="053D9050">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2、对口：市产权交易中心、市国资委统计评价处。</w:t>
      </w:r>
    </w:p>
    <w:p w14:paraId="237EF561">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十五、编审中心职责范围</w:t>
      </w:r>
    </w:p>
    <w:p w14:paraId="65B4A01D">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1）负责全县财政供养人员工资发放银行化工作。（2）负责全县财政供养人员一次性抚恤金及丧葬费审核及发放。（3）负责全县财政供养人员和享受遗属补助人员指纹信息系统管理，以及年检指纹比对工作。（4）负责财政供养人员统计评价系统维护管理及数字上报工作。（5）完成局领导交办的其他各项工作任务。</w:t>
      </w:r>
    </w:p>
    <w:p w14:paraId="1F19BEEC">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2、对口：市局编审中心。</w:t>
      </w:r>
    </w:p>
    <w:p w14:paraId="7F635AF5">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十六、政府采购办公室职责范围</w:t>
      </w:r>
    </w:p>
    <w:p w14:paraId="3E2A5515">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1、主要任务：负责全县政府采购的日常管理工作。</w:t>
      </w:r>
    </w:p>
    <w:p w14:paraId="57FE4DF8">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其职责如下：（1）执行《政府采购法》及其相关政策、规章，管理和监督政府采购工作；（2）汇总、编制、审核政府采购预算，确定、调整政府采购目录和招标采购范围的限额标准；（3）实施政府采购的具体措施；（4）组织、指导、协调、检查全县政府采购工作；（5）审批进入政府采购市场的供应商资格和社会中介机构的业务代理资格；（6）受理政府采购投诉；（7）办理其他有关政府采购事务及领导交办的其他工作。</w:t>
      </w:r>
    </w:p>
    <w:p w14:paraId="20864B8A">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2、对口：市局采购办。</w:t>
      </w:r>
    </w:p>
    <w:p w14:paraId="2722BA24">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十七、政府采购中心职责范围</w:t>
      </w:r>
    </w:p>
    <w:p w14:paraId="481F7CD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w:t>
      </w:r>
    </w:p>
    <w:p w14:paraId="645F08AF">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主要任务：负责本级政府采购的具体组织实施工作。其职责如下：（1）组织实施集中采购；（2）接受采购机关委托代理采购或组织招标事宜；（3）建立与本级政府采购相适应的信息系统；（4）负责管理政府采购项目文件档案，负责机构内部工作人员的教育、培训和考核；（5）受理和处理供应商的询问或者质疑，并在规定时间内给予答复；（6）办理其他有关政府采购事务；（7）办理领导交办的其他工作。</w:t>
      </w:r>
    </w:p>
    <w:p w14:paraId="0E4C22ED">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2、对口：市局采购中心。</w:t>
      </w:r>
    </w:p>
    <w:p w14:paraId="5A15A846">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十八、新型农村合作医疗资金管理中心职责范围</w:t>
      </w:r>
    </w:p>
    <w:p w14:paraId="5DB6BA94">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1）贯彻执行国家、省、市涉及新型农村合作医疗资金管理的政策要求和规定；（2）负责全县新型农村合作医疗基金的缴存、管理和监督使用；（3）负责全县新型农村合作医疗报免手续的终审工作；（4）完成局领导交办的其他各项任务。</w:t>
      </w:r>
    </w:p>
    <w:p w14:paraId="7C99282C">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2、对口：市局社保处。</w:t>
      </w:r>
    </w:p>
    <w:p w14:paraId="68729525">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十九、投资评审中心职责范围</w:t>
      </w:r>
    </w:p>
    <w:p w14:paraId="1859B479">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和职责：（1）审查财政性投资项目的工程概、预、竣工决（结）算，参与项目招标、工程设备采购工作；（2）评估财政性投资的基本建设、技术改造、国土资源勘探等项目，负责出具评审报告；（3）根据纪检、监察、财政部门查办财政性投资项目中违法违纪案件的需要，提供评审报告；（4）开展政府财政投资政策、项目管理研究，指导基建财务管理、投资风险、投资效益分析，为实施财政投资政策和宏观调控决策提供基础信息服务；（5）配合建设项目有关管理部门进行工程造价控制、工程进度、质量监督和竣工验收工作；（6）完成领导交办的其它各项任务。</w:t>
      </w:r>
    </w:p>
    <w:p w14:paraId="61FB3F2F">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2、对口：市局投资评审中心。</w:t>
      </w:r>
    </w:p>
    <w:p w14:paraId="1DAB7F8D">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二十、信息中心职责范围</w:t>
      </w:r>
    </w:p>
    <w:p w14:paraId="240CCEB8">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1）研究制订财政系统信息化建设发展规划，组织和建设“金财工程”，负责县级联网的总体规划和组织实施；（2）统一管理各种信息资源，负责网络的安全运行；（3）负责财政系统各类计算机应用软件的推广，促进财政系统实现办公自动化；（4）负责指导财政系统计算机应用，组织计算机技术培训；（5）负责指导本系统计算机和现代化办公设备的选型和购置，负责机关各科室计算机耗材的供应与管理。</w:t>
      </w:r>
    </w:p>
    <w:p w14:paraId="3177976B">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2、对口：市局信息中心。</w:t>
      </w:r>
    </w:p>
    <w:p w14:paraId="41F55CA3">
      <w:pPr>
        <w:widowControl/>
        <w:spacing w:line="360" w:lineRule="auto"/>
        <w:ind w:left="641" w:firstLine="643" w:firstLineChars="200"/>
        <w:jc w:val="left"/>
        <w:rPr>
          <w:rFonts w:ascii="仿宋" w:hAnsi="仿宋" w:eastAsia="仿宋" w:cs="仿宋"/>
          <w:b/>
          <w:sz w:val="32"/>
          <w:szCs w:val="32"/>
        </w:rPr>
      </w:pPr>
      <w:r>
        <w:rPr>
          <w:rFonts w:hint="eastAsia" w:ascii="仿宋" w:hAnsi="仿宋" w:eastAsia="仿宋" w:cs="仿宋"/>
          <w:b/>
          <w:sz w:val="32"/>
          <w:szCs w:val="32"/>
        </w:rPr>
        <w:t>二十一、控购管理办公室职责范围</w:t>
      </w:r>
    </w:p>
    <w:p w14:paraId="730633B3">
      <w:pPr>
        <w:widowControl/>
        <w:spacing w:line="360" w:lineRule="auto"/>
        <w:ind w:left="641" w:firstLine="640" w:firstLineChars="200"/>
        <w:jc w:val="left"/>
        <w:rPr>
          <w:rFonts w:ascii="仿宋" w:hAnsi="仿宋" w:eastAsia="仿宋" w:cs="仿宋"/>
          <w:sz w:val="32"/>
          <w:szCs w:val="32"/>
        </w:rPr>
      </w:pPr>
      <w:r>
        <w:rPr>
          <w:rFonts w:hint="eastAsia" w:ascii="仿宋" w:hAnsi="仿宋" w:eastAsia="仿宋" w:cs="仿宋"/>
          <w:sz w:val="32"/>
          <w:szCs w:val="32"/>
        </w:rPr>
        <w:t>1、主要任务及职责：（1）贯彻国家的控购管理政策，负责小汽车的编制管理工作；（2）按照小汽车控购的规定及核定的配备标准，申报和办理控购审批手续；（3）完成局领导交办的其他各项任务。</w:t>
      </w:r>
    </w:p>
    <w:p w14:paraId="230FBB82">
      <w:pPr>
        <w:widowControl/>
        <w:spacing w:line="360" w:lineRule="auto"/>
        <w:ind w:left="641" w:firstLine="640" w:firstLineChars="200"/>
        <w:jc w:val="left"/>
        <w:rPr>
          <w:rFonts w:ascii="仿宋" w:hAnsi="仿宋" w:eastAsia="仿宋" w:cs="仿宋_GB2312"/>
          <w:kern w:val="0"/>
          <w:sz w:val="32"/>
          <w:szCs w:val="32"/>
          <w:lang w:bidi="ar"/>
        </w:rPr>
      </w:pPr>
      <w:r>
        <w:rPr>
          <w:rFonts w:hint="eastAsia" w:ascii="仿宋" w:hAnsi="仿宋" w:eastAsia="仿宋" w:cs="仿宋"/>
          <w:sz w:val="32"/>
          <w:szCs w:val="32"/>
        </w:rPr>
        <w:t>2、对口：市局控购办。</w:t>
      </w:r>
    </w:p>
    <w:p w14:paraId="16C998F5">
      <w:pPr>
        <w:widowControl/>
        <w:spacing w:line="360" w:lineRule="auto"/>
        <w:jc w:val="left"/>
        <w:rPr>
          <w:rFonts w:ascii="仿宋" w:hAnsi="仿宋" w:eastAsia="仿宋" w:cs="Calibri"/>
          <w:b/>
          <w:kern w:val="0"/>
          <w:sz w:val="32"/>
          <w:szCs w:val="32"/>
          <w:lang w:bidi="ar"/>
        </w:rPr>
      </w:pPr>
      <w:r>
        <w:rPr>
          <w:rFonts w:hint="eastAsia" w:ascii="仿宋" w:hAnsi="仿宋" w:eastAsia="仿宋" w:cs="Calibri"/>
          <w:b/>
          <w:kern w:val="0"/>
          <w:sz w:val="32"/>
          <w:szCs w:val="32"/>
          <w:lang w:bidi="ar"/>
        </w:rPr>
        <w:t xml:space="preserve">    内设</w:t>
      </w:r>
      <w:r>
        <w:rPr>
          <w:rFonts w:ascii="仿宋" w:hAnsi="仿宋" w:eastAsia="仿宋" w:cs="Calibri"/>
          <w:b/>
          <w:kern w:val="0"/>
          <w:sz w:val="32"/>
          <w:szCs w:val="32"/>
          <w:lang w:bidi="ar"/>
        </w:rPr>
        <w:t>机构</w:t>
      </w:r>
      <w:r>
        <w:rPr>
          <w:rFonts w:hint="eastAsia" w:ascii="仿宋" w:hAnsi="仿宋" w:eastAsia="仿宋" w:cs="Calibri"/>
          <w:b/>
          <w:kern w:val="0"/>
          <w:sz w:val="32"/>
          <w:szCs w:val="32"/>
          <w:lang w:bidi="ar"/>
        </w:rPr>
        <w:t>及职责</w:t>
      </w:r>
    </w:p>
    <w:p w14:paraId="02263163">
      <w:pPr>
        <w:widowControl/>
        <w:spacing w:line="360" w:lineRule="auto"/>
        <w:ind w:left="628"/>
        <w:jc w:val="left"/>
        <w:rPr>
          <w:rFonts w:ascii="仿宋" w:hAnsi="仿宋" w:eastAsia="仿宋" w:cs="仿宋"/>
          <w:bCs/>
          <w:kern w:val="0"/>
          <w:sz w:val="32"/>
          <w:szCs w:val="32"/>
          <w:lang w:bidi="ar"/>
        </w:rPr>
      </w:pPr>
      <w:r>
        <w:rPr>
          <w:rFonts w:hint="eastAsia" w:ascii="仿宋" w:hAnsi="仿宋" w:eastAsia="仿宋" w:cs="仿宋"/>
          <w:bCs/>
          <w:kern w:val="0"/>
          <w:sz w:val="32"/>
          <w:szCs w:val="32"/>
          <w:lang w:bidi="ar"/>
        </w:rPr>
        <w:t>成安县财政局预算编码318下设个科室12个:318002成安县财政局机关、318003财政局预算科、318004财政局事业科、318005财政局事业科、318006财政局社保科、318007财政局农财科、318008财政局新农合科、318009财政局农税科、318010财政局政府采购办、318011乾元会计师事务所。</w:t>
      </w:r>
    </w:p>
    <w:p w14:paraId="2B369212">
      <w:pPr>
        <w:widowControl/>
        <w:spacing w:line="360" w:lineRule="auto"/>
        <w:jc w:val="left"/>
        <w:rPr>
          <w:rFonts w:ascii="仿宋" w:hAnsi="仿宋" w:eastAsia="仿宋" w:cs="Calibri"/>
          <w:b/>
          <w:kern w:val="0"/>
          <w:sz w:val="32"/>
          <w:szCs w:val="32"/>
          <w:lang w:bidi="ar"/>
        </w:rPr>
      </w:pPr>
      <w:r>
        <w:rPr>
          <w:rFonts w:hint="eastAsia" w:ascii="仿宋" w:hAnsi="仿宋" w:eastAsia="仿宋" w:cs="Calibri"/>
          <w:b/>
          <w:kern w:val="0"/>
          <w:sz w:val="32"/>
          <w:szCs w:val="32"/>
          <w:lang w:bidi="ar"/>
        </w:rPr>
        <w:t xml:space="preserve">   人员编制和领导职数</w:t>
      </w:r>
    </w:p>
    <w:p w14:paraId="6F7E3E2F">
      <w:pPr>
        <w:widowControl/>
        <w:spacing w:line="360" w:lineRule="auto"/>
        <w:jc w:val="left"/>
        <w:rPr>
          <w:rFonts w:ascii="仿宋" w:hAnsi="仿宋" w:eastAsia="仿宋" w:cs="仿宋"/>
          <w:bCs/>
          <w:kern w:val="0"/>
          <w:sz w:val="32"/>
          <w:szCs w:val="32"/>
          <w:lang w:bidi="ar"/>
        </w:rPr>
      </w:pPr>
      <w:r>
        <w:rPr>
          <w:rFonts w:hint="eastAsia" w:ascii="仿宋" w:hAnsi="仿宋" w:eastAsia="仿宋" w:cs="Calibri"/>
          <w:b/>
          <w:kern w:val="0"/>
          <w:sz w:val="32"/>
          <w:szCs w:val="32"/>
          <w:lang w:bidi="ar"/>
        </w:rPr>
        <w:t xml:space="preserve">     </w:t>
      </w:r>
      <w:r>
        <w:rPr>
          <w:rFonts w:hint="eastAsia" w:ascii="仿宋" w:hAnsi="仿宋" w:eastAsia="仿宋" w:cs="仿宋"/>
          <w:bCs/>
          <w:kern w:val="0"/>
          <w:sz w:val="32"/>
          <w:szCs w:val="32"/>
          <w:lang w:bidi="ar"/>
        </w:rPr>
        <w:t>成安县财政局，人员编制91名，其中领导职数5个。</w:t>
      </w:r>
    </w:p>
    <w:p w14:paraId="1E8B065E">
      <w:pPr>
        <w:autoSpaceDE w:val="0"/>
        <w:autoSpaceDN w:val="0"/>
        <w:adjustRightInd w:val="0"/>
        <w:ind w:firstLine="643" w:firstLineChars="200"/>
        <w:jc w:val="left"/>
        <w:rPr>
          <w:rFonts w:ascii="方正仿宋_GBK" w:hAnsi="Times New Roman" w:eastAsia="方正仿宋_GBK" w:cs="Times New Roman"/>
          <w:b/>
          <w:bCs/>
          <w:sz w:val="32"/>
          <w:szCs w:val="32"/>
        </w:rPr>
      </w:pPr>
      <w:r>
        <w:rPr>
          <w:rFonts w:hint="eastAsia" w:ascii="方正仿宋_GBK" w:hAnsi="Times New Roman" w:eastAsia="方正仿宋_GBK" w:cs="方正仿宋_GBK"/>
          <w:b/>
          <w:bCs/>
          <w:sz w:val="32"/>
          <w:szCs w:val="32"/>
        </w:rPr>
        <w:t>机构设置：</w:t>
      </w:r>
    </w:p>
    <w:p w14:paraId="16ABED3F">
      <w:pPr>
        <w:jc w:val="center"/>
        <w:outlineLvl w:val="0"/>
        <w:rPr>
          <w:rFonts w:ascii="Times New Roman" w:hAnsi="Times New Roman" w:eastAsia="方正小标宋_GBK" w:cs="Times New Roman"/>
          <w:sz w:val="32"/>
          <w:szCs w:val="32"/>
        </w:rPr>
      </w:pPr>
      <w:r>
        <w:rPr>
          <w:rFonts w:hint="eastAsia" w:ascii="Times New Roman" w:hAnsi="Times New Roman" w:eastAsia="方正小标宋_GBK" w:cs="方正小标宋_GBK"/>
          <w:sz w:val="32"/>
          <w:szCs w:val="32"/>
        </w:rPr>
        <w:t>部门机构设置情况</w:t>
      </w:r>
    </w:p>
    <w:tbl>
      <w:tblPr>
        <w:tblStyle w:val="4"/>
        <w:tblW w:w="86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317"/>
        <w:gridCol w:w="1134"/>
        <w:gridCol w:w="1276"/>
        <w:gridCol w:w="2902"/>
      </w:tblGrid>
      <w:tr w14:paraId="25D5E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3317" w:type="dxa"/>
            <w:vMerge w:val="restart"/>
            <w:vAlign w:val="center"/>
          </w:tcPr>
          <w:p w14:paraId="3AF712F4">
            <w:pPr>
              <w:spacing w:line="300" w:lineRule="exact"/>
              <w:jc w:val="center"/>
              <w:rPr>
                <w:rFonts w:ascii="宋体" w:hAnsi="宋体" w:eastAsia="宋体" w:cs="Times New Roman"/>
                <w:b/>
                <w:bCs/>
              </w:rPr>
            </w:pPr>
            <w:r>
              <w:rPr>
                <w:rFonts w:hint="eastAsia" w:ascii="宋体" w:hAnsi="宋体" w:eastAsia="宋体" w:cs="方正书宋_GBK"/>
                <w:b/>
                <w:bCs/>
              </w:rPr>
              <w:t>单位名称</w:t>
            </w:r>
          </w:p>
        </w:tc>
        <w:tc>
          <w:tcPr>
            <w:tcW w:w="1134" w:type="dxa"/>
            <w:vMerge w:val="restart"/>
            <w:vAlign w:val="center"/>
          </w:tcPr>
          <w:p w14:paraId="1157E058">
            <w:pPr>
              <w:spacing w:line="300" w:lineRule="exact"/>
              <w:jc w:val="center"/>
              <w:rPr>
                <w:rFonts w:ascii="宋体" w:hAnsi="宋体" w:eastAsia="宋体" w:cs="Times New Roman"/>
                <w:b/>
                <w:bCs/>
              </w:rPr>
            </w:pPr>
            <w:r>
              <w:rPr>
                <w:rFonts w:hint="eastAsia" w:ascii="宋体" w:hAnsi="宋体" w:eastAsia="宋体" w:cs="方正书宋_GBK"/>
                <w:b/>
                <w:bCs/>
              </w:rPr>
              <w:t>单位性质</w:t>
            </w:r>
          </w:p>
        </w:tc>
        <w:tc>
          <w:tcPr>
            <w:tcW w:w="1276" w:type="dxa"/>
            <w:vMerge w:val="restart"/>
            <w:vAlign w:val="center"/>
          </w:tcPr>
          <w:p w14:paraId="00AB146E">
            <w:pPr>
              <w:spacing w:line="300" w:lineRule="exact"/>
              <w:jc w:val="center"/>
              <w:rPr>
                <w:rFonts w:ascii="宋体" w:hAnsi="宋体" w:eastAsia="宋体" w:cs="Times New Roman"/>
                <w:b/>
                <w:bCs/>
              </w:rPr>
            </w:pPr>
            <w:r>
              <w:rPr>
                <w:rFonts w:hint="eastAsia" w:ascii="宋体" w:hAnsi="宋体" w:eastAsia="宋体" w:cs="方正书宋_GBK"/>
                <w:b/>
                <w:bCs/>
              </w:rPr>
              <w:t>单位规格</w:t>
            </w:r>
          </w:p>
        </w:tc>
        <w:tc>
          <w:tcPr>
            <w:tcW w:w="2902" w:type="dxa"/>
            <w:vMerge w:val="restart"/>
            <w:vAlign w:val="center"/>
          </w:tcPr>
          <w:p w14:paraId="4D37FF9C">
            <w:pPr>
              <w:spacing w:line="300" w:lineRule="exact"/>
              <w:jc w:val="center"/>
              <w:rPr>
                <w:rFonts w:ascii="宋体" w:hAnsi="宋体" w:eastAsia="宋体" w:cs="Times New Roman"/>
                <w:b/>
                <w:bCs/>
              </w:rPr>
            </w:pPr>
            <w:r>
              <w:rPr>
                <w:rFonts w:hint="eastAsia" w:ascii="宋体" w:hAnsi="宋体" w:eastAsia="宋体" w:cs="方正书宋_GBK"/>
                <w:b/>
                <w:bCs/>
              </w:rPr>
              <w:t>经费保障形式</w:t>
            </w:r>
          </w:p>
        </w:tc>
      </w:tr>
      <w:tr w14:paraId="62FE5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3317" w:type="dxa"/>
            <w:vMerge w:val="continue"/>
            <w:vAlign w:val="center"/>
          </w:tcPr>
          <w:p w14:paraId="2DA0E5E2">
            <w:pPr>
              <w:spacing w:line="300" w:lineRule="exact"/>
              <w:jc w:val="left"/>
              <w:outlineLvl w:val="0"/>
              <w:rPr>
                <w:rFonts w:ascii="Times New Roman" w:hAnsi="Times New Roman" w:eastAsia="宋体" w:cs="Times New Roman"/>
              </w:rPr>
            </w:pPr>
          </w:p>
        </w:tc>
        <w:tc>
          <w:tcPr>
            <w:tcW w:w="1134" w:type="dxa"/>
            <w:vMerge w:val="continue"/>
            <w:vAlign w:val="center"/>
          </w:tcPr>
          <w:p w14:paraId="387FF142">
            <w:pPr>
              <w:spacing w:line="300" w:lineRule="exact"/>
              <w:jc w:val="left"/>
              <w:outlineLvl w:val="0"/>
              <w:rPr>
                <w:rFonts w:ascii="Times New Roman" w:hAnsi="Times New Roman" w:eastAsia="宋体" w:cs="Times New Roman"/>
              </w:rPr>
            </w:pPr>
          </w:p>
        </w:tc>
        <w:tc>
          <w:tcPr>
            <w:tcW w:w="1276" w:type="dxa"/>
            <w:vMerge w:val="continue"/>
            <w:vAlign w:val="center"/>
          </w:tcPr>
          <w:p w14:paraId="2F7622CB">
            <w:pPr>
              <w:spacing w:line="300" w:lineRule="exact"/>
              <w:jc w:val="left"/>
              <w:outlineLvl w:val="0"/>
              <w:rPr>
                <w:rFonts w:ascii="Times New Roman" w:hAnsi="Times New Roman" w:eastAsia="宋体" w:cs="Times New Roman"/>
              </w:rPr>
            </w:pPr>
          </w:p>
        </w:tc>
        <w:tc>
          <w:tcPr>
            <w:tcW w:w="2902" w:type="dxa"/>
            <w:vMerge w:val="continue"/>
            <w:vAlign w:val="center"/>
          </w:tcPr>
          <w:p w14:paraId="6C67CD48">
            <w:pPr>
              <w:spacing w:line="300" w:lineRule="exact"/>
              <w:jc w:val="left"/>
              <w:outlineLvl w:val="0"/>
              <w:rPr>
                <w:rFonts w:ascii="Times New Roman" w:hAnsi="Times New Roman" w:eastAsia="宋体" w:cs="Times New Roman"/>
              </w:rPr>
            </w:pPr>
          </w:p>
        </w:tc>
      </w:tr>
      <w:tr w14:paraId="155E9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317" w:type="dxa"/>
            <w:vAlign w:val="center"/>
          </w:tcPr>
          <w:p w14:paraId="60064A9B">
            <w:pPr>
              <w:spacing w:line="300" w:lineRule="exact"/>
              <w:jc w:val="left"/>
              <w:rPr>
                <w:rFonts w:ascii="Times New Roman" w:hAnsi="Times New Roman" w:eastAsia="方正书宋_GBK" w:cs="Times New Roman"/>
              </w:rPr>
            </w:pPr>
            <w:r>
              <w:rPr>
                <w:rFonts w:hint="eastAsia" w:ascii="宋体" w:hAnsi="宋体" w:eastAsia="宋体" w:cs="宋体"/>
              </w:rPr>
              <w:t>成安县财政局</w:t>
            </w:r>
          </w:p>
        </w:tc>
        <w:tc>
          <w:tcPr>
            <w:tcW w:w="1134" w:type="dxa"/>
            <w:vAlign w:val="center"/>
          </w:tcPr>
          <w:p w14:paraId="4F736ABB">
            <w:pPr>
              <w:spacing w:line="300" w:lineRule="exact"/>
              <w:jc w:val="left"/>
              <w:rPr>
                <w:rFonts w:ascii="Times New Roman" w:hAnsi="Times New Roman" w:eastAsia="方正书宋_GBK" w:cs="Times New Roman"/>
              </w:rPr>
            </w:pPr>
            <w:r>
              <w:rPr>
                <w:rFonts w:hint="eastAsia" w:ascii="宋体" w:hAnsi="宋体" w:eastAsia="宋体" w:cs="宋体"/>
              </w:rPr>
              <w:t>全额事业</w:t>
            </w:r>
          </w:p>
        </w:tc>
        <w:tc>
          <w:tcPr>
            <w:tcW w:w="1276" w:type="dxa"/>
            <w:vAlign w:val="center"/>
          </w:tcPr>
          <w:p w14:paraId="04FFBC50">
            <w:pPr>
              <w:spacing w:line="300" w:lineRule="exact"/>
              <w:jc w:val="left"/>
              <w:rPr>
                <w:rFonts w:ascii="Times New Roman" w:hAnsi="Times New Roman" w:eastAsia="方正书宋_GBK" w:cs="Times New Roman"/>
              </w:rPr>
            </w:pPr>
            <w:r>
              <w:rPr>
                <w:rFonts w:hint="eastAsia" w:ascii="宋体" w:hAnsi="宋体" w:eastAsia="宋体" w:cs="宋体"/>
              </w:rPr>
              <w:t>正科</w:t>
            </w:r>
          </w:p>
        </w:tc>
        <w:tc>
          <w:tcPr>
            <w:tcW w:w="2902" w:type="dxa"/>
            <w:vAlign w:val="center"/>
          </w:tcPr>
          <w:p w14:paraId="3711CFA4">
            <w:pPr>
              <w:spacing w:line="300" w:lineRule="exact"/>
              <w:jc w:val="left"/>
              <w:rPr>
                <w:rFonts w:ascii="Times New Roman" w:hAnsi="Times New Roman" w:eastAsia="方正书宋_GBK" w:cs="Times New Roman"/>
              </w:rPr>
            </w:pPr>
            <w:r>
              <w:rPr>
                <w:rFonts w:hint="eastAsia" w:ascii="宋体" w:hAnsi="宋体" w:eastAsia="宋体" w:cs="宋体"/>
              </w:rPr>
              <w:t>财政性资金基本保障</w:t>
            </w:r>
          </w:p>
        </w:tc>
      </w:tr>
      <w:tr w14:paraId="24A1E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317" w:type="dxa"/>
            <w:vAlign w:val="center"/>
          </w:tcPr>
          <w:p w14:paraId="102C741D">
            <w:pPr>
              <w:spacing w:line="300" w:lineRule="exact"/>
              <w:jc w:val="left"/>
              <w:rPr>
                <w:rFonts w:ascii="Times New Roman" w:hAnsi="Times New Roman" w:eastAsia="方正书宋_GBK" w:cs="Times New Roman"/>
              </w:rPr>
            </w:pPr>
          </w:p>
        </w:tc>
        <w:tc>
          <w:tcPr>
            <w:tcW w:w="1134" w:type="dxa"/>
            <w:vAlign w:val="center"/>
          </w:tcPr>
          <w:p w14:paraId="6B0834EB">
            <w:pPr>
              <w:spacing w:line="300" w:lineRule="exact"/>
              <w:jc w:val="left"/>
              <w:rPr>
                <w:rFonts w:ascii="Times New Roman" w:hAnsi="Times New Roman" w:eastAsia="方正书宋_GBK" w:cs="Times New Roman"/>
              </w:rPr>
            </w:pPr>
          </w:p>
        </w:tc>
        <w:tc>
          <w:tcPr>
            <w:tcW w:w="1276" w:type="dxa"/>
            <w:vAlign w:val="center"/>
          </w:tcPr>
          <w:p w14:paraId="457E5E54">
            <w:pPr>
              <w:spacing w:line="300" w:lineRule="exact"/>
              <w:jc w:val="left"/>
              <w:rPr>
                <w:rFonts w:ascii="Times New Roman" w:hAnsi="Times New Roman" w:eastAsia="方正书宋_GBK" w:cs="Times New Roman"/>
              </w:rPr>
            </w:pPr>
          </w:p>
        </w:tc>
        <w:tc>
          <w:tcPr>
            <w:tcW w:w="2902" w:type="dxa"/>
            <w:vAlign w:val="center"/>
          </w:tcPr>
          <w:p w14:paraId="4CDE045C">
            <w:pPr>
              <w:spacing w:line="300" w:lineRule="exact"/>
              <w:jc w:val="left"/>
              <w:rPr>
                <w:rFonts w:ascii="Times New Roman" w:hAnsi="Times New Roman" w:eastAsia="方正书宋_GBK" w:cs="Times New Roman"/>
              </w:rPr>
            </w:pPr>
          </w:p>
        </w:tc>
      </w:tr>
    </w:tbl>
    <w:p w14:paraId="00066634">
      <w:pPr>
        <w:spacing w:line="560" w:lineRule="exact"/>
        <w:ind w:firstLine="640"/>
        <w:rPr>
          <w:rFonts w:ascii="黑体" w:hAnsi="黑体" w:eastAsia="黑体" w:cs="Times New Roman"/>
          <w:sz w:val="32"/>
          <w:szCs w:val="32"/>
        </w:rPr>
      </w:pPr>
      <w:r>
        <w:rPr>
          <w:rFonts w:hint="eastAsia" w:ascii="黑体" w:hAnsi="黑体" w:eastAsia="黑体" w:cs="黑体"/>
          <w:sz w:val="32"/>
          <w:szCs w:val="32"/>
        </w:rPr>
        <w:t>二、部门预算安排的总体情况</w:t>
      </w:r>
    </w:p>
    <w:p w14:paraId="0C5A63DC">
      <w:pPr>
        <w:widowControl/>
        <w:spacing w:line="360" w:lineRule="auto"/>
        <w:ind w:firstLine="627" w:firstLineChars="196"/>
        <w:jc w:val="left"/>
        <w:rPr>
          <w:rFonts w:ascii="仿宋" w:hAnsi="仿宋" w:eastAsia="仿宋"/>
        </w:rPr>
      </w:pPr>
      <w:r>
        <w:rPr>
          <w:rFonts w:hint="eastAsia" w:ascii="仿宋" w:hAnsi="仿宋" w:eastAsia="仿宋" w:cs="仿宋_GB2312"/>
          <w:kern w:val="0"/>
          <w:sz w:val="32"/>
          <w:szCs w:val="32"/>
          <w:lang w:bidi="ar"/>
        </w:rPr>
        <w:t>2017年部门收入预算总额为</w:t>
      </w:r>
      <w:r>
        <w:rPr>
          <w:rFonts w:ascii="仿宋" w:hAnsi="仿宋" w:eastAsia="仿宋" w:cs="方正仿宋_GBK"/>
          <w:sz w:val="32"/>
          <w:szCs w:val="32"/>
        </w:rPr>
        <w:t>944.66</w:t>
      </w:r>
      <w:r>
        <w:rPr>
          <w:rFonts w:hint="eastAsia" w:ascii="仿宋" w:hAnsi="仿宋" w:eastAsia="仿宋" w:cs="仿宋_GB2312"/>
          <w:kern w:val="0"/>
          <w:sz w:val="32"/>
          <w:szCs w:val="32"/>
          <w:lang w:bidi="ar"/>
        </w:rPr>
        <w:t>万元，部门支出预算总额为</w:t>
      </w:r>
      <w:r>
        <w:rPr>
          <w:rFonts w:ascii="仿宋" w:hAnsi="仿宋" w:eastAsia="仿宋" w:cs="方正仿宋_GBK"/>
          <w:sz w:val="32"/>
          <w:szCs w:val="32"/>
        </w:rPr>
        <w:t>944.66</w:t>
      </w:r>
      <w:r>
        <w:rPr>
          <w:rFonts w:hint="eastAsia" w:ascii="仿宋" w:hAnsi="仿宋" w:eastAsia="仿宋" w:cs="仿宋_GB2312"/>
          <w:kern w:val="0"/>
          <w:sz w:val="32"/>
          <w:szCs w:val="32"/>
          <w:lang w:bidi="ar"/>
        </w:rPr>
        <w:t>万元（其中人员经费584.66万元，公用经费360万元）。</w:t>
      </w:r>
    </w:p>
    <w:p w14:paraId="08119FE1">
      <w:pPr>
        <w:spacing w:line="560" w:lineRule="exact"/>
        <w:ind w:firstLine="640"/>
        <w:rPr>
          <w:rFonts w:ascii="楷体" w:hAnsi="楷体" w:eastAsia="楷体" w:cs="Times New Roman"/>
          <w:b/>
          <w:bCs/>
          <w:sz w:val="32"/>
          <w:szCs w:val="32"/>
        </w:rPr>
      </w:pPr>
      <w:r>
        <w:rPr>
          <w:rFonts w:ascii="楷体" w:hAnsi="楷体" w:eastAsia="楷体" w:cs="楷体"/>
          <w:b/>
          <w:bCs/>
          <w:sz w:val="32"/>
          <w:szCs w:val="32"/>
        </w:rPr>
        <w:t>1</w:t>
      </w:r>
      <w:r>
        <w:rPr>
          <w:rFonts w:hint="eastAsia" w:ascii="楷体" w:hAnsi="楷体" w:eastAsia="楷体" w:cs="楷体"/>
          <w:b/>
          <w:bCs/>
          <w:sz w:val="32"/>
          <w:szCs w:val="32"/>
        </w:rPr>
        <w:t>、收入说明</w:t>
      </w:r>
    </w:p>
    <w:p w14:paraId="2BAED85F">
      <w:pPr>
        <w:spacing w:line="560" w:lineRule="exact"/>
        <w:ind w:firstLine="640"/>
        <w:rPr>
          <w:rFonts w:ascii="仿宋" w:hAnsi="仿宋" w:eastAsia="仿宋" w:cs="Times New Roman"/>
          <w:sz w:val="32"/>
          <w:szCs w:val="32"/>
        </w:rPr>
      </w:pPr>
      <w:r>
        <w:rPr>
          <w:rFonts w:ascii="仿宋" w:hAnsi="仿宋" w:eastAsia="仿宋" w:cs="Times New Roman"/>
          <w:sz w:val="32"/>
          <w:szCs w:val="32"/>
        </w:rPr>
        <w:t>2017</w:t>
      </w:r>
      <w:r>
        <w:rPr>
          <w:rFonts w:hint="eastAsia" w:ascii="仿宋" w:hAnsi="仿宋" w:eastAsia="仿宋" w:cs="方正仿宋_GBK"/>
          <w:sz w:val="32"/>
          <w:szCs w:val="32"/>
        </w:rPr>
        <w:t>年预算收入</w:t>
      </w:r>
      <w:r>
        <w:rPr>
          <w:rFonts w:ascii="仿宋" w:hAnsi="仿宋" w:eastAsia="仿宋" w:cs="方正仿宋_GBK"/>
          <w:sz w:val="32"/>
          <w:szCs w:val="32"/>
        </w:rPr>
        <w:t>944.66</w:t>
      </w:r>
      <w:r>
        <w:rPr>
          <w:rFonts w:hint="eastAsia" w:ascii="仿宋" w:hAnsi="仿宋" w:eastAsia="仿宋" w:cs="方正仿宋_GBK"/>
          <w:sz w:val="32"/>
          <w:szCs w:val="32"/>
        </w:rPr>
        <w:t>万元，其中：一般公共预算收入。</w:t>
      </w:r>
      <w:r>
        <w:rPr>
          <w:rFonts w:ascii="仿宋" w:hAnsi="仿宋" w:eastAsia="仿宋" w:cs="方正仿宋_GBK"/>
          <w:sz w:val="32"/>
          <w:szCs w:val="32"/>
        </w:rPr>
        <w:t>944.66</w:t>
      </w:r>
      <w:r>
        <w:rPr>
          <w:rFonts w:hint="eastAsia" w:ascii="仿宋" w:hAnsi="仿宋" w:eastAsia="仿宋" w:cs="方正仿宋_GBK"/>
          <w:sz w:val="32"/>
          <w:szCs w:val="32"/>
        </w:rPr>
        <w:t>万元，政府性基金收入0万元，国有资本经营收入0万元，事业收入0万元，其他收入0万元。</w:t>
      </w:r>
    </w:p>
    <w:p w14:paraId="6A69D72C">
      <w:pPr>
        <w:spacing w:line="560" w:lineRule="exact"/>
        <w:ind w:firstLine="640"/>
        <w:rPr>
          <w:rFonts w:ascii="楷体" w:hAnsi="楷体" w:eastAsia="楷体" w:cs="Times New Roman"/>
          <w:b/>
          <w:bCs/>
          <w:sz w:val="32"/>
          <w:szCs w:val="32"/>
        </w:rPr>
      </w:pPr>
      <w:r>
        <w:rPr>
          <w:rFonts w:ascii="楷体" w:hAnsi="楷体" w:eastAsia="楷体" w:cs="楷体"/>
          <w:b/>
          <w:bCs/>
          <w:sz w:val="32"/>
          <w:szCs w:val="32"/>
        </w:rPr>
        <w:t>2</w:t>
      </w:r>
      <w:r>
        <w:rPr>
          <w:rFonts w:hint="eastAsia" w:ascii="楷体" w:hAnsi="楷体" w:eastAsia="楷体" w:cs="楷体"/>
          <w:b/>
          <w:bCs/>
          <w:sz w:val="32"/>
          <w:szCs w:val="32"/>
        </w:rPr>
        <w:t>、支出说明</w:t>
      </w:r>
    </w:p>
    <w:p w14:paraId="2CCEA581">
      <w:pPr>
        <w:spacing w:line="560" w:lineRule="exact"/>
        <w:ind w:firstLine="640"/>
        <w:rPr>
          <w:rFonts w:ascii="仿宋" w:hAnsi="仿宋" w:eastAsia="仿宋" w:cs="Times New Roman"/>
          <w:sz w:val="32"/>
          <w:szCs w:val="32"/>
        </w:rPr>
      </w:pPr>
      <w:r>
        <w:rPr>
          <w:rFonts w:ascii="仿宋" w:hAnsi="仿宋" w:eastAsia="仿宋" w:cs="Times New Roman"/>
          <w:sz w:val="32"/>
          <w:szCs w:val="32"/>
        </w:rPr>
        <w:t>2017</w:t>
      </w:r>
      <w:r>
        <w:rPr>
          <w:rFonts w:hint="eastAsia" w:ascii="仿宋" w:hAnsi="仿宋" w:eastAsia="仿宋" w:cs="方正仿宋_GBK"/>
          <w:sz w:val="32"/>
          <w:szCs w:val="32"/>
        </w:rPr>
        <w:t>年支出预算</w:t>
      </w:r>
      <w:r>
        <w:rPr>
          <w:rFonts w:ascii="仿宋" w:hAnsi="仿宋" w:eastAsia="仿宋" w:cs="方正仿宋_GBK"/>
          <w:sz w:val="32"/>
          <w:szCs w:val="32"/>
        </w:rPr>
        <w:t>944.66</w:t>
      </w:r>
      <w:r>
        <w:rPr>
          <w:rFonts w:hint="eastAsia" w:ascii="仿宋" w:hAnsi="仿宋" w:eastAsia="仿宋" w:cs="方正仿宋_GBK"/>
          <w:sz w:val="32"/>
          <w:szCs w:val="32"/>
        </w:rPr>
        <w:t>万元，其中基本支出</w:t>
      </w:r>
      <w:r>
        <w:rPr>
          <w:rFonts w:ascii="仿宋" w:hAnsi="仿宋" w:eastAsia="仿宋" w:cs="方正仿宋_GBK"/>
          <w:sz w:val="32"/>
          <w:szCs w:val="32"/>
        </w:rPr>
        <w:t>944.66</w:t>
      </w:r>
      <w:r>
        <w:rPr>
          <w:rFonts w:hint="eastAsia" w:ascii="仿宋" w:hAnsi="仿宋" w:eastAsia="仿宋" w:cs="方正仿宋_GBK"/>
          <w:sz w:val="32"/>
          <w:szCs w:val="32"/>
        </w:rPr>
        <w:t>万元，包括人员经费和日常公用经费；项目支出0万元。</w:t>
      </w:r>
    </w:p>
    <w:p w14:paraId="6E54F35C">
      <w:pPr>
        <w:spacing w:line="560" w:lineRule="exact"/>
        <w:ind w:firstLine="640"/>
        <w:rPr>
          <w:rFonts w:ascii="楷体" w:hAnsi="楷体" w:eastAsia="楷体" w:cs="Times New Roman"/>
          <w:b/>
          <w:bCs/>
          <w:sz w:val="32"/>
          <w:szCs w:val="32"/>
        </w:rPr>
      </w:pPr>
      <w:r>
        <w:rPr>
          <w:rFonts w:ascii="楷体" w:hAnsi="楷体" w:eastAsia="楷体" w:cs="楷体"/>
          <w:b/>
          <w:bCs/>
          <w:sz w:val="32"/>
          <w:szCs w:val="32"/>
        </w:rPr>
        <w:t>3</w:t>
      </w:r>
      <w:r>
        <w:rPr>
          <w:rFonts w:hint="eastAsia" w:ascii="楷体" w:hAnsi="楷体" w:eastAsia="楷体" w:cs="楷体"/>
          <w:b/>
          <w:bCs/>
          <w:sz w:val="32"/>
          <w:szCs w:val="32"/>
        </w:rPr>
        <w:t>、比上年增减变化情况</w:t>
      </w:r>
    </w:p>
    <w:p w14:paraId="4863883D">
      <w:pPr>
        <w:spacing w:line="560" w:lineRule="exact"/>
        <w:ind w:firstLine="640"/>
        <w:rPr>
          <w:rFonts w:ascii="仿宋" w:hAnsi="仿宋" w:eastAsia="仿宋" w:cs="Times New Roman"/>
          <w:sz w:val="32"/>
          <w:szCs w:val="32"/>
        </w:rPr>
      </w:pPr>
      <w:r>
        <w:rPr>
          <w:rFonts w:ascii="仿宋" w:hAnsi="仿宋" w:eastAsia="仿宋" w:cs="Times New Roman"/>
          <w:sz w:val="32"/>
          <w:szCs w:val="32"/>
        </w:rPr>
        <w:t>2017</w:t>
      </w:r>
      <w:r>
        <w:rPr>
          <w:rFonts w:hint="eastAsia" w:ascii="仿宋" w:hAnsi="仿宋" w:eastAsia="仿宋" w:cs="方正仿宋_GBK"/>
          <w:sz w:val="32"/>
          <w:szCs w:val="32"/>
        </w:rPr>
        <w:t>年预算收支安排</w:t>
      </w:r>
      <w:r>
        <w:rPr>
          <w:rFonts w:ascii="仿宋" w:hAnsi="仿宋" w:eastAsia="仿宋" w:cs="方正仿宋_GBK"/>
          <w:sz w:val="32"/>
          <w:szCs w:val="32"/>
        </w:rPr>
        <w:t>944.66</w:t>
      </w:r>
      <w:r>
        <w:rPr>
          <w:rFonts w:hint="eastAsia" w:ascii="仿宋" w:hAnsi="仿宋" w:eastAsia="仿宋" w:cs="方正仿宋_GBK"/>
          <w:sz w:val="32"/>
          <w:szCs w:val="32"/>
        </w:rPr>
        <w:t>万元，较</w:t>
      </w:r>
      <w:r>
        <w:rPr>
          <w:rFonts w:ascii="仿宋" w:hAnsi="仿宋" w:eastAsia="仿宋" w:cs="Times New Roman"/>
          <w:sz w:val="32"/>
          <w:szCs w:val="32"/>
        </w:rPr>
        <w:t>2016</w:t>
      </w:r>
      <w:r>
        <w:rPr>
          <w:rFonts w:hint="eastAsia" w:ascii="仿宋" w:hAnsi="仿宋" w:eastAsia="仿宋" w:cs="方正仿宋_GBK"/>
          <w:sz w:val="32"/>
          <w:szCs w:val="32"/>
        </w:rPr>
        <w:t>年预算增加35万元，其中：基本支出增加20万元，主要为增加人员经费支出；项目支出增加0万元，主要为。。。。项目支出。</w:t>
      </w:r>
    </w:p>
    <w:p w14:paraId="017447DD">
      <w:pPr>
        <w:autoSpaceDE w:val="0"/>
        <w:autoSpaceDN w:val="0"/>
        <w:adjustRightInd w:val="0"/>
        <w:spacing w:line="560" w:lineRule="exact"/>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三、机关运行经费安排情况</w:t>
      </w:r>
    </w:p>
    <w:p w14:paraId="637B6738">
      <w:pPr>
        <w:widowControl/>
        <w:spacing w:line="360" w:lineRule="auto"/>
        <w:ind w:firstLine="640" w:firstLineChars="200"/>
        <w:jc w:val="left"/>
        <w:rPr>
          <w:rFonts w:ascii="仿宋" w:hAnsi="仿宋" w:eastAsia="仿宋" w:cs="仿宋_GB2312"/>
          <w:kern w:val="0"/>
          <w:sz w:val="32"/>
          <w:szCs w:val="32"/>
          <w:lang w:bidi="ar"/>
        </w:rPr>
      </w:pPr>
      <w:r>
        <w:rPr>
          <w:rFonts w:hint="eastAsia" w:ascii="仿宋" w:hAnsi="仿宋" w:eastAsia="仿宋" w:cs="仿宋_GB2312"/>
          <w:kern w:val="0"/>
          <w:sz w:val="32"/>
          <w:szCs w:val="32"/>
          <w:lang w:bidi="ar"/>
        </w:rPr>
        <w:t>日常公用经费安排360万元，包括：办公费、差旅费、水费、电费、会议费、招待费、转移支付，其他支出等。</w:t>
      </w:r>
      <w:r>
        <w:rPr>
          <w:rFonts w:ascii="仿宋" w:hAnsi="仿宋" w:eastAsia="仿宋" w:cs="Calibri"/>
          <w:kern w:val="0"/>
          <w:sz w:val="32"/>
          <w:szCs w:val="32"/>
          <w:lang w:bidi="ar"/>
        </w:rPr>
        <w:t>人员经费支出</w:t>
      </w:r>
      <w:r>
        <w:rPr>
          <w:rFonts w:hint="eastAsia" w:ascii="仿宋" w:hAnsi="仿宋" w:eastAsia="仿宋" w:cs="Calibri"/>
          <w:kern w:val="0"/>
          <w:sz w:val="32"/>
          <w:szCs w:val="32"/>
          <w:lang w:bidi="ar"/>
        </w:rPr>
        <w:t>584.66</w:t>
      </w:r>
      <w:r>
        <w:rPr>
          <w:rFonts w:ascii="仿宋" w:hAnsi="仿宋" w:eastAsia="仿宋" w:cs="Calibri"/>
          <w:kern w:val="0"/>
          <w:sz w:val="32"/>
          <w:szCs w:val="32"/>
          <w:lang w:bidi="ar"/>
        </w:rPr>
        <w:t>万元，同比去年增长</w:t>
      </w:r>
      <w:r>
        <w:rPr>
          <w:rFonts w:hint="eastAsia" w:ascii="仿宋" w:hAnsi="仿宋" w:eastAsia="仿宋" w:cs="Calibri"/>
          <w:kern w:val="0"/>
          <w:sz w:val="32"/>
          <w:szCs w:val="32"/>
          <w:lang w:bidi="ar"/>
        </w:rPr>
        <w:t>15</w:t>
      </w:r>
      <w:r>
        <w:rPr>
          <w:rFonts w:ascii="仿宋" w:hAnsi="仿宋" w:eastAsia="仿宋" w:cs="Calibri"/>
          <w:kern w:val="0"/>
          <w:sz w:val="32"/>
          <w:szCs w:val="32"/>
          <w:lang w:bidi="ar"/>
        </w:rPr>
        <w:t>%。增长原因是201</w:t>
      </w:r>
      <w:r>
        <w:rPr>
          <w:rFonts w:hint="eastAsia" w:ascii="仿宋" w:hAnsi="仿宋" w:eastAsia="仿宋" w:cs="Calibri"/>
          <w:kern w:val="0"/>
          <w:sz w:val="32"/>
          <w:szCs w:val="32"/>
          <w:lang w:bidi="ar"/>
        </w:rPr>
        <w:t>6</w:t>
      </w:r>
      <w:r>
        <w:rPr>
          <w:rFonts w:ascii="仿宋" w:hAnsi="仿宋" w:eastAsia="仿宋" w:cs="Calibri"/>
          <w:kern w:val="0"/>
          <w:sz w:val="32"/>
          <w:szCs w:val="32"/>
          <w:lang w:bidi="ar"/>
        </w:rPr>
        <w:t>年机关事业单位统一调高了工资标准。其中，工资福利支出</w:t>
      </w:r>
      <w:r>
        <w:rPr>
          <w:rFonts w:hint="eastAsia" w:ascii="仿宋" w:hAnsi="仿宋" w:eastAsia="仿宋" w:cs="Calibri"/>
          <w:kern w:val="0"/>
          <w:sz w:val="32"/>
          <w:szCs w:val="32"/>
          <w:lang w:bidi="ar"/>
        </w:rPr>
        <w:t>497</w:t>
      </w:r>
      <w:r>
        <w:rPr>
          <w:rFonts w:ascii="仿宋" w:hAnsi="仿宋" w:eastAsia="仿宋" w:cs="Calibri"/>
          <w:kern w:val="0"/>
          <w:sz w:val="32"/>
          <w:szCs w:val="32"/>
          <w:lang w:bidi="ar"/>
        </w:rPr>
        <w:t>万元，对个人和家庭的补助支出</w:t>
      </w:r>
      <w:r>
        <w:rPr>
          <w:rFonts w:hint="eastAsia" w:ascii="仿宋" w:hAnsi="仿宋" w:eastAsia="仿宋" w:cs="Calibri"/>
          <w:kern w:val="0"/>
          <w:sz w:val="32"/>
          <w:szCs w:val="32"/>
          <w:lang w:bidi="ar"/>
        </w:rPr>
        <w:t>87.66</w:t>
      </w:r>
      <w:r>
        <w:rPr>
          <w:rFonts w:ascii="仿宋" w:hAnsi="仿宋" w:eastAsia="仿宋" w:cs="Calibri"/>
          <w:kern w:val="0"/>
          <w:sz w:val="32"/>
          <w:szCs w:val="32"/>
          <w:lang w:bidi="ar"/>
        </w:rPr>
        <w:t>万元。</w:t>
      </w:r>
    </w:p>
    <w:p w14:paraId="4C2E74D4">
      <w:pPr>
        <w:autoSpaceDE w:val="0"/>
        <w:autoSpaceDN w:val="0"/>
        <w:adjustRightInd w:val="0"/>
        <w:spacing w:line="560" w:lineRule="exact"/>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四、财政拨款“三公”经费预算情况及增减变化原因</w:t>
      </w:r>
    </w:p>
    <w:p w14:paraId="721A89AF">
      <w:pPr>
        <w:widowControl/>
        <w:spacing w:line="360" w:lineRule="auto"/>
        <w:ind w:left="420" w:leftChars="200"/>
        <w:jc w:val="left"/>
        <w:rPr>
          <w:rFonts w:ascii="仿宋_GB2312" w:hAnsi="Calibri" w:eastAsia="仿宋_GB2312" w:cs="仿宋_GB2312"/>
          <w:kern w:val="0"/>
          <w:sz w:val="32"/>
          <w:szCs w:val="32"/>
          <w:lang w:bidi="ar"/>
        </w:rPr>
      </w:pPr>
      <w:r>
        <w:rPr>
          <w:rFonts w:hint="eastAsia" w:ascii="仿宋_GB2312" w:hAnsi="Calibri" w:eastAsia="仿宋_GB2312" w:cs="仿宋_GB2312"/>
          <w:kern w:val="0"/>
          <w:sz w:val="32"/>
          <w:szCs w:val="32"/>
          <w:lang w:bidi="ar"/>
        </w:rPr>
        <w:t>2017年度“三公”预算支出3万元，其中，因公出国（境）费0元，与上年扯平；安排公务用车维护费3万元，较上年下降13.9%。（其中公务用车购置费0元，与上年扯平；公务用车运行维护费3万元，较上年下降13.9%），公务接等费0万元，与上年扯平。由于2016年公车拍卖，2017年实行车补，油修费用预算</w:t>
      </w:r>
      <w:r>
        <w:rPr>
          <w:rFonts w:hint="eastAsia" w:ascii="仿宋_GB2312" w:hAnsi="Calibri" w:eastAsia="仿宋_GB2312" w:cs="仿宋_GB2312"/>
          <w:kern w:val="0"/>
          <w:sz w:val="32"/>
          <w:szCs w:val="32"/>
          <w:lang w:eastAsia="zh-CN" w:bidi="ar"/>
        </w:rPr>
        <w:t>安排</w:t>
      </w:r>
      <w:r>
        <w:rPr>
          <w:rFonts w:hint="eastAsia" w:ascii="仿宋_GB2312" w:hAnsi="Calibri" w:eastAsia="仿宋_GB2312" w:cs="仿宋_GB2312"/>
          <w:kern w:val="0"/>
          <w:sz w:val="32"/>
          <w:szCs w:val="32"/>
          <w:lang w:bidi="ar"/>
        </w:rPr>
        <w:t>减少。</w:t>
      </w:r>
    </w:p>
    <w:p w14:paraId="2FA70A1B">
      <w:pPr>
        <w:spacing w:line="560" w:lineRule="exact"/>
        <w:ind w:firstLine="640"/>
        <w:rPr>
          <w:rFonts w:ascii="黑体" w:hAnsi="黑体" w:eastAsia="黑体" w:cs="Times New Roman"/>
          <w:sz w:val="32"/>
          <w:szCs w:val="32"/>
        </w:rPr>
      </w:pPr>
      <w:r>
        <w:rPr>
          <w:rFonts w:hint="eastAsia" w:ascii="黑体" w:hAnsi="黑体" w:eastAsia="黑体" w:cs="黑体"/>
          <w:sz w:val="32"/>
          <w:szCs w:val="32"/>
        </w:rPr>
        <w:t>五、绩效预算信息</w:t>
      </w:r>
    </w:p>
    <w:p w14:paraId="46EE2552">
      <w:pPr>
        <w:spacing w:line="560" w:lineRule="exact"/>
        <w:jc w:val="center"/>
        <w:outlineLvl w:val="0"/>
        <w:rPr>
          <w:rFonts w:ascii="方正小标宋_GBK" w:hAnsi="Times New Roman" w:eastAsia="方正小标宋_GBK" w:cs="Times New Roman"/>
          <w:sz w:val="32"/>
          <w:szCs w:val="32"/>
        </w:rPr>
      </w:pPr>
      <w:bookmarkStart w:id="0" w:name="_Toc471398463"/>
    </w:p>
    <w:p w14:paraId="61CA0922">
      <w:pPr>
        <w:spacing w:line="560" w:lineRule="exact"/>
        <w:jc w:val="center"/>
        <w:outlineLvl w:val="0"/>
        <w:rPr>
          <w:rFonts w:ascii="宋体" w:hAnsi="宋体" w:eastAsia="宋体" w:cs="Times New Roman"/>
          <w:sz w:val="32"/>
          <w:szCs w:val="32"/>
        </w:rPr>
      </w:pPr>
      <w:r>
        <w:rPr>
          <w:rFonts w:hint="eastAsia" w:ascii="宋体" w:hAnsi="宋体" w:eastAsia="宋体" w:cs="方正小标宋_GBK"/>
          <w:sz w:val="32"/>
          <w:szCs w:val="32"/>
        </w:rPr>
        <w:t>部门职责</w:t>
      </w:r>
      <w:r>
        <w:rPr>
          <w:rFonts w:ascii="宋体" w:hAnsi="宋体" w:eastAsia="宋体" w:cs="方正小标宋_GBK"/>
          <w:sz w:val="32"/>
          <w:szCs w:val="32"/>
        </w:rPr>
        <w:t>-</w:t>
      </w:r>
      <w:r>
        <w:rPr>
          <w:rFonts w:hint="eastAsia" w:ascii="宋体" w:hAnsi="宋体" w:eastAsia="宋体" w:cs="方正小标宋_GBK"/>
          <w:sz w:val="32"/>
          <w:szCs w:val="32"/>
        </w:rPr>
        <w:t>工作活动绩效目标</w:t>
      </w:r>
      <w:bookmarkEnd w:id="0"/>
    </w:p>
    <w:tbl>
      <w:tblPr>
        <w:tblStyle w:val="4"/>
        <w:tblW w:w="90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71"/>
        <w:gridCol w:w="1070"/>
        <w:gridCol w:w="600"/>
        <w:gridCol w:w="1131"/>
        <w:gridCol w:w="905"/>
        <w:gridCol w:w="899"/>
        <w:gridCol w:w="728"/>
        <w:gridCol w:w="728"/>
        <w:gridCol w:w="728"/>
      </w:tblGrid>
      <w:tr w14:paraId="7366F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5977" w:type="dxa"/>
            <w:gridSpan w:val="5"/>
            <w:tcBorders>
              <w:top w:val="single" w:color="FFFFFF" w:sz="6" w:space="0"/>
              <w:left w:val="single" w:color="FFFFFF" w:sz="6" w:space="0"/>
              <w:right w:val="single" w:color="FFFFFF" w:sz="6" w:space="0"/>
            </w:tcBorders>
            <w:vAlign w:val="center"/>
          </w:tcPr>
          <w:p w14:paraId="080A26ED">
            <w:pPr>
              <w:spacing w:line="560" w:lineRule="exact"/>
              <w:jc w:val="left"/>
              <w:rPr>
                <w:rFonts w:ascii="宋体" w:hAnsi="宋体" w:eastAsia="宋体" w:cs="Times New Roman"/>
                <w:sz w:val="24"/>
                <w:szCs w:val="24"/>
              </w:rPr>
            </w:pPr>
            <w:r>
              <w:rPr>
                <w:rFonts w:hint="eastAsia" w:ascii="宋体" w:hAnsi="宋体" w:eastAsia="宋体" w:cs="方正小标宋_GBK"/>
                <w:sz w:val="24"/>
                <w:szCs w:val="24"/>
              </w:rPr>
              <w:t>部门（单位）名称：财政局</w:t>
            </w:r>
          </w:p>
        </w:tc>
        <w:tc>
          <w:tcPr>
            <w:tcW w:w="3083" w:type="dxa"/>
            <w:gridSpan w:val="4"/>
            <w:tcBorders>
              <w:top w:val="single" w:color="FFFFFF" w:sz="6" w:space="0"/>
              <w:left w:val="single" w:color="FFFFFF" w:sz="6" w:space="0"/>
              <w:right w:val="single" w:color="FFFFFF" w:sz="6" w:space="0"/>
            </w:tcBorders>
            <w:vAlign w:val="center"/>
          </w:tcPr>
          <w:p w14:paraId="600D7052">
            <w:pPr>
              <w:spacing w:line="560" w:lineRule="exact"/>
              <w:jc w:val="right"/>
              <w:rPr>
                <w:rFonts w:ascii="宋体" w:hAnsi="宋体" w:eastAsia="宋体" w:cs="Times New Roman"/>
                <w:sz w:val="18"/>
                <w:szCs w:val="18"/>
              </w:rPr>
            </w:pPr>
            <w:r>
              <w:rPr>
                <w:rFonts w:hint="eastAsia" w:ascii="宋体" w:hAnsi="宋体" w:eastAsia="宋体" w:cs="方正书宋_GBK"/>
                <w:sz w:val="18"/>
                <w:szCs w:val="18"/>
              </w:rPr>
              <w:t>单位：万元</w:t>
            </w:r>
          </w:p>
        </w:tc>
      </w:tr>
      <w:tr w14:paraId="71BB1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271" w:type="dxa"/>
            <w:vMerge w:val="restart"/>
            <w:vAlign w:val="center"/>
          </w:tcPr>
          <w:p w14:paraId="29B8F4FD">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职责活动</w:t>
            </w:r>
          </w:p>
        </w:tc>
        <w:tc>
          <w:tcPr>
            <w:tcW w:w="1070" w:type="dxa"/>
            <w:vMerge w:val="restart"/>
            <w:vAlign w:val="center"/>
          </w:tcPr>
          <w:p w14:paraId="12FA28E3">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年度预算数</w:t>
            </w:r>
          </w:p>
        </w:tc>
        <w:tc>
          <w:tcPr>
            <w:tcW w:w="600" w:type="dxa"/>
            <w:vMerge w:val="restart"/>
            <w:vAlign w:val="center"/>
          </w:tcPr>
          <w:p w14:paraId="0D34F937">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内容描述</w:t>
            </w:r>
          </w:p>
        </w:tc>
        <w:tc>
          <w:tcPr>
            <w:tcW w:w="1131" w:type="dxa"/>
            <w:vMerge w:val="restart"/>
            <w:vAlign w:val="center"/>
          </w:tcPr>
          <w:p w14:paraId="6F78788C">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绩效目标</w:t>
            </w:r>
          </w:p>
        </w:tc>
        <w:tc>
          <w:tcPr>
            <w:tcW w:w="905" w:type="dxa"/>
            <w:vMerge w:val="restart"/>
            <w:vAlign w:val="center"/>
          </w:tcPr>
          <w:p w14:paraId="5EAA0D0B">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绩效指标</w:t>
            </w:r>
          </w:p>
        </w:tc>
        <w:tc>
          <w:tcPr>
            <w:tcW w:w="3083" w:type="dxa"/>
            <w:gridSpan w:val="4"/>
            <w:vAlign w:val="center"/>
          </w:tcPr>
          <w:p w14:paraId="50F3268B">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评价标准</w:t>
            </w:r>
          </w:p>
        </w:tc>
      </w:tr>
      <w:tr w14:paraId="2B03F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271" w:type="dxa"/>
            <w:vMerge w:val="continue"/>
            <w:vAlign w:val="center"/>
          </w:tcPr>
          <w:p w14:paraId="4FABC87E">
            <w:pPr>
              <w:spacing w:line="560" w:lineRule="exact"/>
              <w:jc w:val="left"/>
              <w:outlineLvl w:val="0"/>
              <w:rPr>
                <w:rFonts w:ascii="宋体" w:hAnsi="宋体" w:eastAsia="宋体" w:cs="Times New Roman"/>
                <w:sz w:val="18"/>
                <w:szCs w:val="18"/>
              </w:rPr>
            </w:pPr>
          </w:p>
        </w:tc>
        <w:tc>
          <w:tcPr>
            <w:tcW w:w="1070" w:type="dxa"/>
            <w:vMerge w:val="continue"/>
            <w:vAlign w:val="center"/>
          </w:tcPr>
          <w:p w14:paraId="5CD30916">
            <w:pPr>
              <w:spacing w:line="560" w:lineRule="exact"/>
              <w:jc w:val="left"/>
              <w:outlineLvl w:val="0"/>
              <w:rPr>
                <w:rFonts w:ascii="宋体" w:hAnsi="宋体" w:eastAsia="宋体" w:cs="Times New Roman"/>
                <w:sz w:val="18"/>
                <w:szCs w:val="18"/>
              </w:rPr>
            </w:pPr>
          </w:p>
        </w:tc>
        <w:tc>
          <w:tcPr>
            <w:tcW w:w="600" w:type="dxa"/>
            <w:vMerge w:val="continue"/>
            <w:vAlign w:val="center"/>
          </w:tcPr>
          <w:p w14:paraId="0F4EA2B6">
            <w:pPr>
              <w:spacing w:line="560" w:lineRule="exact"/>
              <w:jc w:val="left"/>
              <w:outlineLvl w:val="0"/>
              <w:rPr>
                <w:rFonts w:ascii="宋体" w:hAnsi="宋体" w:eastAsia="宋体" w:cs="Times New Roman"/>
                <w:sz w:val="18"/>
                <w:szCs w:val="18"/>
              </w:rPr>
            </w:pPr>
          </w:p>
        </w:tc>
        <w:tc>
          <w:tcPr>
            <w:tcW w:w="1131" w:type="dxa"/>
            <w:vMerge w:val="continue"/>
            <w:vAlign w:val="center"/>
          </w:tcPr>
          <w:p w14:paraId="575CE748">
            <w:pPr>
              <w:spacing w:line="560" w:lineRule="exact"/>
              <w:jc w:val="left"/>
              <w:outlineLvl w:val="0"/>
              <w:rPr>
                <w:rFonts w:ascii="宋体" w:hAnsi="宋体" w:eastAsia="宋体" w:cs="Times New Roman"/>
                <w:sz w:val="18"/>
                <w:szCs w:val="18"/>
              </w:rPr>
            </w:pPr>
          </w:p>
        </w:tc>
        <w:tc>
          <w:tcPr>
            <w:tcW w:w="905" w:type="dxa"/>
            <w:vMerge w:val="continue"/>
            <w:vAlign w:val="center"/>
          </w:tcPr>
          <w:p w14:paraId="25776AFE">
            <w:pPr>
              <w:spacing w:line="560" w:lineRule="exact"/>
              <w:jc w:val="left"/>
              <w:outlineLvl w:val="0"/>
              <w:rPr>
                <w:rFonts w:ascii="宋体" w:hAnsi="宋体" w:eastAsia="宋体" w:cs="Times New Roman"/>
                <w:sz w:val="18"/>
                <w:szCs w:val="18"/>
              </w:rPr>
            </w:pPr>
          </w:p>
        </w:tc>
        <w:tc>
          <w:tcPr>
            <w:tcW w:w="899" w:type="dxa"/>
            <w:vAlign w:val="center"/>
          </w:tcPr>
          <w:p w14:paraId="2A8A838F">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优</w:t>
            </w:r>
          </w:p>
        </w:tc>
        <w:tc>
          <w:tcPr>
            <w:tcW w:w="728" w:type="dxa"/>
            <w:vAlign w:val="center"/>
          </w:tcPr>
          <w:p w14:paraId="7ED6B582">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良</w:t>
            </w:r>
          </w:p>
        </w:tc>
        <w:tc>
          <w:tcPr>
            <w:tcW w:w="728" w:type="dxa"/>
            <w:vAlign w:val="center"/>
          </w:tcPr>
          <w:p w14:paraId="410CD54A">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中</w:t>
            </w:r>
          </w:p>
        </w:tc>
        <w:tc>
          <w:tcPr>
            <w:tcW w:w="728" w:type="dxa"/>
            <w:vAlign w:val="center"/>
          </w:tcPr>
          <w:p w14:paraId="1FE45532">
            <w:pPr>
              <w:spacing w:line="560" w:lineRule="exact"/>
              <w:jc w:val="center"/>
              <w:rPr>
                <w:rFonts w:ascii="宋体" w:hAnsi="宋体" w:eastAsia="宋体" w:cs="Times New Roman"/>
                <w:b/>
                <w:bCs/>
                <w:sz w:val="18"/>
                <w:szCs w:val="18"/>
              </w:rPr>
            </w:pPr>
            <w:r>
              <w:rPr>
                <w:rFonts w:hint="eastAsia" w:ascii="宋体" w:hAnsi="宋体" w:eastAsia="宋体" w:cs="方正书宋_GBK"/>
                <w:b/>
                <w:bCs/>
                <w:sz w:val="18"/>
                <w:szCs w:val="18"/>
              </w:rPr>
              <w:t>差</w:t>
            </w:r>
          </w:p>
        </w:tc>
      </w:tr>
      <w:tr w14:paraId="76FCD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271" w:type="dxa"/>
            <w:vAlign w:val="center"/>
          </w:tcPr>
          <w:p w14:paraId="224AD1B5">
            <w:pPr>
              <w:spacing w:line="300" w:lineRule="exact"/>
              <w:jc w:val="left"/>
              <w:rPr>
                <w:rFonts w:ascii="方正书宋_GBK" w:eastAsia="方正书宋_GBK"/>
                <w:b/>
              </w:rPr>
            </w:pPr>
            <w:r>
              <w:rPr>
                <w:rFonts w:hint="eastAsia" w:ascii="方正书宋_GBK" w:eastAsia="方正书宋_GBK"/>
                <w:b/>
              </w:rPr>
              <w:t>部门预算专项公用经费</w:t>
            </w:r>
          </w:p>
        </w:tc>
        <w:tc>
          <w:tcPr>
            <w:tcW w:w="1070" w:type="dxa"/>
            <w:vAlign w:val="center"/>
          </w:tcPr>
          <w:p w14:paraId="30B5B2C2">
            <w:pPr>
              <w:spacing w:line="300" w:lineRule="exact"/>
              <w:jc w:val="left"/>
              <w:rPr>
                <w:rFonts w:ascii="方正书宋_GBK" w:eastAsia="方正书宋_GBK"/>
              </w:rPr>
            </w:pPr>
            <w:r>
              <w:rPr>
                <w:rFonts w:ascii="方正书宋_GBK" w:eastAsia="方正书宋_GBK"/>
              </w:rPr>
              <w:t>65.63</w:t>
            </w:r>
          </w:p>
        </w:tc>
        <w:tc>
          <w:tcPr>
            <w:tcW w:w="600" w:type="dxa"/>
            <w:vAlign w:val="center"/>
          </w:tcPr>
          <w:p w14:paraId="3BD578E0">
            <w:pPr>
              <w:spacing w:line="300" w:lineRule="exact"/>
              <w:jc w:val="left"/>
              <w:rPr>
                <w:rFonts w:ascii="方正书宋_GBK" w:eastAsia="方正书宋_GBK"/>
              </w:rPr>
            </w:pPr>
            <w:r>
              <w:rPr>
                <w:rFonts w:hint="eastAsia" w:ascii="方正书宋_GBK" w:eastAsia="方正书宋_GBK"/>
              </w:rPr>
              <w:t>协调各个业务科室编制部门预算</w:t>
            </w:r>
          </w:p>
        </w:tc>
        <w:tc>
          <w:tcPr>
            <w:tcW w:w="1131" w:type="dxa"/>
            <w:vAlign w:val="center"/>
          </w:tcPr>
          <w:p w14:paraId="03EE1F9C">
            <w:pPr>
              <w:spacing w:line="300" w:lineRule="exact"/>
              <w:jc w:val="left"/>
              <w:rPr>
                <w:rFonts w:ascii="方正书宋_GBK" w:eastAsia="方正书宋_GBK"/>
              </w:rPr>
            </w:pPr>
            <w:r>
              <w:rPr>
                <w:rFonts w:hint="eastAsia" w:ascii="方正书宋_GBK" w:eastAsia="方正书宋_GBK"/>
              </w:rPr>
              <w:t>完成部门预算编制</w:t>
            </w:r>
          </w:p>
        </w:tc>
        <w:tc>
          <w:tcPr>
            <w:tcW w:w="905" w:type="dxa"/>
            <w:vAlign w:val="center"/>
          </w:tcPr>
          <w:p w14:paraId="0202BF23">
            <w:pPr>
              <w:spacing w:line="300" w:lineRule="exact"/>
              <w:jc w:val="left"/>
              <w:rPr>
                <w:rFonts w:ascii="方正书宋_GBK" w:eastAsia="方正书宋_GBK"/>
              </w:rPr>
            </w:pPr>
            <w:r>
              <w:rPr>
                <w:rFonts w:hint="eastAsia" w:ascii="方正书宋_GBK" w:eastAsia="方正书宋_GBK"/>
              </w:rPr>
              <w:t>全部完成</w:t>
            </w:r>
          </w:p>
        </w:tc>
        <w:tc>
          <w:tcPr>
            <w:tcW w:w="899" w:type="dxa"/>
            <w:vAlign w:val="center"/>
          </w:tcPr>
          <w:p w14:paraId="06876B33">
            <w:pPr>
              <w:spacing w:line="300" w:lineRule="exact"/>
              <w:jc w:val="center"/>
              <w:rPr>
                <w:rFonts w:ascii="方正书宋_GBK" w:eastAsia="方正书宋_GBK"/>
              </w:rPr>
            </w:pPr>
            <w:r>
              <w:rPr>
                <w:rFonts w:ascii="方正书宋_GBK" w:eastAsia="方正书宋_GBK"/>
              </w:rPr>
              <w:t>100%</w:t>
            </w:r>
          </w:p>
        </w:tc>
        <w:tc>
          <w:tcPr>
            <w:tcW w:w="728" w:type="dxa"/>
            <w:vAlign w:val="center"/>
          </w:tcPr>
          <w:p w14:paraId="00B7280B">
            <w:pPr>
              <w:spacing w:line="300" w:lineRule="exact"/>
              <w:jc w:val="center"/>
              <w:rPr>
                <w:rFonts w:ascii="方正书宋_GBK" w:eastAsia="方正书宋_GBK"/>
              </w:rPr>
            </w:pPr>
            <w:r>
              <w:rPr>
                <w:rFonts w:ascii="方正书宋_GBK" w:eastAsia="方正书宋_GBK"/>
              </w:rPr>
              <w:t>85%</w:t>
            </w:r>
          </w:p>
        </w:tc>
        <w:tc>
          <w:tcPr>
            <w:tcW w:w="728" w:type="dxa"/>
            <w:vAlign w:val="center"/>
          </w:tcPr>
          <w:p w14:paraId="5AE93150">
            <w:pPr>
              <w:spacing w:line="300" w:lineRule="exact"/>
              <w:jc w:val="center"/>
              <w:rPr>
                <w:rFonts w:ascii="方正书宋_GBK" w:eastAsia="方正书宋_GBK"/>
              </w:rPr>
            </w:pPr>
            <w:r>
              <w:rPr>
                <w:rFonts w:ascii="方正书宋_GBK" w:eastAsia="方正书宋_GBK"/>
              </w:rPr>
              <w:t>70%</w:t>
            </w:r>
          </w:p>
        </w:tc>
        <w:tc>
          <w:tcPr>
            <w:tcW w:w="728" w:type="dxa"/>
            <w:vAlign w:val="center"/>
          </w:tcPr>
          <w:p w14:paraId="60ADC484">
            <w:pPr>
              <w:spacing w:line="300" w:lineRule="exact"/>
              <w:jc w:val="center"/>
              <w:rPr>
                <w:rFonts w:ascii="方正书宋_GBK" w:eastAsia="方正书宋_GBK"/>
              </w:rPr>
            </w:pPr>
            <w:r>
              <w:rPr>
                <w:rFonts w:ascii="方正书宋_GBK" w:eastAsia="方正书宋_GBK"/>
              </w:rPr>
              <w:t>60%</w:t>
            </w:r>
          </w:p>
        </w:tc>
      </w:tr>
      <w:tr w14:paraId="19DC2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271" w:type="dxa"/>
            <w:vAlign w:val="center"/>
          </w:tcPr>
          <w:p w14:paraId="2B578FD2">
            <w:pPr>
              <w:spacing w:line="300" w:lineRule="exact"/>
              <w:jc w:val="left"/>
              <w:rPr>
                <w:rFonts w:ascii="方正书宋_GBK" w:eastAsia="方正书宋_GBK"/>
                <w:b/>
              </w:rPr>
            </w:pPr>
            <w:r>
              <w:rPr>
                <w:rFonts w:hint="eastAsia" w:ascii="方正书宋_GBK" w:eastAsia="方正书宋_GBK"/>
                <w:b/>
              </w:rPr>
              <w:t>单位取暖项目</w:t>
            </w:r>
          </w:p>
        </w:tc>
        <w:tc>
          <w:tcPr>
            <w:tcW w:w="1070" w:type="dxa"/>
            <w:vAlign w:val="center"/>
          </w:tcPr>
          <w:p w14:paraId="0BDCB2A5">
            <w:pPr>
              <w:spacing w:line="300" w:lineRule="exact"/>
              <w:jc w:val="left"/>
              <w:rPr>
                <w:rFonts w:ascii="方正书宋_GBK" w:eastAsia="方正书宋_GBK"/>
              </w:rPr>
            </w:pPr>
            <w:r>
              <w:rPr>
                <w:rFonts w:ascii="方正书宋_GBK" w:eastAsia="方正书宋_GBK"/>
              </w:rPr>
              <w:t>8.53</w:t>
            </w:r>
          </w:p>
        </w:tc>
        <w:tc>
          <w:tcPr>
            <w:tcW w:w="600" w:type="dxa"/>
            <w:vAlign w:val="center"/>
          </w:tcPr>
          <w:p w14:paraId="17E868E9">
            <w:pPr>
              <w:spacing w:line="300" w:lineRule="exact"/>
              <w:jc w:val="left"/>
              <w:rPr>
                <w:rFonts w:ascii="方正书宋_GBK" w:eastAsia="方正书宋_GBK"/>
              </w:rPr>
            </w:pPr>
            <w:r>
              <w:rPr>
                <w:rFonts w:hint="eastAsia" w:ascii="方正书宋_GBK" w:eastAsia="方正书宋_GBK"/>
              </w:rPr>
              <w:t>财政局单位大楼取暖项目</w:t>
            </w:r>
          </w:p>
        </w:tc>
        <w:tc>
          <w:tcPr>
            <w:tcW w:w="1131" w:type="dxa"/>
            <w:vAlign w:val="center"/>
          </w:tcPr>
          <w:p w14:paraId="470C58AD">
            <w:pPr>
              <w:spacing w:line="300" w:lineRule="exact"/>
              <w:jc w:val="left"/>
              <w:rPr>
                <w:rFonts w:ascii="方正书宋_GBK" w:eastAsia="方正书宋_GBK"/>
              </w:rPr>
            </w:pPr>
            <w:r>
              <w:rPr>
                <w:rFonts w:hint="eastAsia" w:ascii="方正书宋_GBK" w:eastAsia="方正书宋_GBK"/>
              </w:rPr>
              <w:t>完成财政局单位大楼取暖项目</w:t>
            </w:r>
          </w:p>
        </w:tc>
        <w:tc>
          <w:tcPr>
            <w:tcW w:w="905" w:type="dxa"/>
            <w:vAlign w:val="center"/>
          </w:tcPr>
          <w:p w14:paraId="5534A0EE">
            <w:pPr>
              <w:spacing w:line="300" w:lineRule="exact"/>
              <w:jc w:val="left"/>
              <w:rPr>
                <w:rFonts w:ascii="方正书宋_GBK" w:eastAsia="方正书宋_GBK"/>
              </w:rPr>
            </w:pPr>
            <w:r>
              <w:rPr>
                <w:rFonts w:hint="eastAsia" w:ascii="方正书宋_GBK" w:eastAsia="方正书宋_GBK"/>
              </w:rPr>
              <w:t>对财政局大楼取暖项目的补贴</w:t>
            </w:r>
          </w:p>
        </w:tc>
        <w:tc>
          <w:tcPr>
            <w:tcW w:w="899" w:type="dxa"/>
            <w:vAlign w:val="center"/>
          </w:tcPr>
          <w:p w14:paraId="58BD6887">
            <w:pPr>
              <w:spacing w:line="300" w:lineRule="exact"/>
              <w:jc w:val="center"/>
              <w:rPr>
                <w:rFonts w:ascii="方正书宋_GBK" w:eastAsia="方正书宋_GBK"/>
              </w:rPr>
            </w:pPr>
          </w:p>
        </w:tc>
        <w:tc>
          <w:tcPr>
            <w:tcW w:w="728" w:type="dxa"/>
            <w:vAlign w:val="center"/>
          </w:tcPr>
          <w:p w14:paraId="737EFD2A">
            <w:pPr>
              <w:spacing w:line="300" w:lineRule="exact"/>
              <w:jc w:val="center"/>
              <w:rPr>
                <w:rFonts w:ascii="方正书宋_GBK" w:eastAsia="方正书宋_GBK"/>
              </w:rPr>
            </w:pPr>
          </w:p>
        </w:tc>
        <w:tc>
          <w:tcPr>
            <w:tcW w:w="728" w:type="dxa"/>
            <w:vAlign w:val="center"/>
          </w:tcPr>
          <w:p w14:paraId="35047376">
            <w:pPr>
              <w:spacing w:line="300" w:lineRule="exact"/>
              <w:jc w:val="center"/>
              <w:rPr>
                <w:rFonts w:ascii="方正书宋_GBK" w:eastAsia="方正书宋_GBK"/>
              </w:rPr>
            </w:pPr>
          </w:p>
        </w:tc>
        <w:tc>
          <w:tcPr>
            <w:tcW w:w="728" w:type="dxa"/>
            <w:vAlign w:val="center"/>
          </w:tcPr>
          <w:p w14:paraId="0725DF91">
            <w:pPr>
              <w:spacing w:line="300" w:lineRule="exact"/>
              <w:jc w:val="center"/>
              <w:rPr>
                <w:rFonts w:ascii="方正书宋_GBK" w:eastAsia="方正书宋_GBK"/>
              </w:rPr>
            </w:pPr>
          </w:p>
        </w:tc>
      </w:tr>
    </w:tbl>
    <w:p w14:paraId="6A086C2B">
      <w:pPr>
        <w:autoSpaceDE w:val="0"/>
        <w:autoSpaceDN w:val="0"/>
        <w:adjustRightInd w:val="0"/>
        <w:spacing w:line="560" w:lineRule="exact"/>
        <w:ind w:firstLine="640" w:firstLineChars="200"/>
        <w:jc w:val="left"/>
        <w:rPr>
          <w:rFonts w:ascii="黑体" w:hAnsi="黑体" w:eastAsia="黑体" w:cs="Times New Roman"/>
          <w:sz w:val="32"/>
          <w:szCs w:val="32"/>
        </w:rPr>
      </w:pPr>
      <w:r>
        <w:rPr>
          <w:rFonts w:hint="eastAsia" w:ascii="黑体" w:hAnsi="黑体" w:eastAsia="黑体" w:cs="黑体"/>
          <w:sz w:val="32"/>
          <w:szCs w:val="32"/>
        </w:rPr>
        <w:t>六、政府采购预算情况</w:t>
      </w:r>
    </w:p>
    <w:p w14:paraId="01308934">
      <w:pPr>
        <w:widowControl/>
        <w:spacing w:line="360" w:lineRule="auto"/>
        <w:jc w:val="left"/>
        <w:rPr>
          <w:rFonts w:ascii="Calibri" w:hAnsi="Calibri" w:eastAsia="仿宋_GB2312" w:cs="Calibri"/>
          <w:b/>
          <w:kern w:val="0"/>
          <w:sz w:val="32"/>
          <w:szCs w:val="32"/>
          <w:lang w:bidi="ar"/>
        </w:rPr>
      </w:pPr>
      <w:bookmarkStart w:id="1" w:name="_Toc471398468"/>
      <w:r>
        <w:rPr>
          <w:rFonts w:ascii="Times New Roman" w:hAnsi="Times New Roman" w:eastAsia="方正仿宋_GBK" w:cs="Times New Roman"/>
          <w:sz w:val="32"/>
          <w:szCs w:val="32"/>
        </w:rPr>
        <w:t xml:space="preserve">  </w:t>
      </w:r>
      <w:r>
        <w:rPr>
          <w:rFonts w:ascii="仿宋_GB2312" w:hAnsi="微软雅黑" w:eastAsia="仿宋_GB2312" w:cs="仿宋_GB2312"/>
          <w:kern w:val="0"/>
          <w:sz w:val="32"/>
          <w:szCs w:val="32"/>
          <w:lang w:bidi="ar"/>
        </w:rPr>
        <w:t>政府采购指国家机关、事业单位和社会团体组织，使用财政性资金，购买集中采购目录以内的或者采购限额标准以上的货物、工程或服务的行为。政府采购应遵循公开透明、公平竞争、公正和诚实信用的原则。凡使用纳入预算管理的资金采购符合《河北省政府采购集中采购目录和限额标准》（冀财采[2015]11号）要求的货物、工程或服务的项目，采购人均应编入政府采购预算。</w:t>
      </w:r>
      <w:r>
        <w:rPr>
          <w:rFonts w:hint="eastAsia" w:ascii="微软雅黑" w:hAnsi="微软雅黑" w:eastAsia="微软雅黑" w:cs="微软雅黑"/>
          <w:kern w:val="0"/>
          <w:sz w:val="24"/>
          <w:szCs w:val="24"/>
          <w:lang w:bidi="ar"/>
        </w:rPr>
        <w:t xml:space="preserve"> </w:t>
      </w:r>
      <w:r>
        <w:rPr>
          <w:rFonts w:ascii="仿宋_GB2312" w:hAnsi="微软雅黑" w:eastAsia="仿宋_GB2312" w:cs="仿宋_GB2312"/>
          <w:kern w:val="0"/>
          <w:sz w:val="32"/>
          <w:szCs w:val="32"/>
          <w:lang w:bidi="ar"/>
        </w:rPr>
        <w:t>按照政府采购相关法律法规要求，结合我局实际，201</w:t>
      </w:r>
      <w:r>
        <w:rPr>
          <w:rFonts w:hint="eastAsia" w:ascii="仿宋_GB2312" w:hAnsi="微软雅黑" w:eastAsia="仿宋_GB2312" w:cs="仿宋_GB2312"/>
          <w:kern w:val="0"/>
          <w:sz w:val="32"/>
          <w:szCs w:val="32"/>
          <w:lang w:bidi="ar"/>
        </w:rPr>
        <w:t>7</w:t>
      </w:r>
      <w:r>
        <w:rPr>
          <w:rFonts w:ascii="仿宋_GB2312" w:hAnsi="微软雅黑" w:eastAsia="仿宋_GB2312" w:cs="仿宋_GB2312"/>
          <w:kern w:val="0"/>
          <w:sz w:val="32"/>
          <w:szCs w:val="32"/>
          <w:lang w:bidi="ar"/>
        </w:rPr>
        <w:t>年我局政府采购事项为</w:t>
      </w:r>
      <w:r>
        <w:rPr>
          <w:rFonts w:hint="eastAsia" w:ascii="仿宋_GB2312" w:hAnsi="微软雅黑" w:eastAsia="仿宋_GB2312" w:cs="仿宋_GB2312"/>
          <w:kern w:val="0"/>
          <w:sz w:val="32"/>
          <w:szCs w:val="32"/>
          <w:lang w:bidi="ar"/>
        </w:rPr>
        <w:t>2.5万元，</w:t>
      </w:r>
      <w:r>
        <w:rPr>
          <w:rFonts w:hint="eastAsia" w:ascii="仿宋_GB2312" w:hAnsi="Calibri" w:eastAsia="仿宋_GB2312" w:cs="仿宋_GB2312"/>
          <w:kern w:val="0"/>
          <w:sz w:val="32"/>
          <w:szCs w:val="32"/>
          <w:lang w:bidi="ar"/>
        </w:rPr>
        <w:t>其中：电脑5台，单价0.5万元，计2.5万元</w:t>
      </w:r>
      <w:r>
        <w:rPr>
          <w:rFonts w:ascii="仿宋_GB2312" w:hAnsi="Calibri" w:eastAsia="仿宋_GB2312" w:cs="仿宋_GB2312"/>
          <w:kern w:val="0"/>
          <w:sz w:val="32"/>
          <w:szCs w:val="32"/>
          <w:lang w:bidi="ar"/>
        </w:rPr>
        <w:t>。</w:t>
      </w:r>
    </w:p>
    <w:p w14:paraId="09FBB7F1">
      <w:pPr>
        <w:spacing w:line="560" w:lineRule="exact"/>
        <w:outlineLvl w:val="0"/>
        <w:rPr>
          <w:rFonts w:hint="eastAsia" w:ascii="宋体" w:hAnsi="宋体" w:eastAsia="宋体" w:cs="方正小标宋_GBK"/>
          <w:sz w:val="32"/>
          <w:szCs w:val="32"/>
        </w:rPr>
      </w:pPr>
    </w:p>
    <w:p w14:paraId="74CF1553">
      <w:pPr>
        <w:spacing w:line="560" w:lineRule="exact"/>
        <w:outlineLvl w:val="0"/>
        <w:rPr>
          <w:rFonts w:hint="eastAsia" w:ascii="宋体" w:hAnsi="宋体" w:eastAsia="宋体" w:cs="方正小标宋_GBK"/>
          <w:sz w:val="32"/>
          <w:szCs w:val="32"/>
        </w:rPr>
      </w:pPr>
    </w:p>
    <w:p w14:paraId="2C321F6C">
      <w:pPr>
        <w:spacing w:line="560" w:lineRule="exact"/>
        <w:outlineLvl w:val="0"/>
        <w:rPr>
          <w:rFonts w:hint="eastAsia" w:ascii="宋体" w:hAnsi="宋体" w:eastAsia="宋体" w:cs="方正小标宋_GBK"/>
          <w:sz w:val="32"/>
          <w:szCs w:val="32"/>
        </w:rPr>
      </w:pPr>
    </w:p>
    <w:p w14:paraId="7694A22B">
      <w:pPr>
        <w:spacing w:line="560" w:lineRule="exact"/>
        <w:outlineLvl w:val="0"/>
        <w:rPr>
          <w:rFonts w:hint="eastAsia" w:ascii="宋体" w:hAnsi="宋体" w:eastAsia="宋体" w:cs="方正小标宋_GBK"/>
          <w:sz w:val="32"/>
          <w:szCs w:val="32"/>
        </w:rPr>
      </w:pPr>
    </w:p>
    <w:p w14:paraId="10DC0E16">
      <w:pPr>
        <w:spacing w:line="560" w:lineRule="exact"/>
        <w:outlineLvl w:val="0"/>
        <w:rPr>
          <w:rFonts w:hint="eastAsia" w:ascii="宋体" w:hAnsi="宋体" w:eastAsia="宋体" w:cs="方正小标宋_GBK"/>
          <w:sz w:val="32"/>
          <w:szCs w:val="32"/>
        </w:rPr>
      </w:pPr>
    </w:p>
    <w:p w14:paraId="76A71AF1">
      <w:pPr>
        <w:spacing w:line="560" w:lineRule="exact"/>
        <w:outlineLvl w:val="0"/>
        <w:rPr>
          <w:rFonts w:hint="eastAsia" w:ascii="宋体" w:hAnsi="宋体" w:eastAsia="宋体" w:cs="方正小标宋_GBK"/>
          <w:sz w:val="32"/>
          <w:szCs w:val="32"/>
        </w:rPr>
      </w:pPr>
    </w:p>
    <w:p w14:paraId="61E1B4FB">
      <w:pPr>
        <w:spacing w:line="560" w:lineRule="exact"/>
        <w:outlineLvl w:val="0"/>
        <w:rPr>
          <w:rFonts w:hint="eastAsia" w:ascii="宋体" w:hAnsi="宋体" w:eastAsia="宋体" w:cs="方正小标宋_GBK"/>
          <w:sz w:val="32"/>
          <w:szCs w:val="32"/>
        </w:rPr>
      </w:pPr>
    </w:p>
    <w:p w14:paraId="6F3B52F6">
      <w:pPr>
        <w:spacing w:line="560" w:lineRule="exact"/>
        <w:outlineLvl w:val="0"/>
        <w:rPr>
          <w:rFonts w:hint="eastAsia" w:ascii="宋体" w:hAnsi="宋体" w:eastAsia="宋体" w:cs="方正小标宋_GBK"/>
          <w:sz w:val="32"/>
          <w:szCs w:val="32"/>
        </w:rPr>
      </w:pPr>
    </w:p>
    <w:p w14:paraId="318FA63A">
      <w:pPr>
        <w:spacing w:line="560" w:lineRule="exact"/>
        <w:outlineLvl w:val="0"/>
        <w:rPr>
          <w:rFonts w:hint="eastAsia" w:ascii="宋体" w:hAnsi="宋体" w:eastAsia="宋体" w:cs="方正小标宋_GBK"/>
          <w:sz w:val="32"/>
          <w:szCs w:val="32"/>
        </w:rPr>
      </w:pPr>
    </w:p>
    <w:p w14:paraId="1538C8C7">
      <w:pPr>
        <w:spacing w:line="560" w:lineRule="exact"/>
        <w:outlineLvl w:val="0"/>
        <w:rPr>
          <w:rFonts w:hint="eastAsia" w:ascii="宋体" w:hAnsi="宋体" w:eastAsia="宋体" w:cs="方正小标宋_GBK"/>
          <w:sz w:val="32"/>
          <w:szCs w:val="32"/>
        </w:rPr>
      </w:pPr>
    </w:p>
    <w:p w14:paraId="5E0CEEB1">
      <w:pPr>
        <w:spacing w:line="560" w:lineRule="exact"/>
        <w:outlineLvl w:val="0"/>
        <w:rPr>
          <w:rFonts w:hint="eastAsia" w:ascii="宋体" w:hAnsi="宋体" w:eastAsia="宋体" w:cs="方正小标宋_GBK"/>
          <w:sz w:val="32"/>
          <w:szCs w:val="32"/>
        </w:rPr>
      </w:pPr>
    </w:p>
    <w:p w14:paraId="6C825879">
      <w:pPr>
        <w:spacing w:line="560" w:lineRule="exact"/>
        <w:outlineLvl w:val="0"/>
        <w:rPr>
          <w:rFonts w:ascii="宋体" w:hAnsi="宋体" w:eastAsia="宋体" w:cs="Times New Roman"/>
          <w:sz w:val="32"/>
          <w:szCs w:val="32"/>
        </w:rPr>
      </w:pPr>
      <w:r>
        <w:rPr>
          <w:rFonts w:hint="eastAsia" w:ascii="宋体" w:hAnsi="宋体" w:eastAsia="宋体" w:cs="方正小标宋_GBK"/>
          <w:sz w:val="32"/>
          <w:szCs w:val="32"/>
        </w:rPr>
        <w:t>部门政府采购预算</w:t>
      </w:r>
      <w:bookmarkEnd w:id="1"/>
    </w:p>
    <w:tbl>
      <w:tblPr>
        <w:tblStyle w:val="4"/>
        <w:tblW w:w="90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94"/>
        <w:gridCol w:w="667"/>
        <w:gridCol w:w="641"/>
        <w:gridCol w:w="781"/>
        <w:gridCol w:w="549"/>
        <w:gridCol w:w="549"/>
        <w:gridCol w:w="564"/>
        <w:gridCol w:w="562"/>
        <w:gridCol w:w="562"/>
        <w:gridCol w:w="562"/>
        <w:gridCol w:w="511"/>
        <w:gridCol w:w="551"/>
        <w:gridCol w:w="551"/>
        <w:gridCol w:w="516"/>
      </w:tblGrid>
      <w:tr w14:paraId="73B5E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245" w:type="dxa"/>
            <w:gridSpan w:val="7"/>
            <w:tcBorders>
              <w:top w:val="single" w:color="FFFFFF" w:sz="6" w:space="0"/>
              <w:left w:val="single" w:color="FFFFFF" w:sz="6" w:space="0"/>
              <w:right w:val="single" w:color="FFFFFF" w:sz="6" w:space="0"/>
            </w:tcBorders>
            <w:vAlign w:val="center"/>
          </w:tcPr>
          <w:p w14:paraId="22D6C1BF">
            <w:pPr>
              <w:spacing w:line="560" w:lineRule="exact"/>
              <w:jc w:val="left"/>
              <w:rPr>
                <w:rFonts w:ascii="宋体" w:hAnsi="宋体" w:eastAsia="宋体" w:cs="Times New Roman"/>
                <w:sz w:val="24"/>
                <w:szCs w:val="24"/>
              </w:rPr>
            </w:pPr>
            <w:r>
              <w:rPr>
                <w:rFonts w:hint="eastAsia" w:ascii="宋体" w:hAnsi="宋体" w:eastAsia="宋体" w:cs="方正小标宋_GBK"/>
                <w:sz w:val="24"/>
                <w:szCs w:val="24"/>
              </w:rPr>
              <w:t>部门（单位）名称：财政局</w:t>
            </w:r>
          </w:p>
        </w:tc>
        <w:tc>
          <w:tcPr>
            <w:tcW w:w="3815" w:type="dxa"/>
            <w:gridSpan w:val="7"/>
            <w:tcBorders>
              <w:top w:val="single" w:color="FFFFFF" w:sz="6" w:space="0"/>
              <w:left w:val="single" w:color="FFFFFF" w:sz="6" w:space="0"/>
              <w:right w:val="single" w:color="FFFFFF" w:sz="6" w:space="0"/>
            </w:tcBorders>
            <w:vAlign w:val="center"/>
          </w:tcPr>
          <w:p w14:paraId="3DBA86FF">
            <w:pPr>
              <w:spacing w:line="560" w:lineRule="exact"/>
              <w:jc w:val="right"/>
              <w:rPr>
                <w:rFonts w:ascii="宋体" w:hAnsi="宋体" w:eastAsia="宋体" w:cs="Times New Roman"/>
                <w:sz w:val="24"/>
                <w:szCs w:val="24"/>
              </w:rPr>
            </w:pPr>
            <w:r>
              <w:rPr>
                <w:rFonts w:hint="eastAsia" w:ascii="宋体" w:hAnsi="宋体" w:eastAsia="宋体" w:cs="方正书宋_GBK"/>
                <w:sz w:val="24"/>
                <w:szCs w:val="24"/>
              </w:rPr>
              <w:t>单位：万元</w:t>
            </w:r>
          </w:p>
        </w:tc>
      </w:tr>
      <w:tr w14:paraId="68249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161" w:type="dxa"/>
            <w:gridSpan w:val="2"/>
            <w:vAlign w:val="center"/>
          </w:tcPr>
          <w:p w14:paraId="785792AA">
            <w:pPr>
              <w:spacing w:line="560" w:lineRule="exact"/>
              <w:jc w:val="center"/>
              <w:rPr>
                <w:rFonts w:ascii="宋体" w:hAnsi="宋体" w:eastAsia="宋体" w:cs="Times New Roman"/>
                <w:b/>
                <w:bCs/>
              </w:rPr>
            </w:pPr>
            <w:r>
              <w:rPr>
                <w:rFonts w:hint="eastAsia" w:ascii="宋体" w:hAnsi="宋体" w:eastAsia="宋体" w:cs="方正书宋_GBK"/>
                <w:b/>
                <w:bCs/>
              </w:rPr>
              <w:t>政府采购项目来源</w:t>
            </w:r>
          </w:p>
        </w:tc>
        <w:tc>
          <w:tcPr>
            <w:tcW w:w="641" w:type="dxa"/>
            <w:vMerge w:val="restart"/>
            <w:vAlign w:val="center"/>
          </w:tcPr>
          <w:p w14:paraId="7903EA91">
            <w:pPr>
              <w:spacing w:line="560" w:lineRule="exact"/>
              <w:jc w:val="center"/>
              <w:rPr>
                <w:rFonts w:ascii="宋体" w:hAnsi="宋体" w:eastAsia="宋体" w:cs="Times New Roman"/>
                <w:b/>
                <w:bCs/>
              </w:rPr>
            </w:pPr>
            <w:r>
              <w:rPr>
                <w:rFonts w:hint="eastAsia" w:ascii="宋体" w:hAnsi="宋体" w:eastAsia="宋体" w:cs="方正书宋_GBK"/>
                <w:b/>
                <w:bCs/>
              </w:rPr>
              <w:t>采购物品名称</w:t>
            </w:r>
          </w:p>
        </w:tc>
        <w:tc>
          <w:tcPr>
            <w:tcW w:w="781" w:type="dxa"/>
            <w:vMerge w:val="restart"/>
            <w:vAlign w:val="center"/>
          </w:tcPr>
          <w:p w14:paraId="39911D25">
            <w:pPr>
              <w:spacing w:line="560" w:lineRule="exact"/>
              <w:jc w:val="center"/>
              <w:rPr>
                <w:rFonts w:ascii="宋体" w:hAnsi="宋体" w:eastAsia="宋体" w:cs="Times New Roman"/>
                <w:b/>
                <w:bCs/>
              </w:rPr>
            </w:pPr>
            <w:r>
              <w:rPr>
                <w:rFonts w:hint="eastAsia" w:ascii="宋体" w:hAnsi="宋体" w:eastAsia="宋体" w:cs="方正书宋_GBK"/>
                <w:b/>
                <w:bCs/>
              </w:rPr>
              <w:t>政府采购目录序号</w:t>
            </w:r>
          </w:p>
        </w:tc>
        <w:tc>
          <w:tcPr>
            <w:tcW w:w="549" w:type="dxa"/>
            <w:vMerge w:val="restart"/>
            <w:vAlign w:val="center"/>
          </w:tcPr>
          <w:p w14:paraId="69FED1C5">
            <w:pPr>
              <w:spacing w:line="560" w:lineRule="exact"/>
              <w:jc w:val="center"/>
              <w:rPr>
                <w:rFonts w:ascii="宋体" w:hAnsi="宋体" w:eastAsia="宋体" w:cs="Times New Roman"/>
                <w:b/>
                <w:bCs/>
              </w:rPr>
            </w:pPr>
            <w:r>
              <w:rPr>
                <w:rFonts w:hint="eastAsia" w:ascii="宋体" w:hAnsi="宋体" w:eastAsia="宋体" w:cs="方正书宋_GBK"/>
                <w:b/>
                <w:bCs/>
              </w:rPr>
              <w:t>数量</w:t>
            </w:r>
            <w:r>
              <w:rPr>
                <w:rFonts w:ascii="宋体" w:hAnsi="宋体" w:eastAsia="宋体" w:cs="方正书宋_GBK"/>
                <w:b/>
                <w:bCs/>
              </w:rPr>
              <w:t xml:space="preserve">  </w:t>
            </w:r>
            <w:r>
              <w:rPr>
                <w:rFonts w:hint="eastAsia" w:ascii="宋体" w:hAnsi="宋体" w:eastAsia="宋体" w:cs="方正书宋_GBK"/>
                <w:b/>
                <w:bCs/>
              </w:rPr>
              <w:t>单位</w:t>
            </w:r>
          </w:p>
        </w:tc>
        <w:tc>
          <w:tcPr>
            <w:tcW w:w="549" w:type="dxa"/>
            <w:vMerge w:val="restart"/>
            <w:vAlign w:val="center"/>
          </w:tcPr>
          <w:p w14:paraId="04D13083">
            <w:pPr>
              <w:spacing w:line="560" w:lineRule="exact"/>
              <w:jc w:val="center"/>
              <w:rPr>
                <w:rFonts w:ascii="宋体" w:hAnsi="宋体" w:eastAsia="宋体" w:cs="Times New Roman"/>
                <w:b/>
                <w:bCs/>
              </w:rPr>
            </w:pPr>
            <w:r>
              <w:rPr>
                <w:rFonts w:hint="eastAsia" w:ascii="宋体" w:hAnsi="宋体" w:eastAsia="宋体" w:cs="方正书宋_GBK"/>
                <w:b/>
                <w:bCs/>
              </w:rPr>
              <w:t>数量</w:t>
            </w:r>
          </w:p>
        </w:tc>
        <w:tc>
          <w:tcPr>
            <w:tcW w:w="564" w:type="dxa"/>
            <w:vMerge w:val="restart"/>
            <w:vAlign w:val="center"/>
          </w:tcPr>
          <w:p w14:paraId="4323902C">
            <w:pPr>
              <w:spacing w:line="560" w:lineRule="exact"/>
              <w:jc w:val="center"/>
              <w:rPr>
                <w:rFonts w:ascii="宋体" w:hAnsi="宋体" w:eastAsia="宋体" w:cs="Times New Roman"/>
                <w:b/>
                <w:bCs/>
              </w:rPr>
            </w:pPr>
            <w:r>
              <w:rPr>
                <w:rFonts w:hint="eastAsia" w:ascii="宋体" w:hAnsi="宋体" w:eastAsia="宋体" w:cs="方正书宋_GBK"/>
                <w:b/>
                <w:bCs/>
              </w:rPr>
              <w:t>单价</w:t>
            </w:r>
          </w:p>
        </w:tc>
        <w:tc>
          <w:tcPr>
            <w:tcW w:w="3815" w:type="dxa"/>
            <w:gridSpan w:val="7"/>
            <w:vAlign w:val="center"/>
          </w:tcPr>
          <w:p w14:paraId="52E579F3">
            <w:pPr>
              <w:spacing w:line="560" w:lineRule="exact"/>
              <w:jc w:val="center"/>
              <w:rPr>
                <w:rFonts w:ascii="宋体" w:hAnsi="宋体" w:eastAsia="宋体" w:cs="Times New Roman"/>
                <w:b/>
                <w:bCs/>
              </w:rPr>
            </w:pPr>
            <w:r>
              <w:rPr>
                <w:rFonts w:hint="eastAsia" w:ascii="宋体" w:hAnsi="宋体" w:eastAsia="宋体" w:cs="方正书宋_GBK"/>
                <w:b/>
                <w:bCs/>
              </w:rPr>
              <w:t>政府采购金额</w:t>
            </w:r>
          </w:p>
        </w:tc>
      </w:tr>
      <w:tr w14:paraId="36951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494" w:type="dxa"/>
            <w:vMerge w:val="restart"/>
            <w:vAlign w:val="center"/>
          </w:tcPr>
          <w:p w14:paraId="6FEDFA61">
            <w:pPr>
              <w:spacing w:line="560" w:lineRule="exact"/>
              <w:jc w:val="center"/>
              <w:rPr>
                <w:rFonts w:ascii="宋体" w:hAnsi="宋体" w:eastAsia="宋体" w:cs="Times New Roman"/>
                <w:b/>
                <w:bCs/>
              </w:rPr>
            </w:pPr>
            <w:r>
              <w:rPr>
                <w:rFonts w:hint="eastAsia" w:ascii="宋体" w:hAnsi="宋体" w:eastAsia="宋体" w:cs="方正书宋_GBK"/>
                <w:b/>
                <w:bCs/>
              </w:rPr>
              <w:t>项目名称</w:t>
            </w:r>
          </w:p>
        </w:tc>
        <w:tc>
          <w:tcPr>
            <w:tcW w:w="667" w:type="dxa"/>
            <w:vMerge w:val="restart"/>
            <w:vAlign w:val="center"/>
          </w:tcPr>
          <w:p w14:paraId="6E62DAE9">
            <w:pPr>
              <w:spacing w:line="560" w:lineRule="exact"/>
              <w:jc w:val="center"/>
              <w:rPr>
                <w:rFonts w:ascii="宋体" w:hAnsi="宋体" w:eastAsia="宋体" w:cs="Times New Roman"/>
                <w:b/>
                <w:bCs/>
              </w:rPr>
            </w:pPr>
            <w:r>
              <w:rPr>
                <w:rFonts w:hint="eastAsia" w:ascii="宋体" w:hAnsi="宋体" w:eastAsia="宋体" w:cs="方正书宋_GBK"/>
                <w:b/>
                <w:bCs/>
              </w:rPr>
              <w:t>预算资金</w:t>
            </w:r>
          </w:p>
        </w:tc>
        <w:tc>
          <w:tcPr>
            <w:tcW w:w="641" w:type="dxa"/>
            <w:vMerge w:val="continue"/>
            <w:vAlign w:val="center"/>
          </w:tcPr>
          <w:p w14:paraId="31671DAE">
            <w:pPr>
              <w:spacing w:line="560" w:lineRule="exact"/>
              <w:jc w:val="left"/>
              <w:outlineLvl w:val="0"/>
              <w:rPr>
                <w:rFonts w:ascii="宋体" w:hAnsi="宋体" w:eastAsia="宋体" w:cs="Times New Roman"/>
              </w:rPr>
            </w:pPr>
          </w:p>
        </w:tc>
        <w:tc>
          <w:tcPr>
            <w:tcW w:w="781" w:type="dxa"/>
            <w:vMerge w:val="continue"/>
            <w:vAlign w:val="center"/>
          </w:tcPr>
          <w:p w14:paraId="7D4B59E4">
            <w:pPr>
              <w:spacing w:line="560" w:lineRule="exact"/>
              <w:jc w:val="left"/>
              <w:outlineLvl w:val="0"/>
              <w:rPr>
                <w:rFonts w:ascii="宋体" w:hAnsi="宋体" w:eastAsia="宋体" w:cs="Times New Roman"/>
              </w:rPr>
            </w:pPr>
          </w:p>
        </w:tc>
        <w:tc>
          <w:tcPr>
            <w:tcW w:w="549" w:type="dxa"/>
            <w:vMerge w:val="continue"/>
            <w:vAlign w:val="center"/>
          </w:tcPr>
          <w:p w14:paraId="162A8A45">
            <w:pPr>
              <w:spacing w:line="560" w:lineRule="exact"/>
              <w:jc w:val="left"/>
              <w:outlineLvl w:val="0"/>
              <w:rPr>
                <w:rFonts w:ascii="宋体" w:hAnsi="宋体" w:eastAsia="宋体" w:cs="Times New Roman"/>
              </w:rPr>
            </w:pPr>
          </w:p>
        </w:tc>
        <w:tc>
          <w:tcPr>
            <w:tcW w:w="549" w:type="dxa"/>
            <w:vMerge w:val="continue"/>
            <w:vAlign w:val="center"/>
          </w:tcPr>
          <w:p w14:paraId="1140555F">
            <w:pPr>
              <w:spacing w:line="560" w:lineRule="exact"/>
              <w:jc w:val="left"/>
              <w:outlineLvl w:val="0"/>
              <w:rPr>
                <w:rFonts w:ascii="宋体" w:hAnsi="宋体" w:eastAsia="宋体" w:cs="Times New Roman"/>
              </w:rPr>
            </w:pPr>
          </w:p>
        </w:tc>
        <w:tc>
          <w:tcPr>
            <w:tcW w:w="564" w:type="dxa"/>
            <w:vMerge w:val="continue"/>
            <w:vAlign w:val="center"/>
          </w:tcPr>
          <w:p w14:paraId="4FC18A8D">
            <w:pPr>
              <w:spacing w:line="560" w:lineRule="exact"/>
              <w:jc w:val="left"/>
              <w:outlineLvl w:val="0"/>
              <w:rPr>
                <w:rFonts w:ascii="宋体" w:hAnsi="宋体" w:eastAsia="宋体" w:cs="Times New Roman"/>
              </w:rPr>
            </w:pPr>
          </w:p>
        </w:tc>
        <w:tc>
          <w:tcPr>
            <w:tcW w:w="562" w:type="dxa"/>
            <w:vMerge w:val="restart"/>
            <w:vAlign w:val="center"/>
          </w:tcPr>
          <w:p w14:paraId="20BA9C3F">
            <w:pPr>
              <w:spacing w:line="560" w:lineRule="exact"/>
              <w:jc w:val="center"/>
              <w:rPr>
                <w:rFonts w:ascii="宋体" w:hAnsi="宋体" w:eastAsia="宋体" w:cs="Times New Roman"/>
                <w:b/>
                <w:bCs/>
              </w:rPr>
            </w:pPr>
            <w:r>
              <w:rPr>
                <w:rFonts w:hint="eastAsia" w:ascii="宋体" w:hAnsi="宋体" w:eastAsia="宋体" w:cs="方正书宋_GBK"/>
                <w:b/>
                <w:bCs/>
              </w:rPr>
              <w:t>总计</w:t>
            </w:r>
          </w:p>
        </w:tc>
        <w:tc>
          <w:tcPr>
            <w:tcW w:w="2737" w:type="dxa"/>
            <w:gridSpan w:val="5"/>
            <w:vAlign w:val="center"/>
          </w:tcPr>
          <w:p w14:paraId="79303324">
            <w:pPr>
              <w:spacing w:line="560" w:lineRule="exact"/>
              <w:jc w:val="center"/>
              <w:rPr>
                <w:rFonts w:ascii="宋体" w:hAnsi="宋体" w:eastAsia="宋体" w:cs="Times New Roman"/>
                <w:b/>
                <w:bCs/>
              </w:rPr>
            </w:pPr>
            <w:r>
              <w:rPr>
                <w:rFonts w:hint="eastAsia" w:ascii="宋体" w:hAnsi="宋体" w:eastAsia="宋体" w:cs="方正书宋_GBK"/>
                <w:b/>
                <w:bCs/>
              </w:rPr>
              <w:t>当年部门预算安排资金</w:t>
            </w:r>
          </w:p>
        </w:tc>
        <w:tc>
          <w:tcPr>
            <w:tcW w:w="516" w:type="dxa"/>
            <w:vMerge w:val="restart"/>
            <w:vAlign w:val="center"/>
          </w:tcPr>
          <w:p w14:paraId="127C0818">
            <w:pPr>
              <w:spacing w:line="560" w:lineRule="exact"/>
              <w:jc w:val="center"/>
              <w:rPr>
                <w:rFonts w:ascii="宋体" w:hAnsi="宋体" w:eastAsia="宋体" w:cs="Times New Roman"/>
                <w:b/>
                <w:bCs/>
              </w:rPr>
            </w:pPr>
            <w:r>
              <w:rPr>
                <w:rFonts w:hint="eastAsia" w:ascii="宋体" w:hAnsi="宋体" w:eastAsia="宋体" w:cs="方正书宋_GBK"/>
                <w:b/>
                <w:bCs/>
              </w:rPr>
              <w:t>其他渠道资金</w:t>
            </w:r>
          </w:p>
        </w:tc>
      </w:tr>
      <w:tr w14:paraId="66F51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494" w:type="dxa"/>
            <w:vMerge w:val="continue"/>
            <w:vAlign w:val="center"/>
          </w:tcPr>
          <w:p w14:paraId="529B9A71">
            <w:pPr>
              <w:spacing w:line="560" w:lineRule="exact"/>
              <w:jc w:val="left"/>
              <w:outlineLvl w:val="0"/>
              <w:rPr>
                <w:rFonts w:ascii="宋体" w:hAnsi="宋体" w:eastAsia="宋体" w:cs="Times New Roman"/>
              </w:rPr>
            </w:pPr>
          </w:p>
        </w:tc>
        <w:tc>
          <w:tcPr>
            <w:tcW w:w="667" w:type="dxa"/>
            <w:vMerge w:val="continue"/>
            <w:vAlign w:val="center"/>
          </w:tcPr>
          <w:p w14:paraId="028F727A">
            <w:pPr>
              <w:spacing w:line="560" w:lineRule="exact"/>
              <w:jc w:val="left"/>
              <w:outlineLvl w:val="0"/>
              <w:rPr>
                <w:rFonts w:ascii="宋体" w:hAnsi="宋体" w:eastAsia="宋体" w:cs="Times New Roman"/>
              </w:rPr>
            </w:pPr>
          </w:p>
        </w:tc>
        <w:tc>
          <w:tcPr>
            <w:tcW w:w="641" w:type="dxa"/>
            <w:vMerge w:val="continue"/>
            <w:vAlign w:val="center"/>
          </w:tcPr>
          <w:p w14:paraId="6AF59895">
            <w:pPr>
              <w:spacing w:line="560" w:lineRule="exact"/>
              <w:jc w:val="left"/>
              <w:outlineLvl w:val="0"/>
              <w:rPr>
                <w:rFonts w:ascii="宋体" w:hAnsi="宋体" w:eastAsia="宋体" w:cs="Times New Roman"/>
              </w:rPr>
            </w:pPr>
          </w:p>
        </w:tc>
        <w:tc>
          <w:tcPr>
            <w:tcW w:w="781" w:type="dxa"/>
            <w:vMerge w:val="continue"/>
            <w:vAlign w:val="center"/>
          </w:tcPr>
          <w:p w14:paraId="399EB555">
            <w:pPr>
              <w:spacing w:line="560" w:lineRule="exact"/>
              <w:jc w:val="left"/>
              <w:outlineLvl w:val="0"/>
              <w:rPr>
                <w:rFonts w:ascii="宋体" w:hAnsi="宋体" w:eastAsia="宋体" w:cs="Times New Roman"/>
              </w:rPr>
            </w:pPr>
          </w:p>
        </w:tc>
        <w:tc>
          <w:tcPr>
            <w:tcW w:w="549" w:type="dxa"/>
            <w:vMerge w:val="continue"/>
            <w:vAlign w:val="center"/>
          </w:tcPr>
          <w:p w14:paraId="11DE555D">
            <w:pPr>
              <w:spacing w:line="560" w:lineRule="exact"/>
              <w:jc w:val="left"/>
              <w:outlineLvl w:val="0"/>
              <w:rPr>
                <w:rFonts w:ascii="宋体" w:hAnsi="宋体" w:eastAsia="宋体" w:cs="Times New Roman"/>
              </w:rPr>
            </w:pPr>
          </w:p>
        </w:tc>
        <w:tc>
          <w:tcPr>
            <w:tcW w:w="549" w:type="dxa"/>
            <w:vMerge w:val="continue"/>
            <w:vAlign w:val="center"/>
          </w:tcPr>
          <w:p w14:paraId="7546D531">
            <w:pPr>
              <w:spacing w:line="560" w:lineRule="exact"/>
              <w:jc w:val="left"/>
              <w:outlineLvl w:val="0"/>
              <w:rPr>
                <w:rFonts w:ascii="宋体" w:hAnsi="宋体" w:eastAsia="宋体" w:cs="Times New Roman"/>
              </w:rPr>
            </w:pPr>
          </w:p>
        </w:tc>
        <w:tc>
          <w:tcPr>
            <w:tcW w:w="564" w:type="dxa"/>
            <w:vMerge w:val="continue"/>
            <w:vAlign w:val="center"/>
          </w:tcPr>
          <w:p w14:paraId="14E17C5F">
            <w:pPr>
              <w:spacing w:line="560" w:lineRule="exact"/>
              <w:jc w:val="left"/>
              <w:outlineLvl w:val="0"/>
              <w:rPr>
                <w:rFonts w:ascii="宋体" w:hAnsi="宋体" w:eastAsia="宋体" w:cs="Times New Roman"/>
              </w:rPr>
            </w:pPr>
          </w:p>
        </w:tc>
        <w:tc>
          <w:tcPr>
            <w:tcW w:w="562" w:type="dxa"/>
            <w:vMerge w:val="continue"/>
            <w:vAlign w:val="center"/>
          </w:tcPr>
          <w:p w14:paraId="2B9EDAC0">
            <w:pPr>
              <w:spacing w:line="560" w:lineRule="exact"/>
              <w:jc w:val="left"/>
              <w:outlineLvl w:val="0"/>
              <w:rPr>
                <w:rFonts w:ascii="宋体" w:hAnsi="宋体" w:eastAsia="宋体" w:cs="Times New Roman"/>
              </w:rPr>
            </w:pPr>
          </w:p>
        </w:tc>
        <w:tc>
          <w:tcPr>
            <w:tcW w:w="562" w:type="dxa"/>
            <w:vAlign w:val="center"/>
          </w:tcPr>
          <w:p w14:paraId="4EAC0E10">
            <w:pPr>
              <w:spacing w:line="560" w:lineRule="exact"/>
              <w:jc w:val="center"/>
              <w:rPr>
                <w:rFonts w:ascii="宋体" w:hAnsi="宋体" w:eastAsia="宋体" w:cs="Times New Roman"/>
                <w:b/>
                <w:bCs/>
              </w:rPr>
            </w:pPr>
            <w:r>
              <w:rPr>
                <w:rFonts w:hint="eastAsia" w:ascii="宋体" w:hAnsi="宋体" w:eastAsia="宋体" w:cs="方正书宋_GBK"/>
                <w:b/>
                <w:bCs/>
              </w:rPr>
              <w:t>合计</w:t>
            </w:r>
          </w:p>
        </w:tc>
        <w:tc>
          <w:tcPr>
            <w:tcW w:w="562" w:type="dxa"/>
            <w:vAlign w:val="center"/>
          </w:tcPr>
          <w:p w14:paraId="0910B744">
            <w:pPr>
              <w:spacing w:line="560" w:lineRule="exact"/>
              <w:jc w:val="center"/>
              <w:rPr>
                <w:rFonts w:ascii="宋体" w:hAnsi="宋体" w:eastAsia="宋体" w:cs="Times New Roman"/>
                <w:b/>
                <w:bCs/>
              </w:rPr>
            </w:pPr>
            <w:r>
              <w:rPr>
                <w:rFonts w:hint="eastAsia" w:ascii="宋体" w:hAnsi="宋体" w:eastAsia="宋体" w:cs="方正书宋_GBK"/>
                <w:b/>
                <w:bCs/>
              </w:rPr>
              <w:t>一般公共预算拨款</w:t>
            </w:r>
          </w:p>
        </w:tc>
        <w:tc>
          <w:tcPr>
            <w:tcW w:w="511" w:type="dxa"/>
            <w:vAlign w:val="center"/>
          </w:tcPr>
          <w:p w14:paraId="48A47173">
            <w:pPr>
              <w:spacing w:line="560" w:lineRule="exact"/>
              <w:jc w:val="center"/>
              <w:rPr>
                <w:rFonts w:ascii="宋体" w:hAnsi="宋体" w:eastAsia="宋体" w:cs="Times New Roman"/>
                <w:b/>
                <w:bCs/>
              </w:rPr>
            </w:pPr>
            <w:r>
              <w:rPr>
                <w:rFonts w:hint="eastAsia" w:ascii="宋体" w:hAnsi="宋体" w:eastAsia="宋体" w:cs="方正书宋_GBK"/>
                <w:b/>
                <w:bCs/>
              </w:rPr>
              <w:t>基金预算拨款</w:t>
            </w:r>
          </w:p>
        </w:tc>
        <w:tc>
          <w:tcPr>
            <w:tcW w:w="551" w:type="dxa"/>
            <w:vAlign w:val="center"/>
          </w:tcPr>
          <w:p w14:paraId="7A0CC858">
            <w:pPr>
              <w:spacing w:line="560" w:lineRule="exact"/>
              <w:jc w:val="center"/>
              <w:rPr>
                <w:rFonts w:ascii="宋体" w:hAnsi="宋体" w:eastAsia="宋体" w:cs="Times New Roman"/>
                <w:b/>
                <w:bCs/>
              </w:rPr>
            </w:pPr>
            <w:r>
              <w:rPr>
                <w:rFonts w:hint="eastAsia" w:ascii="宋体" w:hAnsi="宋体" w:eastAsia="宋体" w:cs="方正书宋_GBK"/>
                <w:b/>
                <w:bCs/>
              </w:rPr>
              <w:t>财政专户核拨</w:t>
            </w:r>
          </w:p>
        </w:tc>
        <w:tc>
          <w:tcPr>
            <w:tcW w:w="551" w:type="dxa"/>
            <w:vAlign w:val="center"/>
          </w:tcPr>
          <w:p w14:paraId="2B75BF2E">
            <w:pPr>
              <w:spacing w:line="560" w:lineRule="exact"/>
              <w:jc w:val="center"/>
              <w:rPr>
                <w:rFonts w:ascii="宋体" w:hAnsi="宋体" w:eastAsia="宋体" w:cs="Times New Roman"/>
                <w:b/>
                <w:bCs/>
              </w:rPr>
            </w:pPr>
            <w:r>
              <w:rPr>
                <w:rFonts w:hint="eastAsia" w:ascii="宋体" w:hAnsi="宋体" w:eastAsia="宋体" w:cs="方正书宋_GBK"/>
                <w:b/>
                <w:bCs/>
              </w:rPr>
              <w:t>其他来源收入</w:t>
            </w:r>
          </w:p>
        </w:tc>
        <w:tc>
          <w:tcPr>
            <w:tcW w:w="516" w:type="dxa"/>
            <w:vMerge w:val="continue"/>
            <w:vAlign w:val="center"/>
          </w:tcPr>
          <w:p w14:paraId="46C4BAF9">
            <w:pPr>
              <w:spacing w:line="560" w:lineRule="exact"/>
              <w:jc w:val="left"/>
              <w:outlineLvl w:val="0"/>
              <w:rPr>
                <w:rFonts w:ascii="宋体" w:hAnsi="宋体" w:eastAsia="宋体" w:cs="Times New Roman"/>
              </w:rPr>
            </w:pPr>
          </w:p>
        </w:tc>
      </w:tr>
      <w:tr w14:paraId="4BC0A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494" w:type="dxa"/>
            <w:vAlign w:val="center"/>
          </w:tcPr>
          <w:p w14:paraId="774B341C">
            <w:pPr>
              <w:spacing w:line="560" w:lineRule="exact"/>
              <w:jc w:val="center"/>
              <w:rPr>
                <w:rFonts w:ascii="宋体" w:hAnsi="宋体" w:eastAsia="宋体" w:cs="Times New Roman"/>
                <w:b/>
                <w:bCs/>
              </w:rPr>
            </w:pPr>
            <w:r>
              <w:rPr>
                <w:rFonts w:hint="eastAsia" w:ascii="宋体" w:hAnsi="宋体" w:eastAsia="宋体" w:cs="方正书宋_GBK"/>
                <w:b/>
                <w:bCs/>
              </w:rPr>
              <w:t>合　计</w:t>
            </w:r>
          </w:p>
        </w:tc>
        <w:tc>
          <w:tcPr>
            <w:tcW w:w="667" w:type="dxa"/>
            <w:vAlign w:val="center"/>
          </w:tcPr>
          <w:p w14:paraId="72F2D193">
            <w:pPr>
              <w:spacing w:line="560" w:lineRule="exact"/>
              <w:jc w:val="right"/>
              <w:rPr>
                <w:rFonts w:ascii="宋体" w:hAnsi="宋体" w:eastAsia="宋体" w:cs="Times New Roman"/>
                <w:b/>
                <w:bCs/>
              </w:rPr>
            </w:pPr>
            <w:r>
              <w:rPr>
                <w:rFonts w:hint="eastAsia" w:ascii="宋体" w:hAnsi="宋体" w:eastAsia="宋体" w:cs="Times New Roman"/>
                <w:b/>
                <w:bCs/>
              </w:rPr>
              <w:t>2.5</w:t>
            </w:r>
          </w:p>
        </w:tc>
        <w:tc>
          <w:tcPr>
            <w:tcW w:w="641" w:type="dxa"/>
            <w:vAlign w:val="center"/>
          </w:tcPr>
          <w:p w14:paraId="40879957">
            <w:pPr>
              <w:spacing w:line="560" w:lineRule="exact"/>
              <w:jc w:val="left"/>
              <w:rPr>
                <w:rFonts w:ascii="宋体" w:hAnsi="宋体" w:eastAsia="宋体" w:cs="Times New Roman"/>
                <w:b/>
                <w:bCs/>
              </w:rPr>
            </w:pPr>
          </w:p>
        </w:tc>
        <w:tc>
          <w:tcPr>
            <w:tcW w:w="781" w:type="dxa"/>
            <w:vAlign w:val="center"/>
          </w:tcPr>
          <w:p w14:paraId="14997F76">
            <w:pPr>
              <w:spacing w:line="560" w:lineRule="exact"/>
              <w:jc w:val="left"/>
              <w:rPr>
                <w:rFonts w:ascii="宋体" w:hAnsi="宋体" w:eastAsia="宋体" w:cs="Times New Roman"/>
                <w:b/>
                <w:bCs/>
              </w:rPr>
            </w:pPr>
          </w:p>
        </w:tc>
        <w:tc>
          <w:tcPr>
            <w:tcW w:w="549" w:type="dxa"/>
            <w:vAlign w:val="center"/>
          </w:tcPr>
          <w:p w14:paraId="2324D580">
            <w:pPr>
              <w:spacing w:line="560" w:lineRule="exact"/>
              <w:jc w:val="left"/>
              <w:rPr>
                <w:rFonts w:ascii="宋体" w:hAnsi="宋体" w:eastAsia="宋体" w:cs="Times New Roman"/>
                <w:b/>
                <w:bCs/>
              </w:rPr>
            </w:pPr>
          </w:p>
        </w:tc>
        <w:tc>
          <w:tcPr>
            <w:tcW w:w="549" w:type="dxa"/>
            <w:vAlign w:val="center"/>
          </w:tcPr>
          <w:p w14:paraId="1ADFB46A">
            <w:pPr>
              <w:spacing w:line="560" w:lineRule="exact"/>
              <w:jc w:val="right"/>
              <w:rPr>
                <w:rFonts w:ascii="宋体" w:hAnsi="宋体" w:eastAsia="宋体" w:cs="Times New Roman"/>
                <w:b/>
                <w:bCs/>
              </w:rPr>
            </w:pPr>
            <w:r>
              <w:rPr>
                <w:rFonts w:hint="eastAsia" w:ascii="宋体" w:hAnsi="宋体" w:eastAsia="宋体" w:cs="Times New Roman"/>
                <w:b/>
                <w:bCs/>
              </w:rPr>
              <w:t>5</w:t>
            </w:r>
          </w:p>
        </w:tc>
        <w:tc>
          <w:tcPr>
            <w:tcW w:w="564" w:type="dxa"/>
            <w:vAlign w:val="center"/>
          </w:tcPr>
          <w:p w14:paraId="28AD40EA">
            <w:pPr>
              <w:spacing w:line="560" w:lineRule="exact"/>
              <w:jc w:val="right"/>
              <w:rPr>
                <w:rFonts w:ascii="宋体" w:hAnsi="宋体" w:eastAsia="宋体" w:cs="Times New Roman"/>
                <w:b/>
                <w:bCs/>
              </w:rPr>
            </w:pPr>
            <w:r>
              <w:rPr>
                <w:rFonts w:hint="eastAsia" w:ascii="宋体" w:hAnsi="宋体" w:eastAsia="宋体" w:cs="Times New Roman"/>
                <w:b/>
                <w:bCs/>
              </w:rPr>
              <w:t>0.5</w:t>
            </w:r>
          </w:p>
        </w:tc>
        <w:tc>
          <w:tcPr>
            <w:tcW w:w="562" w:type="dxa"/>
            <w:vAlign w:val="center"/>
          </w:tcPr>
          <w:p w14:paraId="29B6BDCD">
            <w:pPr>
              <w:spacing w:line="560" w:lineRule="exact"/>
              <w:jc w:val="right"/>
              <w:rPr>
                <w:rFonts w:ascii="宋体" w:hAnsi="宋体" w:eastAsia="宋体" w:cs="Times New Roman"/>
                <w:b/>
                <w:bCs/>
              </w:rPr>
            </w:pPr>
            <w:r>
              <w:rPr>
                <w:rFonts w:hint="eastAsia" w:ascii="宋体" w:hAnsi="宋体" w:eastAsia="宋体" w:cs="Times New Roman"/>
                <w:b/>
                <w:bCs/>
              </w:rPr>
              <w:t>2.5</w:t>
            </w:r>
          </w:p>
        </w:tc>
        <w:tc>
          <w:tcPr>
            <w:tcW w:w="562" w:type="dxa"/>
            <w:vAlign w:val="center"/>
          </w:tcPr>
          <w:p w14:paraId="7CA8D270">
            <w:pPr>
              <w:spacing w:line="560" w:lineRule="exact"/>
              <w:jc w:val="right"/>
              <w:rPr>
                <w:rFonts w:ascii="宋体" w:hAnsi="宋体" w:eastAsia="宋体" w:cs="Times New Roman"/>
                <w:b/>
                <w:bCs/>
              </w:rPr>
            </w:pPr>
            <w:r>
              <w:rPr>
                <w:rFonts w:hint="eastAsia" w:ascii="宋体" w:hAnsi="宋体" w:eastAsia="宋体" w:cs="Times New Roman"/>
                <w:b/>
                <w:bCs/>
              </w:rPr>
              <w:t>2.5</w:t>
            </w:r>
          </w:p>
        </w:tc>
        <w:tc>
          <w:tcPr>
            <w:tcW w:w="562" w:type="dxa"/>
            <w:vAlign w:val="center"/>
          </w:tcPr>
          <w:p w14:paraId="54CCA4EF">
            <w:pPr>
              <w:spacing w:line="560" w:lineRule="exact"/>
              <w:jc w:val="right"/>
              <w:rPr>
                <w:rFonts w:ascii="宋体" w:hAnsi="宋体" w:eastAsia="宋体" w:cs="Times New Roman"/>
                <w:b/>
                <w:bCs/>
              </w:rPr>
            </w:pPr>
            <w:r>
              <w:rPr>
                <w:rFonts w:hint="eastAsia" w:ascii="宋体" w:hAnsi="宋体" w:eastAsia="宋体" w:cs="Times New Roman"/>
                <w:b/>
                <w:bCs/>
              </w:rPr>
              <w:t>2.5</w:t>
            </w:r>
          </w:p>
        </w:tc>
        <w:tc>
          <w:tcPr>
            <w:tcW w:w="511" w:type="dxa"/>
            <w:vAlign w:val="center"/>
          </w:tcPr>
          <w:p w14:paraId="63414E89">
            <w:pPr>
              <w:spacing w:line="560" w:lineRule="exact"/>
              <w:jc w:val="right"/>
              <w:rPr>
                <w:rFonts w:ascii="宋体" w:hAnsi="宋体" w:eastAsia="宋体" w:cs="Times New Roman"/>
                <w:b/>
                <w:bCs/>
              </w:rPr>
            </w:pPr>
          </w:p>
        </w:tc>
        <w:tc>
          <w:tcPr>
            <w:tcW w:w="551" w:type="dxa"/>
            <w:vAlign w:val="center"/>
          </w:tcPr>
          <w:p w14:paraId="0763F31E">
            <w:pPr>
              <w:spacing w:line="560" w:lineRule="exact"/>
              <w:jc w:val="right"/>
              <w:rPr>
                <w:rFonts w:ascii="宋体" w:hAnsi="宋体" w:eastAsia="宋体" w:cs="Times New Roman"/>
                <w:b/>
                <w:bCs/>
              </w:rPr>
            </w:pPr>
          </w:p>
        </w:tc>
        <w:tc>
          <w:tcPr>
            <w:tcW w:w="551" w:type="dxa"/>
            <w:vAlign w:val="center"/>
          </w:tcPr>
          <w:p w14:paraId="739A420D">
            <w:pPr>
              <w:spacing w:line="560" w:lineRule="exact"/>
              <w:jc w:val="right"/>
              <w:rPr>
                <w:rFonts w:ascii="宋体" w:hAnsi="宋体" w:eastAsia="宋体" w:cs="Times New Roman"/>
                <w:b/>
                <w:bCs/>
              </w:rPr>
            </w:pPr>
          </w:p>
        </w:tc>
        <w:tc>
          <w:tcPr>
            <w:tcW w:w="516" w:type="dxa"/>
            <w:vAlign w:val="center"/>
          </w:tcPr>
          <w:p w14:paraId="0AC8B80D">
            <w:pPr>
              <w:spacing w:line="560" w:lineRule="exact"/>
              <w:jc w:val="right"/>
              <w:rPr>
                <w:rFonts w:ascii="宋体" w:hAnsi="宋体" w:eastAsia="宋体" w:cs="Times New Roman"/>
                <w:b/>
                <w:bCs/>
              </w:rPr>
            </w:pPr>
          </w:p>
        </w:tc>
      </w:tr>
      <w:tr w14:paraId="3E8C8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494" w:type="dxa"/>
            <w:vAlign w:val="center"/>
          </w:tcPr>
          <w:p w14:paraId="40A38700">
            <w:pPr>
              <w:spacing w:line="560" w:lineRule="exact"/>
              <w:jc w:val="center"/>
              <w:rPr>
                <w:rFonts w:ascii="宋体" w:hAnsi="宋体" w:eastAsia="宋体" w:cs="Times New Roman"/>
                <w:b/>
                <w:bCs/>
              </w:rPr>
            </w:pPr>
            <w:r>
              <w:rPr>
                <w:rFonts w:hint="eastAsia" w:ascii="宋体" w:hAnsi="宋体" w:eastAsia="宋体" w:cs="Times New Roman"/>
                <w:b/>
                <w:bCs/>
              </w:rPr>
              <w:t>电脑</w:t>
            </w:r>
          </w:p>
        </w:tc>
        <w:tc>
          <w:tcPr>
            <w:tcW w:w="667" w:type="dxa"/>
            <w:vAlign w:val="center"/>
          </w:tcPr>
          <w:p w14:paraId="000519BD">
            <w:pPr>
              <w:spacing w:line="560" w:lineRule="exact"/>
              <w:jc w:val="right"/>
              <w:rPr>
                <w:rFonts w:ascii="宋体" w:hAnsi="宋体" w:eastAsia="宋体" w:cs="Times New Roman"/>
                <w:b/>
                <w:bCs/>
              </w:rPr>
            </w:pPr>
            <w:r>
              <w:rPr>
                <w:rFonts w:hint="eastAsia" w:ascii="宋体" w:hAnsi="宋体" w:eastAsia="宋体" w:cs="Times New Roman"/>
                <w:b/>
                <w:bCs/>
              </w:rPr>
              <w:t>2.5</w:t>
            </w:r>
          </w:p>
        </w:tc>
        <w:tc>
          <w:tcPr>
            <w:tcW w:w="641" w:type="dxa"/>
            <w:vAlign w:val="center"/>
          </w:tcPr>
          <w:p w14:paraId="30C53A40">
            <w:pPr>
              <w:spacing w:line="560" w:lineRule="exact"/>
              <w:jc w:val="left"/>
              <w:rPr>
                <w:rFonts w:ascii="宋体" w:hAnsi="宋体" w:eastAsia="宋体" w:cs="Times New Roman"/>
                <w:b/>
                <w:bCs/>
              </w:rPr>
            </w:pPr>
            <w:r>
              <w:rPr>
                <w:rFonts w:hint="eastAsia" w:ascii="宋体" w:hAnsi="宋体" w:eastAsia="宋体" w:cs="Times New Roman"/>
                <w:b/>
                <w:bCs/>
              </w:rPr>
              <w:t>电脑</w:t>
            </w:r>
          </w:p>
        </w:tc>
        <w:tc>
          <w:tcPr>
            <w:tcW w:w="781" w:type="dxa"/>
            <w:vAlign w:val="center"/>
          </w:tcPr>
          <w:p w14:paraId="448EFBEF">
            <w:pPr>
              <w:spacing w:line="560" w:lineRule="exact"/>
              <w:jc w:val="left"/>
              <w:rPr>
                <w:rFonts w:ascii="宋体" w:hAnsi="宋体" w:eastAsia="宋体" w:cs="Times New Roman"/>
                <w:b/>
                <w:bCs/>
              </w:rPr>
            </w:pPr>
          </w:p>
        </w:tc>
        <w:tc>
          <w:tcPr>
            <w:tcW w:w="549" w:type="dxa"/>
            <w:vAlign w:val="center"/>
          </w:tcPr>
          <w:p w14:paraId="0C2D9A45">
            <w:pPr>
              <w:spacing w:line="560" w:lineRule="exact"/>
              <w:jc w:val="left"/>
              <w:rPr>
                <w:rFonts w:ascii="宋体" w:hAnsi="宋体" w:eastAsia="宋体" w:cs="Times New Roman"/>
                <w:b/>
                <w:bCs/>
              </w:rPr>
            </w:pPr>
            <w:r>
              <w:rPr>
                <w:rFonts w:hint="eastAsia" w:ascii="宋体" w:hAnsi="宋体" w:eastAsia="宋体" w:cs="Times New Roman"/>
                <w:b/>
                <w:bCs/>
              </w:rPr>
              <w:t>台</w:t>
            </w:r>
          </w:p>
        </w:tc>
        <w:tc>
          <w:tcPr>
            <w:tcW w:w="549" w:type="dxa"/>
            <w:vAlign w:val="center"/>
          </w:tcPr>
          <w:p w14:paraId="435736A2">
            <w:pPr>
              <w:spacing w:line="560" w:lineRule="exact"/>
              <w:jc w:val="right"/>
              <w:rPr>
                <w:rFonts w:ascii="宋体" w:hAnsi="宋体" w:eastAsia="宋体" w:cs="Times New Roman"/>
                <w:b/>
                <w:bCs/>
              </w:rPr>
            </w:pPr>
            <w:r>
              <w:rPr>
                <w:rFonts w:hint="eastAsia" w:ascii="宋体" w:hAnsi="宋体" w:eastAsia="宋体" w:cs="Times New Roman"/>
                <w:b/>
                <w:bCs/>
              </w:rPr>
              <w:t>5</w:t>
            </w:r>
          </w:p>
        </w:tc>
        <w:tc>
          <w:tcPr>
            <w:tcW w:w="564" w:type="dxa"/>
            <w:vAlign w:val="center"/>
          </w:tcPr>
          <w:p w14:paraId="466405CE">
            <w:pPr>
              <w:spacing w:line="560" w:lineRule="exact"/>
              <w:jc w:val="right"/>
              <w:rPr>
                <w:rFonts w:ascii="宋体" w:hAnsi="宋体" w:eastAsia="宋体" w:cs="Times New Roman"/>
                <w:b/>
                <w:bCs/>
              </w:rPr>
            </w:pPr>
            <w:r>
              <w:rPr>
                <w:rFonts w:hint="eastAsia" w:ascii="宋体" w:hAnsi="宋体" w:eastAsia="宋体" w:cs="Times New Roman"/>
                <w:b/>
                <w:bCs/>
              </w:rPr>
              <w:t>0.5</w:t>
            </w:r>
          </w:p>
        </w:tc>
        <w:tc>
          <w:tcPr>
            <w:tcW w:w="562" w:type="dxa"/>
            <w:vAlign w:val="center"/>
          </w:tcPr>
          <w:p w14:paraId="75656F60">
            <w:pPr>
              <w:spacing w:line="560" w:lineRule="exact"/>
              <w:jc w:val="right"/>
              <w:rPr>
                <w:rFonts w:ascii="宋体" w:hAnsi="宋体" w:eastAsia="宋体" w:cs="Times New Roman"/>
                <w:b/>
                <w:bCs/>
              </w:rPr>
            </w:pPr>
            <w:r>
              <w:rPr>
                <w:rFonts w:hint="eastAsia" w:ascii="宋体" w:hAnsi="宋体" w:eastAsia="宋体" w:cs="Times New Roman"/>
                <w:b/>
                <w:bCs/>
              </w:rPr>
              <w:t>2.5</w:t>
            </w:r>
          </w:p>
        </w:tc>
        <w:tc>
          <w:tcPr>
            <w:tcW w:w="562" w:type="dxa"/>
            <w:vAlign w:val="center"/>
          </w:tcPr>
          <w:p w14:paraId="3F7C9D7D">
            <w:pPr>
              <w:spacing w:line="560" w:lineRule="exact"/>
              <w:jc w:val="right"/>
              <w:rPr>
                <w:rFonts w:ascii="宋体" w:hAnsi="宋体" w:eastAsia="宋体" w:cs="Times New Roman"/>
                <w:b/>
                <w:bCs/>
              </w:rPr>
            </w:pPr>
            <w:r>
              <w:rPr>
                <w:rFonts w:hint="eastAsia" w:ascii="宋体" w:hAnsi="宋体" w:eastAsia="宋体" w:cs="Times New Roman"/>
                <w:b/>
                <w:bCs/>
              </w:rPr>
              <w:t>2.5</w:t>
            </w:r>
          </w:p>
        </w:tc>
        <w:tc>
          <w:tcPr>
            <w:tcW w:w="562" w:type="dxa"/>
            <w:vAlign w:val="center"/>
          </w:tcPr>
          <w:p w14:paraId="70E3A06F">
            <w:pPr>
              <w:spacing w:line="560" w:lineRule="exact"/>
              <w:jc w:val="right"/>
              <w:rPr>
                <w:rFonts w:ascii="宋体" w:hAnsi="宋体" w:eastAsia="宋体" w:cs="Times New Roman"/>
                <w:b/>
                <w:bCs/>
              </w:rPr>
            </w:pPr>
            <w:r>
              <w:rPr>
                <w:rFonts w:hint="eastAsia" w:ascii="宋体" w:hAnsi="宋体" w:eastAsia="宋体" w:cs="Times New Roman"/>
                <w:b/>
                <w:bCs/>
              </w:rPr>
              <w:t>2.5</w:t>
            </w:r>
          </w:p>
        </w:tc>
        <w:tc>
          <w:tcPr>
            <w:tcW w:w="511" w:type="dxa"/>
            <w:vAlign w:val="center"/>
          </w:tcPr>
          <w:p w14:paraId="62D9F326">
            <w:pPr>
              <w:spacing w:line="560" w:lineRule="exact"/>
              <w:jc w:val="right"/>
              <w:rPr>
                <w:rFonts w:ascii="宋体" w:hAnsi="宋体" w:eastAsia="宋体" w:cs="Times New Roman"/>
                <w:b/>
                <w:bCs/>
              </w:rPr>
            </w:pPr>
          </w:p>
        </w:tc>
        <w:tc>
          <w:tcPr>
            <w:tcW w:w="551" w:type="dxa"/>
            <w:vAlign w:val="center"/>
          </w:tcPr>
          <w:p w14:paraId="1418F087">
            <w:pPr>
              <w:spacing w:line="560" w:lineRule="exact"/>
              <w:jc w:val="right"/>
              <w:rPr>
                <w:rFonts w:ascii="宋体" w:hAnsi="宋体" w:eastAsia="宋体" w:cs="Times New Roman"/>
                <w:b/>
                <w:bCs/>
              </w:rPr>
            </w:pPr>
          </w:p>
        </w:tc>
        <w:tc>
          <w:tcPr>
            <w:tcW w:w="551" w:type="dxa"/>
            <w:vAlign w:val="center"/>
          </w:tcPr>
          <w:p w14:paraId="2765B5B4">
            <w:pPr>
              <w:spacing w:line="560" w:lineRule="exact"/>
              <w:jc w:val="right"/>
              <w:rPr>
                <w:rFonts w:ascii="宋体" w:hAnsi="宋体" w:eastAsia="宋体" w:cs="Times New Roman"/>
                <w:b/>
                <w:bCs/>
              </w:rPr>
            </w:pPr>
          </w:p>
        </w:tc>
        <w:tc>
          <w:tcPr>
            <w:tcW w:w="516" w:type="dxa"/>
            <w:vAlign w:val="center"/>
          </w:tcPr>
          <w:p w14:paraId="5E66B32C">
            <w:pPr>
              <w:spacing w:line="560" w:lineRule="exact"/>
              <w:jc w:val="right"/>
              <w:rPr>
                <w:rFonts w:ascii="宋体" w:hAnsi="宋体" w:eastAsia="宋体" w:cs="Times New Roman"/>
                <w:b/>
                <w:bCs/>
              </w:rPr>
            </w:pPr>
          </w:p>
        </w:tc>
      </w:tr>
      <w:tr w14:paraId="43944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494" w:type="dxa"/>
            <w:vAlign w:val="center"/>
          </w:tcPr>
          <w:p w14:paraId="48EFA769">
            <w:pPr>
              <w:spacing w:line="560" w:lineRule="exact"/>
              <w:jc w:val="left"/>
              <w:rPr>
                <w:rFonts w:ascii="宋体" w:hAnsi="宋体" w:eastAsia="宋体" w:cs="Times New Roman"/>
              </w:rPr>
            </w:pPr>
          </w:p>
        </w:tc>
        <w:tc>
          <w:tcPr>
            <w:tcW w:w="667" w:type="dxa"/>
            <w:vAlign w:val="center"/>
          </w:tcPr>
          <w:p w14:paraId="57B31D32">
            <w:pPr>
              <w:spacing w:line="560" w:lineRule="exact"/>
              <w:jc w:val="right"/>
              <w:rPr>
                <w:rFonts w:ascii="宋体" w:hAnsi="宋体" w:eastAsia="宋体" w:cs="Times New Roman"/>
              </w:rPr>
            </w:pPr>
          </w:p>
        </w:tc>
        <w:tc>
          <w:tcPr>
            <w:tcW w:w="641" w:type="dxa"/>
            <w:vAlign w:val="center"/>
          </w:tcPr>
          <w:p w14:paraId="24E4B93C">
            <w:pPr>
              <w:spacing w:line="560" w:lineRule="exact"/>
              <w:jc w:val="left"/>
              <w:rPr>
                <w:rFonts w:ascii="宋体" w:hAnsi="宋体" w:eastAsia="宋体" w:cs="Times New Roman"/>
              </w:rPr>
            </w:pPr>
          </w:p>
        </w:tc>
        <w:tc>
          <w:tcPr>
            <w:tcW w:w="781" w:type="dxa"/>
            <w:vAlign w:val="center"/>
          </w:tcPr>
          <w:p w14:paraId="0D5252FE">
            <w:pPr>
              <w:spacing w:line="560" w:lineRule="exact"/>
              <w:jc w:val="left"/>
              <w:rPr>
                <w:rFonts w:ascii="宋体" w:hAnsi="宋体" w:eastAsia="宋体" w:cs="Times New Roman"/>
              </w:rPr>
            </w:pPr>
          </w:p>
        </w:tc>
        <w:tc>
          <w:tcPr>
            <w:tcW w:w="549" w:type="dxa"/>
            <w:vAlign w:val="center"/>
          </w:tcPr>
          <w:p w14:paraId="11D850BD">
            <w:pPr>
              <w:spacing w:line="560" w:lineRule="exact"/>
              <w:jc w:val="left"/>
              <w:rPr>
                <w:rFonts w:ascii="宋体" w:hAnsi="宋体" w:eastAsia="宋体" w:cs="Times New Roman"/>
              </w:rPr>
            </w:pPr>
          </w:p>
        </w:tc>
        <w:tc>
          <w:tcPr>
            <w:tcW w:w="549" w:type="dxa"/>
            <w:vAlign w:val="center"/>
          </w:tcPr>
          <w:p w14:paraId="032E3D52">
            <w:pPr>
              <w:spacing w:line="560" w:lineRule="exact"/>
              <w:jc w:val="right"/>
              <w:rPr>
                <w:rFonts w:ascii="宋体" w:hAnsi="宋体" w:eastAsia="宋体" w:cs="Times New Roman"/>
              </w:rPr>
            </w:pPr>
          </w:p>
        </w:tc>
        <w:tc>
          <w:tcPr>
            <w:tcW w:w="564" w:type="dxa"/>
            <w:vAlign w:val="center"/>
          </w:tcPr>
          <w:p w14:paraId="78DB90ED">
            <w:pPr>
              <w:spacing w:line="560" w:lineRule="exact"/>
              <w:jc w:val="right"/>
              <w:rPr>
                <w:rFonts w:ascii="宋体" w:hAnsi="宋体" w:eastAsia="宋体" w:cs="Times New Roman"/>
              </w:rPr>
            </w:pPr>
          </w:p>
        </w:tc>
        <w:tc>
          <w:tcPr>
            <w:tcW w:w="562" w:type="dxa"/>
            <w:vAlign w:val="center"/>
          </w:tcPr>
          <w:p w14:paraId="1662A8E4">
            <w:pPr>
              <w:spacing w:line="560" w:lineRule="exact"/>
              <w:jc w:val="right"/>
              <w:rPr>
                <w:rFonts w:ascii="宋体" w:hAnsi="宋体" w:eastAsia="宋体" w:cs="Times New Roman"/>
              </w:rPr>
            </w:pPr>
          </w:p>
        </w:tc>
        <w:tc>
          <w:tcPr>
            <w:tcW w:w="562" w:type="dxa"/>
            <w:vAlign w:val="center"/>
          </w:tcPr>
          <w:p w14:paraId="7E38A922">
            <w:pPr>
              <w:spacing w:line="560" w:lineRule="exact"/>
              <w:jc w:val="right"/>
              <w:rPr>
                <w:rFonts w:ascii="宋体" w:hAnsi="宋体" w:eastAsia="宋体" w:cs="Times New Roman"/>
              </w:rPr>
            </w:pPr>
          </w:p>
        </w:tc>
        <w:tc>
          <w:tcPr>
            <w:tcW w:w="562" w:type="dxa"/>
            <w:vAlign w:val="center"/>
          </w:tcPr>
          <w:p w14:paraId="091D2434">
            <w:pPr>
              <w:spacing w:line="560" w:lineRule="exact"/>
              <w:jc w:val="right"/>
              <w:rPr>
                <w:rFonts w:ascii="宋体" w:hAnsi="宋体" w:eastAsia="宋体" w:cs="Times New Roman"/>
              </w:rPr>
            </w:pPr>
          </w:p>
        </w:tc>
        <w:tc>
          <w:tcPr>
            <w:tcW w:w="511" w:type="dxa"/>
            <w:vAlign w:val="center"/>
          </w:tcPr>
          <w:p w14:paraId="0AB501DB">
            <w:pPr>
              <w:spacing w:line="560" w:lineRule="exact"/>
              <w:jc w:val="right"/>
              <w:rPr>
                <w:rFonts w:ascii="宋体" w:hAnsi="宋体" w:eastAsia="宋体" w:cs="Times New Roman"/>
              </w:rPr>
            </w:pPr>
          </w:p>
        </w:tc>
        <w:tc>
          <w:tcPr>
            <w:tcW w:w="551" w:type="dxa"/>
            <w:vAlign w:val="center"/>
          </w:tcPr>
          <w:p w14:paraId="21BF4648">
            <w:pPr>
              <w:spacing w:line="560" w:lineRule="exact"/>
              <w:jc w:val="right"/>
              <w:rPr>
                <w:rFonts w:ascii="宋体" w:hAnsi="宋体" w:eastAsia="宋体" w:cs="Times New Roman"/>
              </w:rPr>
            </w:pPr>
          </w:p>
        </w:tc>
        <w:tc>
          <w:tcPr>
            <w:tcW w:w="551" w:type="dxa"/>
            <w:vAlign w:val="center"/>
          </w:tcPr>
          <w:p w14:paraId="1581AC0B">
            <w:pPr>
              <w:spacing w:line="560" w:lineRule="exact"/>
              <w:jc w:val="right"/>
              <w:rPr>
                <w:rFonts w:ascii="宋体" w:hAnsi="宋体" w:eastAsia="宋体" w:cs="Times New Roman"/>
              </w:rPr>
            </w:pPr>
          </w:p>
        </w:tc>
        <w:tc>
          <w:tcPr>
            <w:tcW w:w="516" w:type="dxa"/>
            <w:vAlign w:val="center"/>
          </w:tcPr>
          <w:p w14:paraId="083C061A">
            <w:pPr>
              <w:spacing w:line="560" w:lineRule="exact"/>
              <w:jc w:val="right"/>
              <w:rPr>
                <w:rFonts w:ascii="宋体" w:hAnsi="宋体" w:eastAsia="宋体" w:cs="Times New Roman"/>
              </w:rPr>
            </w:pPr>
          </w:p>
        </w:tc>
      </w:tr>
      <w:tr w14:paraId="5E665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494" w:type="dxa"/>
            <w:vAlign w:val="center"/>
          </w:tcPr>
          <w:p w14:paraId="3D8C6E03">
            <w:pPr>
              <w:spacing w:line="560" w:lineRule="exact"/>
              <w:jc w:val="left"/>
              <w:rPr>
                <w:rFonts w:ascii="宋体" w:hAnsi="宋体" w:eastAsia="宋体" w:cs="Times New Roman"/>
              </w:rPr>
            </w:pPr>
          </w:p>
        </w:tc>
        <w:tc>
          <w:tcPr>
            <w:tcW w:w="667" w:type="dxa"/>
            <w:vAlign w:val="center"/>
          </w:tcPr>
          <w:p w14:paraId="075D61AA">
            <w:pPr>
              <w:spacing w:line="560" w:lineRule="exact"/>
              <w:jc w:val="right"/>
              <w:rPr>
                <w:rFonts w:ascii="宋体" w:hAnsi="宋体" w:eastAsia="宋体" w:cs="Times New Roman"/>
              </w:rPr>
            </w:pPr>
          </w:p>
        </w:tc>
        <w:tc>
          <w:tcPr>
            <w:tcW w:w="641" w:type="dxa"/>
            <w:vAlign w:val="center"/>
          </w:tcPr>
          <w:p w14:paraId="60B057D1">
            <w:pPr>
              <w:spacing w:line="560" w:lineRule="exact"/>
              <w:jc w:val="left"/>
              <w:rPr>
                <w:rFonts w:ascii="宋体" w:hAnsi="宋体" w:eastAsia="宋体" w:cs="Times New Roman"/>
              </w:rPr>
            </w:pPr>
          </w:p>
        </w:tc>
        <w:tc>
          <w:tcPr>
            <w:tcW w:w="781" w:type="dxa"/>
            <w:vAlign w:val="center"/>
          </w:tcPr>
          <w:p w14:paraId="6341124C">
            <w:pPr>
              <w:spacing w:line="560" w:lineRule="exact"/>
              <w:jc w:val="left"/>
              <w:rPr>
                <w:rFonts w:ascii="宋体" w:hAnsi="宋体" w:eastAsia="宋体" w:cs="Times New Roman"/>
              </w:rPr>
            </w:pPr>
          </w:p>
        </w:tc>
        <w:tc>
          <w:tcPr>
            <w:tcW w:w="549" w:type="dxa"/>
            <w:vAlign w:val="center"/>
          </w:tcPr>
          <w:p w14:paraId="4681B39E">
            <w:pPr>
              <w:spacing w:line="560" w:lineRule="exact"/>
              <w:jc w:val="left"/>
              <w:rPr>
                <w:rFonts w:ascii="宋体" w:hAnsi="宋体" w:eastAsia="宋体" w:cs="Times New Roman"/>
              </w:rPr>
            </w:pPr>
          </w:p>
        </w:tc>
        <w:tc>
          <w:tcPr>
            <w:tcW w:w="549" w:type="dxa"/>
            <w:vAlign w:val="center"/>
          </w:tcPr>
          <w:p w14:paraId="1EDE982B">
            <w:pPr>
              <w:spacing w:line="560" w:lineRule="exact"/>
              <w:jc w:val="right"/>
              <w:rPr>
                <w:rFonts w:ascii="宋体" w:hAnsi="宋体" w:eastAsia="宋体" w:cs="Times New Roman"/>
              </w:rPr>
            </w:pPr>
          </w:p>
        </w:tc>
        <w:tc>
          <w:tcPr>
            <w:tcW w:w="564" w:type="dxa"/>
            <w:vAlign w:val="center"/>
          </w:tcPr>
          <w:p w14:paraId="77708E3B">
            <w:pPr>
              <w:spacing w:line="560" w:lineRule="exact"/>
              <w:jc w:val="right"/>
              <w:rPr>
                <w:rFonts w:ascii="宋体" w:hAnsi="宋体" w:eastAsia="宋体" w:cs="Times New Roman"/>
              </w:rPr>
            </w:pPr>
          </w:p>
        </w:tc>
        <w:tc>
          <w:tcPr>
            <w:tcW w:w="562" w:type="dxa"/>
            <w:vAlign w:val="center"/>
          </w:tcPr>
          <w:p w14:paraId="1F771E65">
            <w:pPr>
              <w:spacing w:line="560" w:lineRule="exact"/>
              <w:jc w:val="right"/>
              <w:rPr>
                <w:rFonts w:ascii="宋体" w:hAnsi="宋体" w:eastAsia="宋体" w:cs="Times New Roman"/>
              </w:rPr>
            </w:pPr>
          </w:p>
        </w:tc>
        <w:tc>
          <w:tcPr>
            <w:tcW w:w="562" w:type="dxa"/>
            <w:vAlign w:val="center"/>
          </w:tcPr>
          <w:p w14:paraId="072E4610">
            <w:pPr>
              <w:spacing w:line="560" w:lineRule="exact"/>
              <w:jc w:val="right"/>
              <w:rPr>
                <w:rFonts w:ascii="宋体" w:hAnsi="宋体" w:eastAsia="宋体" w:cs="Times New Roman"/>
              </w:rPr>
            </w:pPr>
          </w:p>
        </w:tc>
        <w:tc>
          <w:tcPr>
            <w:tcW w:w="562" w:type="dxa"/>
            <w:vAlign w:val="center"/>
          </w:tcPr>
          <w:p w14:paraId="75AA96B1">
            <w:pPr>
              <w:spacing w:line="560" w:lineRule="exact"/>
              <w:jc w:val="right"/>
              <w:rPr>
                <w:rFonts w:ascii="宋体" w:hAnsi="宋体" w:eastAsia="宋体" w:cs="Times New Roman"/>
              </w:rPr>
            </w:pPr>
          </w:p>
        </w:tc>
        <w:tc>
          <w:tcPr>
            <w:tcW w:w="511" w:type="dxa"/>
            <w:vAlign w:val="center"/>
          </w:tcPr>
          <w:p w14:paraId="1DD2DDC9">
            <w:pPr>
              <w:spacing w:line="560" w:lineRule="exact"/>
              <w:jc w:val="right"/>
              <w:rPr>
                <w:rFonts w:ascii="宋体" w:hAnsi="宋体" w:eastAsia="宋体" w:cs="Times New Roman"/>
              </w:rPr>
            </w:pPr>
          </w:p>
        </w:tc>
        <w:tc>
          <w:tcPr>
            <w:tcW w:w="551" w:type="dxa"/>
            <w:vAlign w:val="center"/>
          </w:tcPr>
          <w:p w14:paraId="5DDA3960">
            <w:pPr>
              <w:spacing w:line="560" w:lineRule="exact"/>
              <w:jc w:val="right"/>
              <w:rPr>
                <w:rFonts w:ascii="宋体" w:hAnsi="宋体" w:eastAsia="宋体" w:cs="Times New Roman"/>
              </w:rPr>
            </w:pPr>
          </w:p>
        </w:tc>
        <w:tc>
          <w:tcPr>
            <w:tcW w:w="551" w:type="dxa"/>
            <w:vAlign w:val="center"/>
          </w:tcPr>
          <w:p w14:paraId="1D51E436">
            <w:pPr>
              <w:spacing w:line="560" w:lineRule="exact"/>
              <w:jc w:val="right"/>
              <w:rPr>
                <w:rFonts w:ascii="宋体" w:hAnsi="宋体" w:eastAsia="宋体" w:cs="Times New Roman"/>
              </w:rPr>
            </w:pPr>
          </w:p>
        </w:tc>
        <w:tc>
          <w:tcPr>
            <w:tcW w:w="516" w:type="dxa"/>
            <w:vAlign w:val="center"/>
          </w:tcPr>
          <w:p w14:paraId="5FC8B3D6">
            <w:pPr>
              <w:spacing w:line="560" w:lineRule="exact"/>
              <w:jc w:val="right"/>
              <w:rPr>
                <w:rFonts w:ascii="宋体" w:hAnsi="宋体" w:eastAsia="宋体" w:cs="Times New Roman"/>
              </w:rPr>
            </w:pPr>
          </w:p>
        </w:tc>
      </w:tr>
    </w:tbl>
    <w:p w14:paraId="25808DF9">
      <w:pPr>
        <w:autoSpaceDE w:val="0"/>
        <w:autoSpaceDN w:val="0"/>
        <w:adjustRightInd w:val="0"/>
        <w:spacing w:line="560" w:lineRule="exact"/>
        <w:ind w:left="198" w:firstLine="640" w:firstLineChars="200"/>
        <w:jc w:val="left"/>
        <w:rPr>
          <w:rFonts w:ascii="宋体" w:hAnsi="宋体" w:eastAsia="宋体" w:cs="Times New Roman"/>
          <w:sz w:val="32"/>
          <w:szCs w:val="32"/>
        </w:rPr>
      </w:pPr>
    </w:p>
    <w:p w14:paraId="071F9FD0">
      <w:pPr>
        <w:autoSpaceDE w:val="0"/>
        <w:autoSpaceDN w:val="0"/>
        <w:adjustRightInd w:val="0"/>
        <w:spacing w:line="560" w:lineRule="exact"/>
        <w:ind w:left="198" w:firstLine="640" w:firstLineChars="200"/>
        <w:jc w:val="left"/>
        <w:rPr>
          <w:rFonts w:ascii="黑体" w:hAnsi="黑体" w:eastAsia="黑体" w:cs="黑体"/>
          <w:sz w:val="32"/>
          <w:szCs w:val="32"/>
        </w:rPr>
      </w:pPr>
    </w:p>
    <w:p w14:paraId="64D895B1">
      <w:pPr>
        <w:autoSpaceDE w:val="0"/>
        <w:autoSpaceDN w:val="0"/>
        <w:adjustRightInd w:val="0"/>
        <w:spacing w:line="560" w:lineRule="exact"/>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七、国有资产信息</w:t>
      </w:r>
    </w:p>
    <w:p w14:paraId="2E184B5A">
      <w:pPr>
        <w:widowControl/>
        <w:spacing w:line="360" w:lineRule="auto"/>
        <w:ind w:left="412" w:leftChars="196" w:firstLine="640"/>
        <w:jc w:val="left"/>
        <w:rPr>
          <w:rFonts w:ascii="仿宋_GB2312" w:hAnsi="Calibri" w:eastAsia="仿宋_GB2312" w:cs="仿宋_GB2312"/>
          <w:kern w:val="0"/>
          <w:sz w:val="32"/>
          <w:szCs w:val="32"/>
          <w:lang w:bidi="ar"/>
        </w:rPr>
      </w:pPr>
      <w:r>
        <w:rPr>
          <w:rFonts w:ascii="仿宋_GB2312" w:hAnsi="宋体" w:eastAsia="仿宋_GB2312" w:cs="宋体"/>
          <w:color w:val="333333"/>
          <w:kern w:val="0"/>
          <w:sz w:val="32"/>
          <w:szCs w:val="32"/>
          <w:lang w:bidi="ar"/>
        </w:rPr>
        <w:t>截止上年</w:t>
      </w:r>
      <w:r>
        <w:rPr>
          <w:rFonts w:ascii="仿宋_GB2312" w:hAnsi="Calibri" w:eastAsia="仿宋_GB2312" w:cs="仿宋_GB2312"/>
          <w:kern w:val="0"/>
          <w:sz w:val="32"/>
          <w:szCs w:val="32"/>
          <w:lang w:bidi="ar"/>
        </w:rPr>
        <w:t>末固定资产</w:t>
      </w:r>
      <w:r>
        <w:rPr>
          <w:rFonts w:hint="eastAsia" w:ascii="仿宋_GB2312" w:hAnsi="Calibri" w:eastAsia="仿宋_GB2312" w:cs="仿宋_GB2312"/>
          <w:kern w:val="0"/>
          <w:sz w:val="32"/>
          <w:szCs w:val="32"/>
          <w:lang w:eastAsia="zh-CN" w:bidi="ar"/>
        </w:rPr>
        <w:t>账</w:t>
      </w:r>
      <w:r>
        <w:rPr>
          <w:rFonts w:ascii="仿宋_GB2312" w:hAnsi="Calibri" w:eastAsia="仿宋_GB2312" w:cs="仿宋_GB2312"/>
          <w:kern w:val="0"/>
          <w:sz w:val="32"/>
          <w:szCs w:val="32"/>
          <w:lang w:bidi="ar"/>
        </w:rPr>
        <w:t>面结余</w:t>
      </w:r>
      <w:r>
        <w:rPr>
          <w:rFonts w:hint="eastAsia" w:ascii="仿宋_GB2312" w:hAnsi="Calibri" w:eastAsia="仿宋_GB2312" w:cs="仿宋_GB2312"/>
          <w:kern w:val="0"/>
          <w:sz w:val="32"/>
          <w:szCs w:val="32"/>
          <w:lang w:bidi="ar"/>
        </w:rPr>
        <w:t>282</w:t>
      </w:r>
      <w:r>
        <w:rPr>
          <w:rFonts w:ascii="仿宋_GB2312" w:hAnsi="Calibri" w:eastAsia="仿宋_GB2312" w:cs="仿宋_GB2312"/>
          <w:kern w:val="0"/>
          <w:sz w:val="32"/>
          <w:szCs w:val="32"/>
          <w:lang w:bidi="ar"/>
        </w:rPr>
        <w:t>万元。</w:t>
      </w:r>
      <w:r>
        <w:rPr>
          <w:rFonts w:hint="eastAsia" w:ascii="仿宋_GB2312" w:hAnsi="Calibri" w:eastAsia="仿宋_GB2312" w:cs="仿宋_GB2312"/>
          <w:kern w:val="0"/>
          <w:sz w:val="32"/>
          <w:szCs w:val="32"/>
          <w:lang w:bidi="ar"/>
        </w:rPr>
        <w:t>其中：房屋价值198万元，车辆价值15万元，其它资产办公用电脑、办公家具、专用设备等价值69万元。2017年我单位拟购置2.5万元。</w:t>
      </w:r>
    </w:p>
    <w:tbl>
      <w:tblPr>
        <w:tblStyle w:val="4"/>
        <w:tblW w:w="9060" w:type="dxa"/>
        <w:tblInd w:w="-106" w:type="dxa"/>
        <w:tblLayout w:type="fixed"/>
        <w:tblCellMar>
          <w:top w:w="0" w:type="dxa"/>
          <w:left w:w="108" w:type="dxa"/>
          <w:bottom w:w="0" w:type="dxa"/>
          <w:right w:w="108" w:type="dxa"/>
        </w:tblCellMar>
      </w:tblPr>
      <w:tblGrid>
        <w:gridCol w:w="4139"/>
        <w:gridCol w:w="855"/>
        <w:gridCol w:w="4066"/>
      </w:tblGrid>
      <w:tr w14:paraId="70E33500">
        <w:tblPrEx>
          <w:tblCellMar>
            <w:top w:w="0" w:type="dxa"/>
            <w:left w:w="108" w:type="dxa"/>
            <w:bottom w:w="0" w:type="dxa"/>
            <w:right w:w="108" w:type="dxa"/>
          </w:tblCellMar>
        </w:tblPrEx>
        <w:trPr>
          <w:trHeight w:val="705" w:hRule="atLeast"/>
        </w:trPr>
        <w:tc>
          <w:tcPr>
            <w:tcW w:w="9060" w:type="dxa"/>
            <w:gridSpan w:val="3"/>
            <w:tcBorders>
              <w:top w:val="nil"/>
              <w:left w:val="nil"/>
              <w:bottom w:val="nil"/>
              <w:right w:val="nil"/>
            </w:tcBorders>
            <w:vAlign w:val="center"/>
          </w:tcPr>
          <w:p w14:paraId="7E78E597">
            <w:pPr>
              <w:widowControl/>
              <w:rPr>
                <w:rFonts w:ascii="宋体" w:hAnsi="宋体" w:eastAsia="宋体" w:cs="Times New Roman"/>
                <w:b/>
                <w:bCs/>
                <w:kern w:val="0"/>
                <w:sz w:val="32"/>
                <w:szCs w:val="32"/>
              </w:rPr>
            </w:pPr>
          </w:p>
          <w:p w14:paraId="2C579500">
            <w:pPr>
              <w:widowControl/>
              <w:jc w:val="center"/>
              <w:rPr>
                <w:rFonts w:ascii="宋体" w:hAnsi="宋体" w:eastAsia="宋体" w:cs="Times New Roman"/>
                <w:b/>
                <w:bCs/>
                <w:kern w:val="0"/>
                <w:sz w:val="32"/>
                <w:szCs w:val="32"/>
              </w:rPr>
            </w:pPr>
            <w:r>
              <w:rPr>
                <w:rFonts w:hint="eastAsia" w:ascii="宋体" w:hAnsi="宋体" w:eastAsia="宋体" w:cs="宋体"/>
                <w:b/>
                <w:bCs/>
                <w:kern w:val="0"/>
                <w:sz w:val="32"/>
                <w:szCs w:val="32"/>
              </w:rPr>
              <w:t>部门固定资产占用情况表</w:t>
            </w:r>
          </w:p>
        </w:tc>
      </w:tr>
      <w:tr w14:paraId="44E9CF45">
        <w:tblPrEx>
          <w:tblCellMar>
            <w:top w:w="0" w:type="dxa"/>
            <w:left w:w="108" w:type="dxa"/>
            <w:bottom w:w="0" w:type="dxa"/>
            <w:right w:w="108" w:type="dxa"/>
          </w:tblCellMar>
        </w:tblPrEx>
        <w:trPr>
          <w:trHeight w:val="510" w:hRule="atLeast"/>
        </w:trPr>
        <w:tc>
          <w:tcPr>
            <w:tcW w:w="4994" w:type="dxa"/>
            <w:gridSpan w:val="2"/>
            <w:tcBorders>
              <w:top w:val="nil"/>
              <w:left w:val="nil"/>
              <w:bottom w:val="nil"/>
              <w:right w:val="nil"/>
            </w:tcBorders>
            <w:vAlign w:val="center"/>
          </w:tcPr>
          <w:p w14:paraId="0E4C9422">
            <w:pPr>
              <w:widowControl/>
              <w:jc w:val="left"/>
              <w:rPr>
                <w:rFonts w:ascii="宋体" w:hAnsi="宋体" w:eastAsia="宋体" w:cs="Times New Roman"/>
                <w:kern w:val="0"/>
                <w:sz w:val="22"/>
              </w:rPr>
            </w:pPr>
            <w:r>
              <w:rPr>
                <w:rFonts w:hint="eastAsia" w:ascii="宋体" w:hAnsi="宋体" w:eastAsia="宋体" w:cs="宋体"/>
                <w:kern w:val="0"/>
                <w:sz w:val="22"/>
                <w:szCs w:val="22"/>
              </w:rPr>
              <w:t>编制部门：财政局</w:t>
            </w:r>
          </w:p>
        </w:tc>
        <w:tc>
          <w:tcPr>
            <w:tcW w:w="4066" w:type="dxa"/>
            <w:tcBorders>
              <w:top w:val="nil"/>
              <w:left w:val="nil"/>
              <w:bottom w:val="nil"/>
              <w:right w:val="nil"/>
            </w:tcBorders>
            <w:vAlign w:val="center"/>
          </w:tcPr>
          <w:p w14:paraId="4FF3B23A">
            <w:pPr>
              <w:widowControl/>
              <w:ind w:firstLine="550" w:firstLineChars="250"/>
              <w:jc w:val="left"/>
              <w:rPr>
                <w:rFonts w:ascii="宋体" w:hAnsi="宋体" w:eastAsia="宋体" w:cs="宋体"/>
                <w:kern w:val="0"/>
                <w:sz w:val="22"/>
              </w:rPr>
            </w:pPr>
            <w:r>
              <w:rPr>
                <w:rFonts w:hint="eastAsia" w:ascii="宋体" w:hAnsi="宋体" w:eastAsia="宋体" w:cs="宋体"/>
                <w:kern w:val="0"/>
                <w:sz w:val="22"/>
                <w:szCs w:val="22"/>
              </w:rPr>
              <w:t>截止时间：</w:t>
            </w:r>
            <w:r>
              <w:rPr>
                <w:rFonts w:ascii="宋体" w:hAnsi="宋体" w:eastAsia="宋体" w:cs="宋体"/>
                <w:kern w:val="0"/>
                <w:sz w:val="22"/>
                <w:szCs w:val="22"/>
              </w:rPr>
              <w:t>2016</w:t>
            </w:r>
            <w:r>
              <w:rPr>
                <w:rFonts w:hint="eastAsia" w:ascii="宋体" w:hAnsi="宋体" w:eastAsia="宋体" w:cs="宋体"/>
                <w:kern w:val="0"/>
                <w:sz w:val="22"/>
                <w:szCs w:val="22"/>
              </w:rPr>
              <w:t>年</w:t>
            </w:r>
            <w:r>
              <w:rPr>
                <w:rFonts w:ascii="宋体" w:hAnsi="宋体" w:eastAsia="宋体" w:cs="宋体"/>
                <w:kern w:val="0"/>
                <w:sz w:val="22"/>
                <w:szCs w:val="22"/>
              </w:rPr>
              <w:t>12</w:t>
            </w:r>
            <w:r>
              <w:rPr>
                <w:rFonts w:hint="eastAsia" w:ascii="宋体" w:hAnsi="宋体" w:eastAsia="宋体" w:cs="宋体"/>
                <w:kern w:val="0"/>
                <w:sz w:val="22"/>
                <w:szCs w:val="22"/>
              </w:rPr>
              <w:t>月</w:t>
            </w:r>
            <w:r>
              <w:rPr>
                <w:rFonts w:ascii="宋体" w:hAnsi="宋体" w:eastAsia="宋体" w:cs="宋体"/>
                <w:kern w:val="0"/>
                <w:sz w:val="22"/>
                <w:szCs w:val="22"/>
              </w:rPr>
              <w:t>31</w:t>
            </w:r>
            <w:r>
              <w:rPr>
                <w:rFonts w:hint="eastAsia" w:ascii="宋体" w:hAnsi="宋体" w:eastAsia="宋体" w:cs="宋体"/>
                <w:kern w:val="0"/>
                <w:sz w:val="22"/>
                <w:szCs w:val="22"/>
              </w:rPr>
              <w:t>日</w:t>
            </w:r>
            <w:r>
              <w:rPr>
                <w:rFonts w:ascii="宋体" w:hAnsi="宋体" w:eastAsia="宋体" w:cs="宋体"/>
                <w:kern w:val="0"/>
                <w:sz w:val="22"/>
                <w:szCs w:val="22"/>
              </w:rPr>
              <w:t xml:space="preserve">  </w:t>
            </w:r>
          </w:p>
        </w:tc>
      </w:tr>
      <w:tr w14:paraId="508E9C15">
        <w:tblPrEx>
          <w:tblCellMar>
            <w:top w:w="0" w:type="dxa"/>
            <w:left w:w="108" w:type="dxa"/>
            <w:bottom w:w="0" w:type="dxa"/>
            <w:right w:w="108" w:type="dxa"/>
          </w:tblCellMar>
        </w:tblPrEx>
        <w:trPr>
          <w:trHeight w:val="645" w:hRule="atLeast"/>
        </w:trPr>
        <w:tc>
          <w:tcPr>
            <w:tcW w:w="4139" w:type="dxa"/>
            <w:tcBorders>
              <w:top w:val="single" w:color="auto" w:sz="4" w:space="0"/>
              <w:left w:val="single" w:color="auto" w:sz="4" w:space="0"/>
              <w:bottom w:val="single" w:color="auto" w:sz="4" w:space="0"/>
              <w:right w:val="single" w:color="auto" w:sz="4" w:space="0"/>
            </w:tcBorders>
            <w:vAlign w:val="center"/>
          </w:tcPr>
          <w:p w14:paraId="5BD8E7A1">
            <w:pPr>
              <w:widowControl/>
              <w:jc w:val="center"/>
              <w:rPr>
                <w:rFonts w:ascii="宋体" w:hAnsi="宋体" w:eastAsia="宋体" w:cs="Times New Roman"/>
                <w:b/>
                <w:bCs/>
                <w:kern w:val="0"/>
                <w:sz w:val="22"/>
              </w:rPr>
            </w:pPr>
            <w:r>
              <w:rPr>
                <w:rFonts w:hint="eastAsia" w:ascii="宋体" w:hAnsi="宋体" w:eastAsia="宋体" w:cs="宋体"/>
                <w:b/>
                <w:bCs/>
                <w:kern w:val="0"/>
                <w:sz w:val="22"/>
                <w:szCs w:val="22"/>
              </w:rPr>
              <w:t>项</w:t>
            </w:r>
            <w:r>
              <w:rPr>
                <w:rFonts w:ascii="宋体" w:hAnsi="宋体" w:eastAsia="宋体" w:cs="宋体"/>
                <w:b/>
                <w:bCs/>
                <w:kern w:val="0"/>
                <w:sz w:val="22"/>
                <w:szCs w:val="22"/>
              </w:rPr>
              <w:t xml:space="preserve">   </w:t>
            </w:r>
            <w:r>
              <w:rPr>
                <w:rFonts w:hint="eastAsia" w:ascii="宋体" w:hAnsi="宋体" w:eastAsia="宋体" w:cs="宋体"/>
                <w:b/>
                <w:bCs/>
                <w:kern w:val="0"/>
                <w:sz w:val="22"/>
                <w:szCs w:val="22"/>
              </w:rPr>
              <w:t>目</w:t>
            </w:r>
          </w:p>
        </w:tc>
        <w:tc>
          <w:tcPr>
            <w:tcW w:w="855" w:type="dxa"/>
            <w:tcBorders>
              <w:top w:val="single" w:color="auto" w:sz="4" w:space="0"/>
              <w:left w:val="nil"/>
              <w:bottom w:val="single" w:color="auto" w:sz="4" w:space="0"/>
              <w:right w:val="single" w:color="auto" w:sz="4" w:space="0"/>
            </w:tcBorders>
            <w:vAlign w:val="center"/>
          </w:tcPr>
          <w:p w14:paraId="303753C6">
            <w:pPr>
              <w:widowControl/>
              <w:jc w:val="center"/>
              <w:rPr>
                <w:rFonts w:ascii="宋体" w:hAnsi="宋体" w:eastAsia="宋体" w:cs="Times New Roman"/>
                <w:b/>
                <w:bCs/>
                <w:kern w:val="0"/>
                <w:sz w:val="22"/>
              </w:rPr>
            </w:pPr>
            <w:r>
              <w:rPr>
                <w:rFonts w:hint="eastAsia" w:ascii="宋体" w:hAnsi="宋体" w:eastAsia="宋体" w:cs="宋体"/>
                <w:b/>
                <w:bCs/>
                <w:kern w:val="0"/>
                <w:sz w:val="22"/>
                <w:szCs w:val="22"/>
              </w:rPr>
              <w:t>数量</w:t>
            </w:r>
          </w:p>
        </w:tc>
        <w:tc>
          <w:tcPr>
            <w:tcW w:w="4066" w:type="dxa"/>
            <w:tcBorders>
              <w:top w:val="single" w:color="auto" w:sz="4" w:space="0"/>
              <w:left w:val="nil"/>
              <w:bottom w:val="single" w:color="auto" w:sz="4" w:space="0"/>
              <w:right w:val="single" w:color="auto" w:sz="4" w:space="0"/>
            </w:tcBorders>
            <w:vAlign w:val="center"/>
          </w:tcPr>
          <w:p w14:paraId="62C82139">
            <w:pPr>
              <w:widowControl/>
              <w:jc w:val="center"/>
              <w:rPr>
                <w:rFonts w:ascii="宋体" w:hAnsi="宋体" w:eastAsia="宋体" w:cs="Times New Roman"/>
                <w:b/>
                <w:bCs/>
                <w:kern w:val="0"/>
                <w:sz w:val="22"/>
              </w:rPr>
            </w:pPr>
            <w:r>
              <w:rPr>
                <w:rFonts w:hint="eastAsia" w:ascii="宋体" w:hAnsi="宋体" w:eastAsia="宋体" w:cs="宋体"/>
                <w:b/>
                <w:bCs/>
                <w:kern w:val="0"/>
                <w:sz w:val="22"/>
                <w:szCs w:val="22"/>
              </w:rPr>
              <w:t>价值（金额单位：万元）</w:t>
            </w:r>
          </w:p>
        </w:tc>
      </w:tr>
      <w:tr w14:paraId="38AD16D4">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075F1827">
            <w:pPr>
              <w:widowControl/>
              <w:jc w:val="center"/>
              <w:rPr>
                <w:rFonts w:ascii="宋体" w:hAnsi="宋体" w:eastAsia="宋体" w:cs="Times New Roman"/>
                <w:kern w:val="0"/>
                <w:sz w:val="22"/>
              </w:rPr>
            </w:pPr>
            <w:r>
              <w:rPr>
                <w:rFonts w:hint="eastAsia" w:ascii="宋体" w:hAnsi="宋体" w:eastAsia="宋体" w:cs="宋体"/>
                <w:kern w:val="0"/>
                <w:sz w:val="22"/>
                <w:szCs w:val="22"/>
              </w:rPr>
              <w:t>资产总额</w:t>
            </w:r>
          </w:p>
        </w:tc>
        <w:tc>
          <w:tcPr>
            <w:tcW w:w="855" w:type="dxa"/>
            <w:tcBorders>
              <w:top w:val="nil"/>
              <w:left w:val="nil"/>
              <w:bottom w:val="single" w:color="auto" w:sz="4" w:space="0"/>
              <w:right w:val="single" w:color="auto" w:sz="4" w:space="0"/>
            </w:tcBorders>
            <w:vAlign w:val="center"/>
          </w:tcPr>
          <w:p w14:paraId="7609CADB">
            <w:pPr>
              <w:widowControl/>
              <w:jc w:val="center"/>
              <w:rPr>
                <w:rFonts w:ascii="宋体" w:hAnsi="宋体" w:eastAsia="宋体" w:cs="宋体"/>
                <w:kern w:val="0"/>
                <w:sz w:val="22"/>
              </w:rPr>
            </w:pPr>
            <w:r>
              <w:rPr>
                <w:rFonts w:ascii="宋体" w:hAnsi="宋体" w:eastAsia="宋体" w:cs="宋体"/>
                <w:kern w:val="0"/>
                <w:sz w:val="22"/>
                <w:szCs w:val="22"/>
              </w:rPr>
              <w:t>——</w:t>
            </w:r>
          </w:p>
        </w:tc>
        <w:tc>
          <w:tcPr>
            <w:tcW w:w="4066" w:type="dxa"/>
            <w:tcBorders>
              <w:top w:val="nil"/>
              <w:left w:val="nil"/>
              <w:bottom w:val="single" w:color="auto" w:sz="4" w:space="0"/>
              <w:right w:val="single" w:color="auto" w:sz="4" w:space="0"/>
            </w:tcBorders>
            <w:vAlign w:val="center"/>
          </w:tcPr>
          <w:p w14:paraId="41FB36CF">
            <w:pPr>
              <w:widowControl/>
              <w:jc w:val="center"/>
              <w:rPr>
                <w:rFonts w:ascii="宋体" w:hAnsi="宋体" w:eastAsia="宋体" w:cs="宋体"/>
                <w:kern w:val="0"/>
                <w:sz w:val="22"/>
              </w:rPr>
            </w:pPr>
            <w:r>
              <w:rPr>
                <w:rFonts w:hint="eastAsia" w:ascii="宋体" w:hAnsi="宋体" w:eastAsia="宋体" w:cs="宋体"/>
                <w:kern w:val="0"/>
                <w:sz w:val="22"/>
              </w:rPr>
              <w:t>282</w:t>
            </w:r>
          </w:p>
        </w:tc>
      </w:tr>
      <w:tr w14:paraId="0BF339E0">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38E70AE8">
            <w:pPr>
              <w:widowControl/>
              <w:jc w:val="left"/>
              <w:rPr>
                <w:rFonts w:ascii="宋体" w:hAnsi="宋体" w:eastAsia="宋体" w:cs="Times New Roman"/>
                <w:kern w:val="0"/>
                <w:sz w:val="22"/>
              </w:rPr>
            </w:pPr>
            <w:r>
              <w:rPr>
                <w:rFonts w:ascii="宋体" w:hAnsi="宋体" w:eastAsia="宋体" w:cs="宋体"/>
                <w:kern w:val="0"/>
                <w:sz w:val="22"/>
                <w:szCs w:val="22"/>
              </w:rPr>
              <w:t>1</w:t>
            </w:r>
            <w:r>
              <w:rPr>
                <w:rFonts w:hint="eastAsia" w:ascii="宋体" w:hAnsi="宋体" w:eastAsia="宋体" w:cs="宋体"/>
                <w:kern w:val="0"/>
                <w:sz w:val="22"/>
                <w:szCs w:val="22"/>
              </w:rPr>
              <w:t>、房屋（平方米）</w:t>
            </w:r>
          </w:p>
        </w:tc>
        <w:tc>
          <w:tcPr>
            <w:tcW w:w="855" w:type="dxa"/>
            <w:tcBorders>
              <w:top w:val="nil"/>
              <w:left w:val="nil"/>
              <w:bottom w:val="single" w:color="auto" w:sz="4" w:space="0"/>
              <w:right w:val="single" w:color="auto" w:sz="4" w:space="0"/>
            </w:tcBorders>
            <w:vAlign w:val="center"/>
          </w:tcPr>
          <w:p w14:paraId="35BEE4BC">
            <w:pPr>
              <w:widowControl/>
              <w:jc w:val="center"/>
              <w:rPr>
                <w:rFonts w:ascii="宋体" w:hAnsi="宋体" w:eastAsia="宋体" w:cs="Times New Roman"/>
                <w:kern w:val="0"/>
                <w:sz w:val="22"/>
              </w:rPr>
            </w:pPr>
          </w:p>
        </w:tc>
        <w:tc>
          <w:tcPr>
            <w:tcW w:w="4066" w:type="dxa"/>
            <w:tcBorders>
              <w:top w:val="nil"/>
              <w:left w:val="nil"/>
              <w:bottom w:val="single" w:color="auto" w:sz="4" w:space="0"/>
              <w:right w:val="single" w:color="auto" w:sz="4" w:space="0"/>
            </w:tcBorders>
            <w:vAlign w:val="center"/>
          </w:tcPr>
          <w:p w14:paraId="6400C174">
            <w:pPr>
              <w:widowControl/>
              <w:jc w:val="center"/>
              <w:rPr>
                <w:rFonts w:ascii="宋体" w:hAnsi="宋体" w:eastAsia="宋体" w:cs="Times New Roman"/>
                <w:kern w:val="0"/>
                <w:sz w:val="22"/>
              </w:rPr>
            </w:pPr>
            <w:r>
              <w:rPr>
                <w:rFonts w:hint="eastAsia" w:ascii="宋体" w:hAnsi="宋体" w:eastAsia="宋体" w:cs="Times New Roman"/>
                <w:kern w:val="0"/>
                <w:sz w:val="22"/>
              </w:rPr>
              <w:t>198</w:t>
            </w:r>
          </w:p>
        </w:tc>
      </w:tr>
      <w:tr w14:paraId="31F76E2E">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452308BC">
            <w:pPr>
              <w:widowControl/>
              <w:jc w:val="left"/>
              <w:rPr>
                <w:rFonts w:ascii="宋体" w:hAnsi="宋体" w:eastAsia="宋体" w:cs="Times New Roman"/>
                <w:kern w:val="0"/>
                <w:sz w:val="22"/>
              </w:rPr>
            </w:pPr>
            <w:r>
              <w:rPr>
                <w:rFonts w:ascii="宋体" w:hAnsi="宋体" w:eastAsia="宋体" w:cs="宋体"/>
                <w:kern w:val="0"/>
                <w:sz w:val="22"/>
                <w:szCs w:val="22"/>
              </w:rPr>
              <w:t xml:space="preserve">   </w:t>
            </w:r>
            <w:r>
              <w:rPr>
                <w:rFonts w:hint="eastAsia" w:ascii="宋体" w:hAnsi="宋体" w:eastAsia="宋体" w:cs="宋体"/>
                <w:kern w:val="0"/>
                <w:sz w:val="22"/>
                <w:szCs w:val="22"/>
              </w:rPr>
              <w:t>其中：办公用房（平方米）</w:t>
            </w:r>
          </w:p>
        </w:tc>
        <w:tc>
          <w:tcPr>
            <w:tcW w:w="855" w:type="dxa"/>
            <w:tcBorders>
              <w:top w:val="nil"/>
              <w:left w:val="nil"/>
              <w:bottom w:val="single" w:color="auto" w:sz="4" w:space="0"/>
              <w:right w:val="single" w:color="auto" w:sz="4" w:space="0"/>
            </w:tcBorders>
            <w:vAlign w:val="center"/>
          </w:tcPr>
          <w:p w14:paraId="0D00D721">
            <w:pPr>
              <w:widowControl/>
              <w:jc w:val="center"/>
              <w:rPr>
                <w:rFonts w:ascii="宋体" w:hAnsi="宋体" w:eastAsia="宋体" w:cs="Times New Roman"/>
                <w:kern w:val="0"/>
                <w:sz w:val="22"/>
              </w:rPr>
            </w:pPr>
          </w:p>
        </w:tc>
        <w:tc>
          <w:tcPr>
            <w:tcW w:w="4066" w:type="dxa"/>
            <w:tcBorders>
              <w:top w:val="nil"/>
              <w:left w:val="nil"/>
              <w:bottom w:val="single" w:color="auto" w:sz="4" w:space="0"/>
              <w:right w:val="single" w:color="auto" w:sz="4" w:space="0"/>
            </w:tcBorders>
            <w:vAlign w:val="center"/>
          </w:tcPr>
          <w:p w14:paraId="51BC207A">
            <w:pPr>
              <w:widowControl/>
              <w:jc w:val="center"/>
              <w:rPr>
                <w:rFonts w:ascii="宋体" w:hAnsi="宋体" w:eastAsia="宋体" w:cs="Times New Roman"/>
                <w:kern w:val="0"/>
                <w:sz w:val="22"/>
              </w:rPr>
            </w:pPr>
            <w:r>
              <w:rPr>
                <w:rFonts w:hint="eastAsia" w:ascii="宋体" w:hAnsi="宋体" w:eastAsia="宋体" w:cs="Times New Roman"/>
                <w:kern w:val="0"/>
                <w:sz w:val="22"/>
              </w:rPr>
              <w:t>198</w:t>
            </w:r>
          </w:p>
        </w:tc>
      </w:tr>
      <w:tr w14:paraId="6B947CCB">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5A48DA16">
            <w:pPr>
              <w:widowControl/>
              <w:jc w:val="left"/>
              <w:rPr>
                <w:rFonts w:ascii="宋体" w:hAnsi="宋体" w:eastAsia="宋体" w:cs="Times New Roman"/>
                <w:kern w:val="0"/>
                <w:sz w:val="22"/>
              </w:rPr>
            </w:pPr>
            <w:r>
              <w:rPr>
                <w:rFonts w:ascii="宋体" w:hAnsi="宋体" w:eastAsia="宋体" w:cs="宋体"/>
                <w:kern w:val="0"/>
                <w:sz w:val="22"/>
                <w:szCs w:val="22"/>
              </w:rPr>
              <w:t>2</w:t>
            </w:r>
            <w:r>
              <w:rPr>
                <w:rFonts w:hint="eastAsia" w:ascii="宋体" w:hAnsi="宋体" w:eastAsia="宋体" w:cs="宋体"/>
                <w:kern w:val="0"/>
                <w:sz w:val="22"/>
                <w:szCs w:val="22"/>
              </w:rPr>
              <w:t>、车辆（台、辆）</w:t>
            </w:r>
          </w:p>
        </w:tc>
        <w:tc>
          <w:tcPr>
            <w:tcW w:w="855" w:type="dxa"/>
            <w:tcBorders>
              <w:top w:val="nil"/>
              <w:left w:val="nil"/>
              <w:bottom w:val="single" w:color="auto" w:sz="4" w:space="0"/>
              <w:right w:val="single" w:color="auto" w:sz="4" w:space="0"/>
            </w:tcBorders>
            <w:vAlign w:val="center"/>
          </w:tcPr>
          <w:p w14:paraId="70A8347F">
            <w:pPr>
              <w:widowControl/>
              <w:jc w:val="center"/>
              <w:rPr>
                <w:rFonts w:ascii="宋体" w:hAnsi="宋体" w:eastAsia="宋体" w:cs="Times New Roman"/>
                <w:kern w:val="0"/>
                <w:sz w:val="22"/>
              </w:rPr>
            </w:pPr>
            <w:r>
              <w:rPr>
                <w:rFonts w:hint="eastAsia" w:ascii="宋体" w:hAnsi="宋体" w:eastAsia="宋体" w:cs="Times New Roman"/>
                <w:kern w:val="0"/>
                <w:sz w:val="22"/>
              </w:rPr>
              <w:t>1</w:t>
            </w:r>
          </w:p>
        </w:tc>
        <w:tc>
          <w:tcPr>
            <w:tcW w:w="4066" w:type="dxa"/>
            <w:tcBorders>
              <w:top w:val="nil"/>
              <w:left w:val="nil"/>
              <w:bottom w:val="single" w:color="auto" w:sz="4" w:space="0"/>
              <w:right w:val="single" w:color="auto" w:sz="4" w:space="0"/>
            </w:tcBorders>
            <w:vAlign w:val="center"/>
          </w:tcPr>
          <w:p w14:paraId="151D1391">
            <w:pPr>
              <w:widowControl/>
              <w:jc w:val="center"/>
              <w:rPr>
                <w:rFonts w:ascii="宋体" w:hAnsi="宋体" w:eastAsia="宋体" w:cs="Times New Roman"/>
                <w:kern w:val="0"/>
                <w:sz w:val="22"/>
              </w:rPr>
            </w:pPr>
            <w:r>
              <w:rPr>
                <w:rFonts w:hint="eastAsia" w:ascii="宋体" w:hAnsi="宋体" w:eastAsia="宋体" w:cs="Times New Roman"/>
                <w:kern w:val="0"/>
                <w:sz w:val="22"/>
              </w:rPr>
              <w:t>15</w:t>
            </w:r>
          </w:p>
        </w:tc>
      </w:tr>
      <w:tr w14:paraId="20AE119D">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66AA88F9">
            <w:pPr>
              <w:widowControl/>
              <w:jc w:val="left"/>
              <w:rPr>
                <w:rFonts w:ascii="宋体" w:hAnsi="宋体" w:eastAsia="宋体" w:cs="Times New Roman"/>
                <w:kern w:val="0"/>
                <w:sz w:val="22"/>
              </w:rPr>
            </w:pPr>
            <w:r>
              <w:rPr>
                <w:rFonts w:ascii="宋体" w:hAnsi="宋体" w:eastAsia="宋体" w:cs="宋体"/>
                <w:kern w:val="0"/>
                <w:sz w:val="22"/>
                <w:szCs w:val="22"/>
              </w:rPr>
              <w:t>3</w:t>
            </w:r>
            <w:r>
              <w:rPr>
                <w:rFonts w:hint="eastAsia" w:ascii="宋体" w:hAnsi="宋体" w:eastAsia="宋体" w:cs="宋体"/>
                <w:kern w:val="0"/>
                <w:sz w:val="22"/>
                <w:szCs w:val="22"/>
              </w:rPr>
              <w:t>、单价在</w:t>
            </w:r>
            <w:r>
              <w:rPr>
                <w:rFonts w:ascii="宋体" w:hAnsi="宋体" w:eastAsia="宋体" w:cs="宋体"/>
                <w:kern w:val="0"/>
                <w:sz w:val="22"/>
                <w:szCs w:val="22"/>
              </w:rPr>
              <w:t>50</w:t>
            </w:r>
            <w:r>
              <w:rPr>
                <w:rFonts w:hint="eastAsia" w:ascii="宋体" w:hAnsi="宋体" w:eastAsia="宋体" w:cs="宋体"/>
                <w:kern w:val="0"/>
                <w:sz w:val="22"/>
                <w:szCs w:val="22"/>
              </w:rPr>
              <w:t>万元以上的设备</w:t>
            </w:r>
          </w:p>
        </w:tc>
        <w:tc>
          <w:tcPr>
            <w:tcW w:w="855" w:type="dxa"/>
            <w:tcBorders>
              <w:top w:val="nil"/>
              <w:left w:val="nil"/>
              <w:bottom w:val="single" w:color="auto" w:sz="4" w:space="0"/>
              <w:right w:val="single" w:color="auto" w:sz="4" w:space="0"/>
            </w:tcBorders>
            <w:vAlign w:val="center"/>
          </w:tcPr>
          <w:p w14:paraId="1EB15886">
            <w:pPr>
              <w:widowControl/>
              <w:jc w:val="center"/>
              <w:rPr>
                <w:rFonts w:ascii="宋体" w:hAnsi="宋体" w:eastAsia="宋体" w:cs="Times New Roman"/>
                <w:kern w:val="0"/>
                <w:sz w:val="22"/>
              </w:rPr>
            </w:pPr>
          </w:p>
        </w:tc>
        <w:tc>
          <w:tcPr>
            <w:tcW w:w="4066" w:type="dxa"/>
            <w:tcBorders>
              <w:top w:val="nil"/>
              <w:left w:val="nil"/>
              <w:bottom w:val="single" w:color="auto" w:sz="4" w:space="0"/>
              <w:right w:val="single" w:color="auto" w:sz="4" w:space="0"/>
            </w:tcBorders>
            <w:vAlign w:val="center"/>
          </w:tcPr>
          <w:p w14:paraId="522F3187">
            <w:pPr>
              <w:widowControl/>
              <w:jc w:val="center"/>
              <w:rPr>
                <w:rFonts w:ascii="宋体" w:hAnsi="宋体" w:eastAsia="宋体" w:cs="Times New Roman"/>
                <w:kern w:val="0"/>
                <w:sz w:val="22"/>
              </w:rPr>
            </w:pPr>
          </w:p>
        </w:tc>
      </w:tr>
      <w:tr w14:paraId="722B6A96">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391BAFC3">
            <w:pPr>
              <w:widowControl/>
              <w:jc w:val="left"/>
              <w:rPr>
                <w:rFonts w:ascii="宋体" w:hAnsi="宋体" w:eastAsia="宋体" w:cs="Times New Roman"/>
                <w:kern w:val="0"/>
                <w:sz w:val="22"/>
              </w:rPr>
            </w:pPr>
            <w:r>
              <w:rPr>
                <w:rFonts w:ascii="宋体" w:hAnsi="宋体" w:eastAsia="宋体" w:cs="宋体"/>
                <w:kern w:val="0"/>
                <w:sz w:val="22"/>
                <w:szCs w:val="22"/>
              </w:rPr>
              <w:t>4</w:t>
            </w:r>
            <w:r>
              <w:rPr>
                <w:rFonts w:hint="eastAsia" w:ascii="宋体" w:hAnsi="宋体" w:eastAsia="宋体" w:cs="宋体"/>
                <w:kern w:val="0"/>
                <w:sz w:val="22"/>
                <w:szCs w:val="22"/>
              </w:rPr>
              <w:t>、其他固定资产</w:t>
            </w:r>
          </w:p>
        </w:tc>
        <w:tc>
          <w:tcPr>
            <w:tcW w:w="855" w:type="dxa"/>
            <w:tcBorders>
              <w:top w:val="nil"/>
              <w:left w:val="nil"/>
              <w:bottom w:val="single" w:color="auto" w:sz="4" w:space="0"/>
              <w:right w:val="single" w:color="auto" w:sz="4" w:space="0"/>
            </w:tcBorders>
            <w:vAlign w:val="center"/>
          </w:tcPr>
          <w:p w14:paraId="344C478B">
            <w:pPr>
              <w:widowControl/>
              <w:jc w:val="center"/>
              <w:rPr>
                <w:rFonts w:ascii="宋体" w:hAnsi="宋体" w:eastAsia="宋体" w:cs="Times New Roman"/>
                <w:kern w:val="0"/>
                <w:sz w:val="22"/>
              </w:rPr>
            </w:pPr>
          </w:p>
        </w:tc>
        <w:tc>
          <w:tcPr>
            <w:tcW w:w="4066" w:type="dxa"/>
            <w:tcBorders>
              <w:top w:val="nil"/>
              <w:left w:val="nil"/>
              <w:bottom w:val="single" w:color="auto" w:sz="4" w:space="0"/>
              <w:right w:val="single" w:color="auto" w:sz="4" w:space="0"/>
            </w:tcBorders>
            <w:vAlign w:val="center"/>
          </w:tcPr>
          <w:p w14:paraId="7FC2BC77">
            <w:pPr>
              <w:widowControl/>
              <w:jc w:val="center"/>
              <w:rPr>
                <w:rFonts w:ascii="宋体" w:hAnsi="宋体" w:eastAsia="宋体" w:cs="Times New Roman"/>
                <w:kern w:val="0"/>
                <w:sz w:val="22"/>
              </w:rPr>
            </w:pPr>
            <w:r>
              <w:rPr>
                <w:rFonts w:hint="eastAsia" w:ascii="宋体" w:hAnsi="宋体" w:eastAsia="宋体" w:cs="Times New Roman"/>
                <w:kern w:val="0"/>
                <w:sz w:val="22"/>
              </w:rPr>
              <w:t>69</w:t>
            </w:r>
          </w:p>
        </w:tc>
      </w:tr>
    </w:tbl>
    <w:p w14:paraId="501EBD47">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八、名词解释</w:t>
      </w:r>
    </w:p>
    <w:p w14:paraId="7F87EAEC">
      <w:pPr>
        <w:widowControl/>
        <w:spacing w:line="360" w:lineRule="auto"/>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1</w:t>
      </w:r>
      <w:r>
        <w:rPr>
          <w:rFonts w:hint="eastAsia" w:ascii="仿宋" w:hAnsi="仿宋" w:eastAsia="仿宋" w:cs="仿宋"/>
          <w:bCs/>
          <w:kern w:val="0"/>
          <w:sz w:val="32"/>
          <w:szCs w:val="32"/>
          <w:lang w:bidi="ar"/>
        </w:rPr>
        <w:t>、财政拨款收入：指</w:t>
      </w:r>
      <w:r>
        <w:rPr>
          <w:rFonts w:hint="eastAsia" w:ascii="仿宋" w:hAnsi="仿宋" w:eastAsia="仿宋" w:cs="仿宋"/>
          <w:kern w:val="0"/>
          <w:sz w:val="32"/>
          <w:szCs w:val="32"/>
          <w:lang w:bidi="ar"/>
        </w:rPr>
        <w:t>财政当年拨付的资金。</w:t>
      </w:r>
    </w:p>
    <w:p w14:paraId="0493AFF5">
      <w:pPr>
        <w:widowControl/>
        <w:spacing w:line="360" w:lineRule="auto"/>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2、“三公”经费：包括因公出国（境）费、公务接待费和公务用车购置及运行费。因公出国（境）费，指单位工作人员公务出国（境）的住宿费、差旅费、伙食补助费、杂费、培训费等支出。公务接待费，指单位按规定开支的各类公务接待（含外宾接待）支出。公务用车购置及运行费，指单位公务用车购置费及租用费、燃料费、维修费、等支出，公务用车指用于履行公务的机动车辆，包括领导干部专车、一般公务用车和执法执勤等业务用车。</w:t>
      </w:r>
    </w:p>
    <w:p w14:paraId="215DCEB0">
      <w:pPr>
        <w:widowControl/>
        <w:spacing w:line="360" w:lineRule="auto"/>
        <w:ind w:firstLine="480" w:firstLineChars="200"/>
        <w:jc w:val="left"/>
        <w:rPr>
          <w:rFonts w:ascii="仿宋" w:hAnsi="仿宋" w:eastAsia="仿宋" w:cs="仿宋"/>
          <w:kern w:val="0"/>
          <w:sz w:val="32"/>
          <w:szCs w:val="32"/>
          <w:lang w:bidi="ar"/>
        </w:rPr>
      </w:pPr>
      <w:r>
        <w:rPr>
          <w:rFonts w:hint="eastAsia" w:ascii="微软雅黑" w:hAnsi="微软雅黑" w:eastAsia="微软雅黑" w:cs="微软雅黑"/>
          <w:kern w:val="0"/>
          <w:sz w:val="24"/>
          <w:szCs w:val="24"/>
          <w:lang w:bidi="ar"/>
        </w:rPr>
        <w:t xml:space="preserve"> 3</w:t>
      </w:r>
      <w:r>
        <w:rPr>
          <w:rFonts w:hint="eastAsia" w:ascii="仿宋" w:hAnsi="仿宋" w:eastAsia="仿宋" w:cs="仿宋"/>
          <w:kern w:val="0"/>
          <w:sz w:val="32"/>
          <w:szCs w:val="32"/>
          <w:lang w:bidi="ar"/>
        </w:rPr>
        <w:t>、年初结转和结余：指以前年度尚未完成，结转到本年仍按照原规定用途继续使用的资金，或项目已完成等产生的结余资金。</w:t>
      </w:r>
      <w:r>
        <w:rPr>
          <w:rFonts w:hint="eastAsia" w:ascii="微软雅黑" w:hAnsi="微软雅黑" w:eastAsia="微软雅黑" w:cs="微软雅黑"/>
          <w:kern w:val="0"/>
          <w:sz w:val="24"/>
          <w:szCs w:val="24"/>
          <w:lang w:bidi="ar"/>
        </w:rPr>
        <w:t xml:space="preserve"> </w:t>
      </w:r>
      <w:r>
        <w:rPr>
          <w:rFonts w:hint="eastAsia" w:ascii="宋体" w:hAnsi="宋体" w:eastAsia="宋体" w:cs="宋体"/>
          <w:kern w:val="0"/>
          <w:sz w:val="32"/>
          <w:szCs w:val="32"/>
          <w:lang w:bidi="ar"/>
        </w:rPr>
        <w:t> </w:t>
      </w:r>
    </w:p>
    <w:p w14:paraId="09827C0F">
      <w:pPr>
        <w:widowControl/>
        <w:spacing w:line="360" w:lineRule="auto"/>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4、基本支出：指单位为了保障其正常运转、完成日常工作任务而发生的人员支出和公用支出。</w:t>
      </w:r>
      <w:r>
        <w:rPr>
          <w:rFonts w:hint="eastAsia" w:ascii="微软雅黑" w:hAnsi="微软雅黑" w:eastAsia="微软雅黑" w:cs="微软雅黑"/>
          <w:kern w:val="0"/>
          <w:sz w:val="24"/>
          <w:szCs w:val="24"/>
          <w:lang w:bidi="ar"/>
        </w:rPr>
        <w:t xml:space="preserve"> </w:t>
      </w:r>
      <w:r>
        <w:rPr>
          <w:rFonts w:hint="eastAsia" w:ascii="宋体" w:hAnsi="宋体" w:eastAsia="宋体" w:cs="宋体"/>
          <w:kern w:val="0"/>
          <w:sz w:val="32"/>
          <w:szCs w:val="32"/>
          <w:lang w:bidi="ar"/>
        </w:rPr>
        <w:t> </w:t>
      </w:r>
    </w:p>
    <w:p w14:paraId="13A4CB46">
      <w:pPr>
        <w:widowControl/>
        <w:spacing w:line="360" w:lineRule="auto"/>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5、项目支出：指单位为了特定的工作任务和事业发展目标，在基本支出之外所发生的支出。</w:t>
      </w:r>
    </w:p>
    <w:p w14:paraId="294C602B">
      <w:pPr>
        <w:tabs>
          <w:tab w:val="left" w:pos="11490"/>
        </w:tabs>
        <w:ind w:firstLine="640" w:firstLineChars="200"/>
        <w:rPr>
          <w:rFonts w:ascii="黑体" w:hAnsi="黑体" w:eastAsia="黑体" w:cs="Times New Roman"/>
          <w:sz w:val="32"/>
          <w:szCs w:val="32"/>
        </w:rPr>
      </w:pPr>
      <w:r>
        <w:rPr>
          <w:rFonts w:hint="eastAsia" w:ascii="黑体" w:hAnsi="黑体" w:eastAsia="黑体" w:cs="黑体"/>
          <w:sz w:val="32"/>
          <w:szCs w:val="32"/>
        </w:rPr>
        <w:t>九、其它需要说明的事项</w:t>
      </w:r>
    </w:p>
    <w:p w14:paraId="799ACEE8">
      <w:pPr>
        <w:tabs>
          <w:tab w:val="left" w:pos="11490"/>
        </w:tabs>
        <w:ind w:firstLine="640" w:firstLineChars="200"/>
        <w:rPr>
          <w:rFonts w:ascii="仿宋" w:hAnsi="仿宋" w:eastAsia="仿宋" w:cs="Times New Roman"/>
          <w:sz w:val="32"/>
          <w:szCs w:val="32"/>
        </w:rPr>
      </w:pPr>
      <w:r>
        <w:rPr>
          <w:rFonts w:hint="eastAsia" w:ascii="仿宋" w:hAnsi="仿宋" w:eastAsia="仿宋" w:cs="方正仿宋_GBK"/>
          <w:bCs/>
          <w:sz w:val="32"/>
          <w:szCs w:val="32"/>
        </w:rPr>
        <w:t>无其它需要说明的事项。</w:t>
      </w:r>
    </w:p>
    <w:p w14:paraId="74436D33">
      <w:pPr>
        <w:spacing w:line="560" w:lineRule="exact"/>
        <w:rPr>
          <w:rFonts w:ascii="仿宋" w:hAnsi="仿宋" w:eastAsia="仿宋" w:cs="Times New Roman"/>
          <w:sz w:val="32"/>
          <w:szCs w:val="32"/>
        </w:rPr>
      </w:pP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35752">
    <w:pPr>
      <w:pStyle w:val="2"/>
      <w:jc w:val="center"/>
      <w:rPr>
        <w:rFonts w:ascii="仿宋" w:hAnsi="仿宋" w:eastAsia="仿宋" w:cs="Times New Roman"/>
        <w:sz w:val="32"/>
        <w:szCs w:val="32"/>
      </w:rPr>
    </w:pPr>
    <w:r>
      <w:rPr>
        <w:rFonts w:ascii="仿宋" w:hAnsi="仿宋" w:eastAsia="仿宋" w:cs="仿宋"/>
        <w:sz w:val="32"/>
        <w:szCs w:val="32"/>
      </w:rPr>
      <w:fldChar w:fldCharType="begin"/>
    </w:r>
    <w:r>
      <w:rPr>
        <w:rFonts w:ascii="仿宋" w:hAnsi="仿宋" w:eastAsia="仿宋" w:cs="仿宋"/>
        <w:sz w:val="32"/>
        <w:szCs w:val="32"/>
      </w:rPr>
      <w:instrText xml:space="preserve">PAGE   \* MERGEFORMAT</w:instrText>
    </w:r>
    <w:r>
      <w:rPr>
        <w:rFonts w:ascii="仿宋" w:hAnsi="仿宋" w:eastAsia="仿宋" w:cs="仿宋"/>
        <w:sz w:val="32"/>
        <w:szCs w:val="32"/>
      </w:rPr>
      <w:fldChar w:fldCharType="separate"/>
    </w:r>
    <w:r>
      <w:rPr>
        <w:rFonts w:ascii="仿宋" w:hAnsi="仿宋" w:eastAsia="仿宋" w:cs="仿宋"/>
        <w:sz w:val="32"/>
        <w:szCs w:val="32"/>
        <w:lang w:val="zh-CN"/>
      </w:rPr>
      <w:t>23</w:t>
    </w:r>
    <w:r>
      <w:rPr>
        <w:rFonts w:ascii="仿宋" w:hAnsi="仿宋" w:eastAsia="仿宋" w:cs="仿宋"/>
        <w:sz w:val="32"/>
        <w:szCs w:val="32"/>
      </w:rPr>
      <w:fldChar w:fldCharType="end"/>
    </w:r>
  </w:p>
  <w:p w14:paraId="709A0671">
    <w:pPr>
      <w:pStyle w:val="2"/>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AAA"/>
    <w:rsid w:val="00002B64"/>
    <w:rsid w:val="00046FAD"/>
    <w:rsid w:val="000A796E"/>
    <w:rsid w:val="000B2142"/>
    <w:rsid w:val="000C58DF"/>
    <w:rsid w:val="00101C7A"/>
    <w:rsid w:val="00131928"/>
    <w:rsid w:val="001A3CB4"/>
    <w:rsid w:val="001E0232"/>
    <w:rsid w:val="00202D94"/>
    <w:rsid w:val="00206B22"/>
    <w:rsid w:val="002307B5"/>
    <w:rsid w:val="002B04D9"/>
    <w:rsid w:val="002C0317"/>
    <w:rsid w:val="002D1CA5"/>
    <w:rsid w:val="002F0144"/>
    <w:rsid w:val="00325594"/>
    <w:rsid w:val="0037750D"/>
    <w:rsid w:val="003C4C5D"/>
    <w:rsid w:val="003D1126"/>
    <w:rsid w:val="003D1369"/>
    <w:rsid w:val="003D22B1"/>
    <w:rsid w:val="00453A06"/>
    <w:rsid w:val="00524AAA"/>
    <w:rsid w:val="005412A2"/>
    <w:rsid w:val="005456DA"/>
    <w:rsid w:val="005730D6"/>
    <w:rsid w:val="005F2EDA"/>
    <w:rsid w:val="005F4345"/>
    <w:rsid w:val="00662C18"/>
    <w:rsid w:val="006643F5"/>
    <w:rsid w:val="0068144F"/>
    <w:rsid w:val="006852D0"/>
    <w:rsid w:val="006E10AD"/>
    <w:rsid w:val="00747D9E"/>
    <w:rsid w:val="007775CB"/>
    <w:rsid w:val="007A6116"/>
    <w:rsid w:val="007B4EB3"/>
    <w:rsid w:val="007C484E"/>
    <w:rsid w:val="007F0D2E"/>
    <w:rsid w:val="00825F97"/>
    <w:rsid w:val="008327A0"/>
    <w:rsid w:val="008B1924"/>
    <w:rsid w:val="00933068"/>
    <w:rsid w:val="009658FB"/>
    <w:rsid w:val="00973104"/>
    <w:rsid w:val="00990CB9"/>
    <w:rsid w:val="009B2D48"/>
    <w:rsid w:val="009C264C"/>
    <w:rsid w:val="009E1AD6"/>
    <w:rsid w:val="009F0612"/>
    <w:rsid w:val="00A12AE7"/>
    <w:rsid w:val="00A15ADE"/>
    <w:rsid w:val="00A6455D"/>
    <w:rsid w:val="00A95F51"/>
    <w:rsid w:val="00AC6968"/>
    <w:rsid w:val="00B13EFE"/>
    <w:rsid w:val="00B50088"/>
    <w:rsid w:val="00B500A4"/>
    <w:rsid w:val="00B845AC"/>
    <w:rsid w:val="00BA40C6"/>
    <w:rsid w:val="00BA6B82"/>
    <w:rsid w:val="00BD2466"/>
    <w:rsid w:val="00C452B6"/>
    <w:rsid w:val="00CC7FC7"/>
    <w:rsid w:val="00CD0F72"/>
    <w:rsid w:val="00CD1A32"/>
    <w:rsid w:val="00D03F39"/>
    <w:rsid w:val="00D27A25"/>
    <w:rsid w:val="00D312BA"/>
    <w:rsid w:val="00D71A36"/>
    <w:rsid w:val="00D73351"/>
    <w:rsid w:val="00DE7459"/>
    <w:rsid w:val="00E000C9"/>
    <w:rsid w:val="00E24B37"/>
    <w:rsid w:val="00E474B2"/>
    <w:rsid w:val="00E87B0C"/>
    <w:rsid w:val="00E91C36"/>
    <w:rsid w:val="00EC5507"/>
    <w:rsid w:val="00F143BE"/>
    <w:rsid w:val="00F14752"/>
    <w:rsid w:val="00F250CD"/>
    <w:rsid w:val="00F311AF"/>
    <w:rsid w:val="00F66032"/>
    <w:rsid w:val="00FB5EA2"/>
    <w:rsid w:val="21C46AE2"/>
    <w:rsid w:val="2C882469"/>
    <w:rsid w:val="5CB455E9"/>
    <w:rsid w:val="5F041A40"/>
    <w:rsid w:val="5F951118"/>
    <w:rsid w:val="7D5E29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link w:val="3"/>
    <w:qFormat/>
    <w:locked/>
    <w:uiPriority w:val="99"/>
    <w:rPr>
      <w:rFonts w:cs="Times New Roman"/>
      <w:sz w:val="18"/>
      <w:szCs w:val="18"/>
    </w:rPr>
  </w:style>
  <w:style w:type="character" w:customStyle="1" w:styleId="7">
    <w:name w:val="页脚 Char"/>
    <w:link w:val="2"/>
    <w:qFormat/>
    <w:locked/>
    <w:uiPriority w:val="99"/>
    <w:rPr>
      <w:rFonts w:cs="Times New Roman"/>
      <w:sz w:val="18"/>
      <w:szCs w:val="18"/>
    </w:rPr>
  </w:style>
  <w:style w:type="paragraph" w:customStyle="1"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11868</Words>
  <Characters>12124</Characters>
  <Lines>88</Lines>
  <Paragraphs>24</Paragraphs>
  <TotalTime>5</TotalTime>
  <ScaleCrop>false</ScaleCrop>
  <LinksUpToDate>false</LinksUpToDate>
  <CharactersWithSpaces>12158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2017-11-10T09:22:00Z</dcterms:created>
  <dc:creator>旭东</dc:creator>
  <cp:lastModifiedBy>朱丽叶</cp:lastModifiedBy>
  <dcterms:modified xsi:type="dcterms:W3CDTF">2026-05-27T07:53:41Z</dcterms:modified>
  <dc:title>2017年部门预算公开督导整改要求</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B029C25ACB824CCEB440E742EE425C22_13</vt:lpwstr>
  </property>
  <property fmtid="{D5CDD505-2E9C-101B-9397-08002B2CF9AE}" pid="4" name="KSOTemplateDocerSaveRecord">
    <vt:lpwstr>eyJoZGlkIjoiZGIyYjVkM2Q3OGI3NjgyMmRhNzc4Mzg1ZjJiNjZhOGYiLCJ1c2VySWQiOiI3MzMyODkyODMifQ==</vt:lpwstr>
  </property>
</Properties>
</file>