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宋体" w:hAnsi="宋体" w:eastAsia="宋体" w:cs="宋体"/>
          <w:b/>
          <w:sz w:val="36"/>
          <w:szCs w:val="36"/>
        </w:rPr>
        <w:t>2017年部门预算公开情况说明</w:t>
      </w:r>
    </w:p>
    <w:p>
      <w:pPr>
        <w:jc w:val="center"/>
        <w:rPr>
          <w:rFonts w:ascii="仿宋_GB2312" w:hAnsi="黑体" w:eastAsia="仿宋_GB2312"/>
          <w:sz w:val="10"/>
          <w:szCs w:val="10"/>
        </w:rPr>
      </w:pPr>
    </w:p>
    <w:p>
      <w:pPr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按照《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中华人民共和国</w:t>
      </w:r>
      <w:r>
        <w:rPr>
          <w:rFonts w:hint="eastAsia" w:ascii="仿宋" w:hAnsi="仿宋" w:eastAsia="仿宋" w:cs="仿宋"/>
          <w:sz w:val="32"/>
          <w:szCs w:val="32"/>
        </w:rPr>
        <w:t>预算法》有关规定和财政部关于印发《地方预决算公开操作规程》的通知，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现将交通运输局2017年部门预算公开如下：</w:t>
      </w:r>
    </w:p>
    <w:p>
      <w:pPr>
        <w:ind w:firstLine="64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一、部门职责及机构设置情况</w:t>
      </w:r>
    </w:p>
    <w:p>
      <w:pPr>
        <w:spacing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（一）根据县委，县政府及市交通运输局指示，制定我县交通发展规划。</w:t>
      </w:r>
    </w:p>
    <w:p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负责综合运输体系的规划协调工作，负责交通运输枢纽规划，建设和管理，负责县城区公共交通的经营及其场站设施的建设管理，负责城区营运线路的新辟和调整，推进全县城乡公交一体化的实施，指导协调运输企业、个体经营者客运线路运营。</w:t>
      </w:r>
    </w:p>
    <w:p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（三）负责全县公路运输市场管理。贯彻落实公路运输有关政策、法规、技术标准和运营规范并监督实施。负责 运输市场、运输服务、车辆维修、停车场、搬运装卸、机动车性能检测、机动车驾驶学校和驾驶员培训的行业管理。负责和指导城乡客运及相关设施规划和管理，负责出租汽车行业管理工作。</w:t>
      </w:r>
    </w:p>
    <w:p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（四）承担全县公路路政管理，维护公路路产、路权及公路设施，治理公路运输车辆超载。</w:t>
      </w:r>
    </w:p>
    <w:p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（五）承担全县城乡公路建设规划。负责辖区内公路及其设施建设、养护和管理。</w:t>
      </w:r>
    </w:p>
    <w:p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（六）负责全局人事、劳动管理和工资、社会福利保险等工作，负责局属股、站领导班子建设管理工作。</w:t>
      </w:r>
    </w:p>
    <w:p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（七）组织指导交通运输系统干部职工的业务、专业技术培训教育，负责组织职工技能和技术等级申报、考核。</w:t>
      </w:r>
    </w:p>
    <w:p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（八）搞好交通运输系统财务管理，加强对直属单位的财务、审计、监督。收集整理交通运输行业数据信息。</w:t>
      </w:r>
    </w:p>
    <w:p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（九）指导交通运输系统的精神文明建设，整顿职工的思想工作作风，搞好行风建设。</w:t>
      </w:r>
    </w:p>
    <w:p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（十）承担全县公路行业安全生产和应急管理工作。按规定组织协调国家、省、市、县重点物资和紧急客货运输。承担国防交通战备工作。</w:t>
      </w:r>
    </w:p>
    <w:p>
      <w:pPr>
        <w:spacing w:line="360" w:lineRule="auto"/>
        <w:ind w:firstLine="640" w:firstLineChars="200"/>
        <w:rPr>
          <w:rFonts w:ascii="仿宋_GB2312" w:hAnsi="Calibri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</w:rPr>
        <w:t>（十一）承办县委、县政府，市交通运输局交办的其他项。</w:t>
      </w:r>
    </w:p>
    <w:p>
      <w:pPr>
        <w:widowControl/>
        <w:spacing w:line="360" w:lineRule="auto"/>
        <w:ind w:firstLine="630" w:firstLineChars="196"/>
        <w:jc w:val="left"/>
        <w:rPr>
          <w:rFonts w:ascii="楷体" w:hAnsi="楷体" w:eastAsia="楷体"/>
          <w:b/>
          <w:bCs/>
          <w:kern w:val="0"/>
          <w:sz w:val="32"/>
          <w:szCs w:val="32"/>
        </w:rPr>
      </w:pPr>
      <w:r>
        <w:rPr>
          <w:rFonts w:hint="eastAsia" w:ascii="楷体" w:hAnsi="楷体" w:eastAsia="楷体" w:cs="宋体"/>
          <w:b/>
          <w:bCs/>
          <w:kern w:val="0"/>
          <w:sz w:val="32"/>
          <w:szCs w:val="32"/>
        </w:rPr>
        <w:t>人员编制和领导职数</w:t>
      </w:r>
    </w:p>
    <w:p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</w:rPr>
        <w:t>人员编制75名，其中领导职数6个。</w:t>
      </w:r>
    </w:p>
    <w:p>
      <w:pPr>
        <w:autoSpaceDE w:val="0"/>
        <w:autoSpaceDN w:val="0"/>
        <w:adjustRightInd w:val="0"/>
        <w:ind w:firstLine="643" w:firstLineChars="200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机构设置：</w:t>
      </w:r>
    </w:p>
    <w:p>
      <w:pPr>
        <w:jc w:val="center"/>
        <w:outlineLvl w:val="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部门机构设置情况</w:t>
      </w:r>
    </w:p>
    <w:tbl>
      <w:tblPr>
        <w:tblStyle w:val="4"/>
        <w:tblW w:w="8629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7"/>
        <w:gridCol w:w="1134"/>
        <w:gridCol w:w="1276"/>
        <w:gridCol w:w="290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3317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书宋_GBK" w:cs="Times New Roman"/>
                <w:b/>
                <w:bCs/>
              </w:rPr>
            </w:pPr>
            <w:r>
              <w:rPr>
                <w:rFonts w:hint="eastAsia" w:ascii="Times New Roman" w:hAnsi="Times New Roman" w:eastAsia="方正书宋_GBK" w:cs="方正书宋_GBK"/>
                <w:b/>
                <w:bCs/>
              </w:rPr>
              <w:t>单位名称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书宋_GBK" w:cs="Times New Roman"/>
                <w:b/>
                <w:bCs/>
              </w:rPr>
            </w:pPr>
            <w:r>
              <w:rPr>
                <w:rFonts w:hint="eastAsia" w:ascii="Times New Roman" w:hAnsi="Times New Roman" w:eastAsia="方正书宋_GBK" w:cs="方正书宋_GBK"/>
                <w:b/>
                <w:bCs/>
              </w:rPr>
              <w:t>单位性质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书宋_GBK" w:cs="Times New Roman"/>
                <w:b/>
                <w:bCs/>
              </w:rPr>
            </w:pPr>
            <w:r>
              <w:rPr>
                <w:rFonts w:hint="eastAsia" w:ascii="Times New Roman" w:hAnsi="Times New Roman" w:eastAsia="方正书宋_GBK" w:cs="方正书宋_GBK"/>
                <w:b/>
                <w:bCs/>
              </w:rPr>
              <w:t>单位规格</w:t>
            </w:r>
          </w:p>
        </w:tc>
        <w:tc>
          <w:tcPr>
            <w:tcW w:w="2902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书宋_GBK" w:cs="Times New Roman"/>
                <w:b/>
                <w:bCs/>
              </w:rPr>
            </w:pPr>
            <w:r>
              <w:rPr>
                <w:rFonts w:hint="eastAsia" w:ascii="Times New Roman" w:hAnsi="Times New Roman" w:eastAsia="方正书宋_GBK" w:cs="方正书宋_GBK"/>
                <w:b/>
                <w:bCs/>
              </w:rPr>
              <w:t>经费保障形式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3317" w:type="dxa"/>
            <w:vMerge w:val="continue"/>
            <w:vAlign w:val="center"/>
          </w:tcPr>
          <w:p>
            <w:pPr>
              <w:spacing w:line="300" w:lineRule="exact"/>
              <w:jc w:val="left"/>
              <w:outlineLvl w:val="0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134" w:type="dxa"/>
            <w:vMerge w:val="continue"/>
            <w:vAlign w:val="center"/>
          </w:tcPr>
          <w:p>
            <w:pPr>
              <w:spacing w:line="300" w:lineRule="exact"/>
              <w:jc w:val="left"/>
              <w:outlineLvl w:val="0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276" w:type="dxa"/>
            <w:vMerge w:val="continue"/>
            <w:vAlign w:val="center"/>
          </w:tcPr>
          <w:p>
            <w:pPr>
              <w:spacing w:line="300" w:lineRule="exact"/>
              <w:jc w:val="left"/>
              <w:outlineLvl w:val="0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902" w:type="dxa"/>
            <w:vMerge w:val="continue"/>
            <w:vAlign w:val="center"/>
          </w:tcPr>
          <w:p>
            <w:pPr>
              <w:spacing w:line="300" w:lineRule="exact"/>
              <w:jc w:val="left"/>
              <w:outlineLvl w:val="0"/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317" w:type="dxa"/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方正书宋_GBK" w:cs="Times New Roman"/>
              </w:rPr>
            </w:pPr>
            <w:r>
              <w:rPr>
                <w:rFonts w:hint="eastAsia" w:ascii="Times New Roman" w:hAnsi="Times New Roman" w:eastAsia="方正书宋_GBK" w:cs="Times New Roman"/>
              </w:rPr>
              <w:t>成安县交通运输局</w:t>
            </w:r>
          </w:p>
        </w:tc>
        <w:tc>
          <w:tcPr>
            <w:tcW w:w="1134" w:type="dxa"/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方正书宋_GBK" w:cs="Times New Roman"/>
              </w:rPr>
            </w:pPr>
            <w:r>
              <w:rPr>
                <w:rFonts w:hint="eastAsia" w:ascii="Times New Roman" w:hAnsi="Times New Roman" w:eastAsia="方正书宋_GBK" w:cs="Times New Roman"/>
              </w:rPr>
              <w:t>行政</w:t>
            </w:r>
          </w:p>
        </w:tc>
        <w:tc>
          <w:tcPr>
            <w:tcW w:w="1276" w:type="dxa"/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方正书宋_GBK" w:cs="Times New Roman"/>
              </w:rPr>
            </w:pPr>
            <w:r>
              <w:rPr>
                <w:rFonts w:hint="eastAsia" w:ascii="Times New Roman" w:hAnsi="Times New Roman" w:eastAsia="方正书宋_GBK" w:cs="Times New Roman"/>
              </w:rPr>
              <w:t>局级</w:t>
            </w:r>
          </w:p>
        </w:tc>
        <w:tc>
          <w:tcPr>
            <w:tcW w:w="2902" w:type="dxa"/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方正书宋_GBK" w:cs="Times New Roman"/>
              </w:rPr>
            </w:pPr>
            <w:r>
              <w:rPr>
                <w:rFonts w:hint="eastAsia" w:ascii="Times New Roman" w:hAnsi="Times New Roman" w:eastAsia="方正书宋_GBK" w:cs="Times New Roman"/>
              </w:rPr>
              <w:t>财政拨款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317" w:type="dxa"/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方正书宋_GBK" w:cs="Times New Roman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方正书宋_GBK" w:cs="Times New Roman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方正书宋_GBK" w:cs="Times New Roman"/>
              </w:rPr>
            </w:pPr>
          </w:p>
        </w:tc>
        <w:tc>
          <w:tcPr>
            <w:tcW w:w="2902" w:type="dxa"/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方正书宋_GBK" w:cs="Times New Roman"/>
              </w:rPr>
            </w:pPr>
          </w:p>
        </w:tc>
      </w:tr>
    </w:tbl>
    <w:p>
      <w:pPr>
        <w:widowControl/>
        <w:spacing w:line="360" w:lineRule="auto"/>
        <w:ind w:left="628"/>
        <w:jc w:val="left"/>
        <w:rPr>
          <w:rFonts w:ascii="Calibri" w:hAnsi="Calibri" w:eastAsia="仿宋_GB2312" w:cs="Calibri"/>
          <w:b/>
          <w:kern w:val="0"/>
          <w:sz w:val="32"/>
          <w:szCs w:val="32"/>
          <w:lang w:bidi="ar"/>
        </w:rPr>
      </w:pPr>
      <w:r>
        <w:rPr>
          <w:rFonts w:hint="eastAsia" w:ascii="Calibri" w:hAnsi="Calibri" w:eastAsia="仿宋_GB2312" w:cs="Calibri"/>
          <w:b/>
          <w:kern w:val="0"/>
          <w:sz w:val="32"/>
          <w:szCs w:val="32"/>
          <w:lang w:bidi="ar"/>
        </w:rPr>
        <w:t>内设主要</w:t>
      </w:r>
      <w:r>
        <w:rPr>
          <w:rFonts w:ascii="Calibri" w:hAnsi="Calibri" w:eastAsia="仿宋_GB2312" w:cs="Calibri"/>
          <w:b/>
          <w:kern w:val="0"/>
          <w:sz w:val="32"/>
          <w:szCs w:val="32"/>
          <w:lang w:bidi="ar"/>
        </w:rPr>
        <w:t>机构</w:t>
      </w:r>
      <w:r>
        <w:rPr>
          <w:rFonts w:hint="eastAsia" w:ascii="Calibri" w:hAnsi="Calibri" w:eastAsia="仿宋_GB2312" w:cs="Calibri"/>
          <w:b/>
          <w:kern w:val="0"/>
          <w:sz w:val="32"/>
          <w:szCs w:val="32"/>
          <w:lang w:bidi="ar"/>
        </w:rPr>
        <w:t>及职责</w:t>
      </w:r>
    </w:p>
    <w:p>
      <w:pPr>
        <w:widowControl/>
        <w:spacing w:line="360" w:lineRule="auto"/>
        <w:ind w:left="628"/>
        <w:jc w:val="left"/>
        <w:rPr>
          <w:rFonts w:ascii="仿宋" w:hAnsi="仿宋" w:eastAsia="仿宋" w:cs="仿宋"/>
          <w:bCs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  <w:lang w:bidi="ar"/>
        </w:rPr>
        <w:t>成安县成安县交通运输局，预算编码是348002，内设7个内部机构。</w:t>
      </w:r>
    </w:p>
    <w:p>
      <w:pPr>
        <w:widowControl/>
        <w:numPr>
          <w:ilvl w:val="0"/>
          <w:numId w:val="1"/>
        </w:numPr>
        <w:spacing w:line="360" w:lineRule="auto"/>
        <w:ind w:left="628"/>
        <w:jc w:val="left"/>
        <w:rPr>
          <w:rFonts w:ascii="楷体" w:hAnsi="楷体" w:eastAsia="楷体" w:cs="楷体"/>
          <w:b/>
          <w:kern w:val="0"/>
          <w:sz w:val="32"/>
          <w:szCs w:val="32"/>
          <w:lang w:bidi="ar"/>
        </w:rPr>
      </w:pPr>
      <w:r>
        <w:rPr>
          <w:rFonts w:hint="eastAsia" w:ascii="楷体" w:hAnsi="楷体" w:eastAsia="楷体" w:cs="楷体"/>
          <w:b/>
          <w:kern w:val="0"/>
          <w:sz w:val="32"/>
          <w:szCs w:val="32"/>
          <w:lang w:bidi="ar"/>
        </w:rPr>
        <w:t>办公室</w:t>
      </w:r>
    </w:p>
    <w:p>
      <w:pPr>
        <w:widowControl/>
        <w:spacing w:line="360" w:lineRule="auto"/>
        <w:jc w:val="left"/>
        <w:rPr>
          <w:rFonts w:ascii="仿宋" w:hAnsi="仿宋" w:eastAsia="仿宋" w:cs="仿宋"/>
          <w:bCs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  <w:lang w:bidi="ar"/>
        </w:rPr>
        <w:t xml:space="preserve">     主要负责：</w:t>
      </w:r>
      <w:r>
        <w:rPr>
          <w:rFonts w:hint="eastAsia" w:ascii="仿宋" w:hAnsi="仿宋" w:eastAsia="仿宋" w:cs="仿宋"/>
          <w:sz w:val="32"/>
          <w:szCs w:val="32"/>
        </w:rPr>
        <w:t>负责组织协调局机关工作，机要、保密、提案、来信、来访督查、目标管理，安全保卫和后勤行政等管理工作</w:t>
      </w:r>
    </w:p>
    <w:p>
      <w:pPr>
        <w:widowControl/>
        <w:spacing w:line="360" w:lineRule="auto"/>
        <w:jc w:val="left"/>
        <w:rPr>
          <w:rFonts w:ascii="楷体" w:hAnsi="楷体" w:eastAsia="楷体" w:cs="楷体"/>
          <w:b/>
          <w:kern w:val="0"/>
          <w:sz w:val="32"/>
          <w:szCs w:val="32"/>
          <w:lang w:bidi="ar"/>
        </w:rPr>
      </w:pPr>
      <w:r>
        <w:rPr>
          <w:rFonts w:hint="eastAsia" w:ascii="楷体" w:hAnsi="楷体" w:eastAsia="楷体" w:cs="楷体"/>
          <w:b/>
          <w:kern w:val="0"/>
          <w:sz w:val="32"/>
          <w:szCs w:val="32"/>
          <w:lang w:bidi="ar"/>
        </w:rPr>
        <w:t xml:space="preserve">    2、人事股</w:t>
      </w:r>
    </w:p>
    <w:p>
      <w:pPr>
        <w:widowControl/>
        <w:spacing w:line="360" w:lineRule="auto"/>
        <w:ind w:firstLine="64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  <w:lang w:bidi="ar"/>
        </w:rPr>
        <w:t>主要负责：</w:t>
      </w:r>
      <w:r>
        <w:rPr>
          <w:rFonts w:hint="eastAsia" w:ascii="仿宋" w:hAnsi="仿宋" w:eastAsia="仿宋" w:cs="仿宋"/>
          <w:sz w:val="32"/>
          <w:szCs w:val="32"/>
        </w:rPr>
        <w:t>负责全局人事工作；负责归口管理专业技术干部职称评聘、继续教育、人才交流与引进和培养工作；负责归口管理技术工人技术等级考核，评定和申报等工作；</w:t>
      </w:r>
    </w:p>
    <w:p>
      <w:pPr>
        <w:widowControl/>
        <w:spacing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/>
          <w:kern w:val="0"/>
          <w:sz w:val="32"/>
          <w:szCs w:val="32"/>
          <w:lang w:bidi="ar"/>
        </w:rPr>
        <w:t xml:space="preserve">    3、财务股</w:t>
      </w:r>
    </w:p>
    <w:p>
      <w:pPr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主要负责：负责全局财务工作；负责交通建设资金的筹集、调度、使用和管理工作；负责局下属单位财务监督、检查及财务管理的指导工作；加强财务管理、纠正违反财经纪律的行为；负责交通系统国有资产管理。</w:t>
      </w:r>
    </w:p>
    <w:p>
      <w:pPr>
        <w:widowControl/>
        <w:spacing w:line="360" w:lineRule="auto"/>
        <w:jc w:val="left"/>
        <w:rPr>
          <w:rFonts w:ascii="楷体" w:hAnsi="楷体" w:eastAsia="楷体" w:cs="楷体"/>
          <w:b/>
          <w:kern w:val="0"/>
          <w:sz w:val="32"/>
          <w:szCs w:val="32"/>
          <w:lang w:bidi="ar"/>
        </w:rPr>
      </w:pPr>
      <w:r>
        <w:rPr>
          <w:rFonts w:hint="eastAsia" w:ascii="楷体" w:hAnsi="楷体" w:eastAsia="楷体" w:cs="楷体"/>
          <w:b/>
          <w:kern w:val="0"/>
          <w:sz w:val="32"/>
          <w:szCs w:val="32"/>
          <w:lang w:bidi="ar"/>
        </w:rPr>
        <w:t xml:space="preserve">    4、纪检室</w:t>
      </w: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主要负责：交通系统的纪律检查和行政监察工作，抓好党风、党纪、廉政建设，负责交通系统党员和干部职工违反党的纪律及有关规定的案件督查。</w:t>
      </w:r>
    </w:p>
    <w:p>
      <w:pPr>
        <w:widowControl/>
        <w:spacing w:line="360" w:lineRule="auto"/>
        <w:jc w:val="left"/>
        <w:rPr>
          <w:rFonts w:ascii="楷体" w:hAnsi="楷体" w:eastAsia="楷体" w:cs="楷体"/>
          <w:b/>
          <w:kern w:val="0"/>
          <w:sz w:val="32"/>
          <w:szCs w:val="32"/>
          <w:lang w:bidi="ar"/>
        </w:rPr>
      </w:pPr>
      <w:r>
        <w:rPr>
          <w:rFonts w:hint="eastAsia" w:ascii="楷体" w:hAnsi="楷体" w:eastAsia="楷体" w:cs="楷体"/>
          <w:b/>
          <w:kern w:val="0"/>
          <w:sz w:val="32"/>
          <w:szCs w:val="32"/>
          <w:lang w:bidi="ar"/>
        </w:rPr>
        <w:t xml:space="preserve">   5、工程股</w:t>
      </w:r>
    </w:p>
    <w:p>
      <w:pPr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主要负责：改造工程预算；负责对公路设计文件、施工单位资质审核；监督工程质量；负责落实有关变更设计，审定工程决算等。</w:t>
      </w:r>
    </w:p>
    <w:p>
      <w:pPr>
        <w:widowControl/>
        <w:spacing w:line="360" w:lineRule="auto"/>
        <w:jc w:val="left"/>
        <w:rPr>
          <w:rFonts w:ascii="楷体" w:hAnsi="楷体" w:eastAsia="楷体" w:cs="楷体"/>
          <w:b/>
          <w:kern w:val="0"/>
          <w:sz w:val="32"/>
          <w:szCs w:val="32"/>
          <w:lang w:bidi="ar"/>
        </w:rPr>
      </w:pPr>
      <w:r>
        <w:rPr>
          <w:rFonts w:hint="eastAsia" w:ascii="楷体" w:hAnsi="楷体" w:eastAsia="楷体" w:cs="楷体"/>
          <w:b/>
          <w:kern w:val="0"/>
          <w:sz w:val="32"/>
          <w:szCs w:val="32"/>
          <w:lang w:bidi="ar"/>
        </w:rPr>
        <w:t xml:space="preserve">   6、项目办</w:t>
      </w:r>
    </w:p>
    <w:p>
      <w:pPr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主要负责：交通基础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设</w:t>
      </w:r>
      <w:r>
        <w:rPr>
          <w:rFonts w:hint="eastAsia" w:ascii="仿宋" w:hAnsi="仿宋" w:eastAsia="仿宋" w:cs="仿宋"/>
          <w:sz w:val="32"/>
          <w:szCs w:val="32"/>
        </w:rPr>
        <w:t>施建设，项目管理。</w:t>
      </w:r>
    </w:p>
    <w:p>
      <w:pPr>
        <w:widowControl/>
        <w:spacing w:line="360" w:lineRule="auto"/>
        <w:jc w:val="left"/>
        <w:rPr>
          <w:rFonts w:ascii="楷体" w:hAnsi="楷体" w:eastAsia="楷体" w:cs="楷体"/>
          <w:b/>
          <w:kern w:val="0"/>
          <w:sz w:val="32"/>
          <w:szCs w:val="32"/>
          <w:lang w:bidi="ar"/>
        </w:rPr>
      </w:pPr>
      <w:r>
        <w:rPr>
          <w:rFonts w:hint="eastAsia" w:ascii="楷体" w:hAnsi="楷体" w:eastAsia="楷体" w:cs="楷体"/>
          <w:b/>
          <w:kern w:val="0"/>
          <w:sz w:val="32"/>
          <w:szCs w:val="32"/>
          <w:lang w:bidi="ar"/>
        </w:rPr>
        <w:t xml:space="preserve">   7、规划科</w:t>
      </w:r>
    </w:p>
    <w:p>
      <w:pPr>
        <w:spacing w:line="560" w:lineRule="exact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主要负责：负责项目规划管理。</w:t>
      </w:r>
    </w:p>
    <w:p>
      <w:pPr>
        <w:spacing w:line="560" w:lineRule="exact"/>
        <w:rPr>
          <w:rFonts w:ascii="仿宋" w:hAnsi="仿宋" w:eastAsia="仿宋" w:cs="仿宋"/>
          <w:sz w:val="32"/>
          <w:szCs w:val="32"/>
        </w:rPr>
      </w:pPr>
    </w:p>
    <w:p>
      <w:pPr>
        <w:spacing w:line="560" w:lineRule="exact"/>
        <w:ind w:firstLine="64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二、部门预算安排的总体情况</w:t>
      </w:r>
    </w:p>
    <w:p>
      <w:pPr>
        <w:widowControl/>
        <w:spacing w:line="360" w:lineRule="auto"/>
        <w:ind w:firstLine="627" w:firstLineChars="196"/>
        <w:jc w:val="left"/>
        <w:rPr>
          <w:rFonts w:ascii="仿宋_GB2312" w:hAnsi="Calibri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Calibri" w:eastAsia="仿宋_GB2312" w:cs="仿宋_GB2312"/>
          <w:kern w:val="0"/>
          <w:sz w:val="32"/>
          <w:szCs w:val="32"/>
          <w:lang w:bidi="ar"/>
        </w:rPr>
        <w:t xml:space="preserve"> 2017年部门收入预算总额为3392.33万元，部门支出预算总额为3392.33万元（其中人员经费79.33万元，项目经费3313万元）。</w:t>
      </w:r>
      <w:r>
        <w:rPr>
          <w:rFonts w:ascii="仿宋_GB2312" w:hAnsi="Calibri" w:eastAsia="仿宋_GB2312" w:cs="仿宋_GB2312"/>
          <w:kern w:val="0"/>
          <w:sz w:val="32"/>
          <w:szCs w:val="32"/>
          <w:lang w:bidi="ar"/>
        </w:rPr>
        <w:t>2016年财政拨款收入</w:t>
      </w:r>
      <w:r>
        <w:rPr>
          <w:rFonts w:hint="eastAsia" w:ascii="仿宋_GB2312" w:hAnsi="Calibri" w:eastAsia="仿宋_GB2312" w:cs="仿宋_GB2312"/>
          <w:kern w:val="0"/>
          <w:sz w:val="32"/>
          <w:szCs w:val="32"/>
          <w:lang w:bidi="ar"/>
        </w:rPr>
        <w:t>1561.15</w:t>
      </w:r>
      <w:r>
        <w:rPr>
          <w:rFonts w:ascii="仿宋_GB2312" w:hAnsi="Calibri" w:eastAsia="仿宋_GB2312" w:cs="仿宋_GB2312"/>
          <w:kern w:val="0"/>
          <w:sz w:val="32"/>
          <w:szCs w:val="32"/>
          <w:lang w:bidi="ar"/>
        </w:rPr>
        <w:t>万元，总支出</w:t>
      </w:r>
      <w:r>
        <w:rPr>
          <w:rFonts w:hint="eastAsia" w:ascii="仿宋_GB2312" w:hAnsi="Calibri" w:eastAsia="仿宋_GB2312" w:cs="仿宋_GB2312"/>
          <w:kern w:val="0"/>
          <w:sz w:val="32"/>
          <w:szCs w:val="32"/>
          <w:lang w:bidi="ar"/>
        </w:rPr>
        <w:t>1561.15</w:t>
      </w:r>
      <w:r>
        <w:rPr>
          <w:rFonts w:ascii="仿宋_GB2312" w:hAnsi="Calibri" w:eastAsia="仿宋_GB2312" w:cs="仿宋_GB2312"/>
          <w:kern w:val="0"/>
          <w:sz w:val="32"/>
          <w:szCs w:val="32"/>
          <w:lang w:bidi="ar"/>
        </w:rPr>
        <w:t>万元</w:t>
      </w:r>
      <w:r>
        <w:rPr>
          <w:rFonts w:hint="eastAsia" w:ascii="仿宋_GB2312" w:hAnsi="Calibri" w:eastAsia="仿宋_GB2312" w:cs="仿宋_GB2312"/>
          <w:kern w:val="0"/>
          <w:sz w:val="32"/>
          <w:szCs w:val="32"/>
          <w:lang w:bidi="ar"/>
        </w:rPr>
        <w:t>，比去年增加了1831.18万元，主要原因城乡道路建设项目经费增多。</w:t>
      </w:r>
    </w:p>
    <w:p>
      <w:pPr>
        <w:spacing w:line="560" w:lineRule="exact"/>
        <w:ind w:firstLine="640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spacing w:line="560" w:lineRule="exact"/>
        <w:ind w:firstLine="640"/>
        <w:rPr>
          <w:rFonts w:ascii="楷体" w:hAnsi="楷体" w:eastAsia="楷体" w:cs="Times New Roman"/>
          <w:b/>
          <w:bCs/>
          <w:sz w:val="32"/>
          <w:szCs w:val="32"/>
        </w:rPr>
      </w:pPr>
      <w:r>
        <w:rPr>
          <w:rFonts w:ascii="楷体" w:hAnsi="楷体" w:eastAsia="楷体" w:cs="楷体"/>
          <w:b/>
          <w:bCs/>
          <w:sz w:val="32"/>
          <w:szCs w:val="32"/>
        </w:rPr>
        <w:t>1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、收入说明</w:t>
      </w:r>
    </w:p>
    <w:p>
      <w:pPr>
        <w:spacing w:line="560" w:lineRule="exact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2017年预算收入3392.33万元，其中：一般公共预算收入０万元，政府性基金收入０万元，国有资本经营收入０万元，事业收入０万元，其他收入０万元。</w:t>
      </w:r>
    </w:p>
    <w:p>
      <w:pPr>
        <w:spacing w:line="560" w:lineRule="exact"/>
        <w:ind w:firstLine="640"/>
        <w:rPr>
          <w:rFonts w:ascii="楷体" w:hAnsi="楷体" w:eastAsia="楷体" w:cs="楷体"/>
          <w:b/>
          <w:bCs/>
          <w:sz w:val="32"/>
          <w:szCs w:val="32"/>
        </w:rPr>
      </w:pPr>
      <w:r>
        <w:rPr>
          <w:rFonts w:ascii="楷体" w:hAnsi="楷体" w:eastAsia="楷体" w:cs="楷体"/>
          <w:b/>
          <w:bCs/>
          <w:sz w:val="32"/>
          <w:szCs w:val="32"/>
        </w:rPr>
        <w:t>2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、支出说明</w:t>
      </w:r>
    </w:p>
    <w:p>
      <w:pPr>
        <w:spacing w:line="560" w:lineRule="exact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2017年支出预算3392.33万元，其中基本支出79.33万元，包括人员经费和日常公用经费；项目支出3313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万元，主要为农村道路建设和交通运输；</w:t>
      </w:r>
    </w:p>
    <w:p>
      <w:pPr>
        <w:spacing w:line="560" w:lineRule="exact"/>
        <w:ind w:firstLine="640"/>
        <w:rPr>
          <w:rFonts w:ascii="楷体" w:hAnsi="楷体" w:eastAsia="楷体" w:cs="Times New Roman"/>
          <w:b/>
          <w:bCs/>
          <w:sz w:val="32"/>
          <w:szCs w:val="32"/>
        </w:rPr>
      </w:pPr>
      <w:r>
        <w:rPr>
          <w:rFonts w:ascii="楷体" w:hAnsi="楷体" w:eastAsia="楷体" w:cs="楷体"/>
          <w:b/>
          <w:bCs/>
          <w:sz w:val="32"/>
          <w:szCs w:val="32"/>
        </w:rPr>
        <w:t>3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、比上年增减变化情况</w:t>
      </w:r>
    </w:p>
    <w:p>
      <w:pPr>
        <w:spacing w:line="560" w:lineRule="exact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2017年预算收支安排3392.33万元，较2016年预算增加1831.18万元，其中：基本支出增加0万元，主要为增加0万元；项目支出增加1831.18万元，主要为道路建设项目支出。</w:t>
      </w:r>
    </w:p>
    <w:p>
      <w:pPr>
        <w:autoSpaceDE w:val="0"/>
        <w:autoSpaceDN w:val="0"/>
        <w:adjustRightInd w:val="0"/>
        <w:spacing w:line="560" w:lineRule="exact"/>
        <w:ind w:left="198" w:firstLine="640" w:firstLineChars="200"/>
        <w:jc w:val="left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三、机关运行经费安排情况</w:t>
      </w:r>
    </w:p>
    <w:p>
      <w:pPr>
        <w:widowControl/>
        <w:spacing w:line="360" w:lineRule="auto"/>
        <w:jc w:val="left"/>
        <w:rPr>
          <w:rFonts w:ascii="仿宋" w:hAnsi="仿宋" w:eastAsia="仿宋" w:cs="仿宋"/>
          <w:kern w:val="0"/>
          <w:sz w:val="32"/>
          <w:szCs w:val="32"/>
          <w:lang w:bidi="ar"/>
        </w:rPr>
      </w:pPr>
      <w:r>
        <w:rPr>
          <w:rFonts w:hint="eastAsia" w:ascii="宋体" w:hAnsi="宋体" w:eastAsia="宋体" w:cs="方正仿宋_GBK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机关运行经费共计安排79.33万元，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主要用于人员经费。其中工资福利支出44.45万元，对个人和家庭的补助支出34.88万元。</w:t>
      </w:r>
    </w:p>
    <w:p>
      <w:pPr>
        <w:autoSpaceDE w:val="0"/>
        <w:autoSpaceDN w:val="0"/>
        <w:adjustRightInd w:val="0"/>
        <w:spacing w:line="560" w:lineRule="exact"/>
        <w:ind w:left="198" w:firstLine="640" w:firstLineChars="200"/>
        <w:jc w:val="left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四、财政拨款“三公”经费预算情况及增减变化原因</w:t>
      </w:r>
    </w:p>
    <w:p>
      <w:pPr>
        <w:autoSpaceDE w:val="0"/>
        <w:autoSpaceDN w:val="0"/>
        <w:adjustRightInd w:val="0"/>
        <w:spacing w:line="560" w:lineRule="exact"/>
        <w:ind w:left="198"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2017年，我单位“三公”经费预算安排万元，其中因公出国（境）费万元；公务用车购置及运维费万元（其中：公务用车购置费为万元，公务用车运行费0万元)；公务接待费万元。与2016年持平，无增减变化。主要原因是公车拍卖所以减少。</w:t>
      </w:r>
    </w:p>
    <w:p>
      <w:pPr>
        <w:spacing w:line="560" w:lineRule="exact"/>
        <w:ind w:firstLine="64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五、绩效预算信息</w:t>
      </w:r>
    </w:p>
    <w:p>
      <w:pPr>
        <w:spacing w:line="560" w:lineRule="exact"/>
        <w:ind w:firstLine="643" w:firstLineChars="200"/>
        <w:jc w:val="left"/>
        <w:rPr>
          <w:rFonts w:ascii="楷体" w:hAnsi="楷体" w:eastAsia="楷体" w:cs="楷体"/>
          <w:b/>
          <w:bCs/>
          <w:sz w:val="32"/>
          <w:szCs w:val="32"/>
        </w:rPr>
      </w:pPr>
      <w:bookmarkStart w:id="0" w:name="_Toc471398463"/>
      <w:r>
        <w:rPr>
          <w:rFonts w:hint="eastAsia" w:ascii="楷体" w:hAnsi="楷体" w:eastAsia="楷体" w:cs="楷体"/>
          <w:b/>
          <w:bCs/>
          <w:sz w:val="32"/>
          <w:szCs w:val="32"/>
        </w:rPr>
        <w:t>总体绩效目标：</w:t>
      </w:r>
    </w:p>
    <w:p>
      <w:pPr>
        <w:spacing w:line="560" w:lineRule="exact"/>
        <w:ind w:firstLine="640" w:firstLineChars="200"/>
        <w:jc w:val="left"/>
        <w:rPr>
          <w:rFonts w:ascii="仿宋_GB2312" w:hAnsi="Times New Roman" w:eastAsia="仿宋_GB2312"/>
          <w:bCs/>
          <w:sz w:val="32"/>
          <w:szCs w:val="32"/>
        </w:rPr>
      </w:pPr>
      <w:r>
        <w:rPr>
          <w:rFonts w:hint="eastAsia" w:ascii="仿宋_GB2312" w:hAnsi="Times New Roman" w:eastAsia="仿宋_GB2312"/>
          <w:bCs/>
          <w:sz w:val="32"/>
          <w:szCs w:val="32"/>
        </w:rPr>
        <w:t>我局在县委、县政府和市交通运输局的正确领导下，认真落实各级绩效考核目标要求，切实改进作风，创新工作机制，提升服务效能；</w:t>
      </w:r>
    </w:p>
    <w:p>
      <w:pPr>
        <w:spacing w:line="560" w:lineRule="exact"/>
        <w:ind w:firstLine="643" w:firstLineChars="200"/>
        <w:jc w:val="left"/>
        <w:outlineLvl w:val="0"/>
        <w:rPr>
          <w:rFonts w:ascii="楷体_GB2312" w:hAnsi="Times New Roman" w:eastAsia="楷体_GB2312" w:cs="Times New Roman"/>
          <w:b/>
          <w:bCs/>
          <w:sz w:val="32"/>
          <w:szCs w:val="32"/>
        </w:rPr>
      </w:pPr>
      <w:r>
        <w:rPr>
          <w:rFonts w:hint="eastAsia" w:ascii="楷体_GB2312" w:hAnsi="黑体" w:eastAsia="楷体_GB2312" w:cs="楷体_GB2312"/>
          <w:b/>
          <w:bCs/>
          <w:sz w:val="32"/>
          <w:szCs w:val="32"/>
        </w:rPr>
        <w:t>部门职责及工作活动绩效目标指标：</w:t>
      </w:r>
    </w:p>
    <w:p>
      <w:pPr>
        <w:spacing w:line="560" w:lineRule="exact"/>
        <w:jc w:val="center"/>
        <w:outlineLvl w:val="0"/>
        <w:rPr>
          <w:rFonts w:ascii="方正小标宋_GBK" w:hAnsi="Times New Roman" w:eastAsia="方正小标宋_GBK" w:cs="Times New Roman"/>
          <w:sz w:val="32"/>
          <w:szCs w:val="32"/>
        </w:rPr>
      </w:pPr>
    </w:p>
    <w:p>
      <w:pPr>
        <w:spacing w:line="560" w:lineRule="exact"/>
        <w:jc w:val="center"/>
        <w:outlineLvl w:val="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部门职责-工作活动绩效目标</w:t>
      </w:r>
      <w:bookmarkEnd w:id="0"/>
    </w:p>
    <w:tbl>
      <w:tblPr>
        <w:tblStyle w:val="4"/>
        <w:tblW w:w="9620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7"/>
        <w:gridCol w:w="881"/>
        <w:gridCol w:w="2054"/>
        <w:gridCol w:w="2055"/>
        <w:gridCol w:w="978"/>
        <w:gridCol w:w="509"/>
        <w:gridCol w:w="509"/>
        <w:gridCol w:w="508"/>
        <w:gridCol w:w="50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tblHeader/>
          <w:jc w:val="center"/>
        </w:trPr>
        <w:tc>
          <w:tcPr>
            <w:tcW w:w="7585" w:type="dxa"/>
            <w:gridSpan w:val="5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方正小标宋_GBK" w:eastAsia="方正小标宋_GBK"/>
                <w:sz w:val="24"/>
              </w:rPr>
            </w:pPr>
            <w:r>
              <w:rPr>
                <w:rFonts w:ascii="方正小标宋_GBK" w:eastAsia="方正小标宋_GBK"/>
                <w:sz w:val="24"/>
              </w:rPr>
              <w:t>348</w:t>
            </w:r>
            <w:r>
              <w:rPr>
                <w:rFonts w:hint="eastAsia" w:ascii="方正小标宋_GBK" w:eastAsia="方正小标宋_GBK"/>
                <w:sz w:val="24"/>
              </w:rPr>
              <w:t>成安县交通局</w:t>
            </w:r>
          </w:p>
        </w:tc>
        <w:tc>
          <w:tcPr>
            <w:tcW w:w="2035" w:type="dxa"/>
            <w:gridSpan w:val="4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单位：万元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tblHeader/>
          <w:jc w:val="center"/>
        </w:trPr>
        <w:tc>
          <w:tcPr>
            <w:tcW w:w="1617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职责活动</w:t>
            </w:r>
          </w:p>
        </w:tc>
        <w:tc>
          <w:tcPr>
            <w:tcW w:w="881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年度预算数</w:t>
            </w:r>
          </w:p>
        </w:tc>
        <w:tc>
          <w:tcPr>
            <w:tcW w:w="2054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内容描述</w:t>
            </w:r>
          </w:p>
        </w:tc>
        <w:tc>
          <w:tcPr>
            <w:tcW w:w="2055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绩效目标</w:t>
            </w:r>
          </w:p>
        </w:tc>
        <w:tc>
          <w:tcPr>
            <w:tcW w:w="978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绩效指标</w:t>
            </w:r>
          </w:p>
        </w:tc>
        <w:tc>
          <w:tcPr>
            <w:tcW w:w="2035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评价标准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tblHeader/>
          <w:jc w:val="center"/>
        </w:trPr>
        <w:tc>
          <w:tcPr>
            <w:tcW w:w="1617" w:type="dxa"/>
            <w:vMerge w:val="continue"/>
            <w:vAlign w:val="center"/>
          </w:tcPr>
          <w:p>
            <w:pPr>
              <w:spacing w:line="300" w:lineRule="exact"/>
              <w:jc w:val="left"/>
              <w:outlineLvl w:val="0"/>
            </w:pPr>
          </w:p>
        </w:tc>
        <w:tc>
          <w:tcPr>
            <w:tcW w:w="881" w:type="dxa"/>
            <w:vMerge w:val="continue"/>
            <w:vAlign w:val="center"/>
          </w:tcPr>
          <w:p>
            <w:pPr>
              <w:spacing w:line="300" w:lineRule="exact"/>
              <w:jc w:val="left"/>
              <w:outlineLvl w:val="0"/>
            </w:pPr>
          </w:p>
        </w:tc>
        <w:tc>
          <w:tcPr>
            <w:tcW w:w="2054" w:type="dxa"/>
            <w:vMerge w:val="continue"/>
            <w:vAlign w:val="center"/>
          </w:tcPr>
          <w:p>
            <w:pPr>
              <w:spacing w:line="300" w:lineRule="exact"/>
              <w:jc w:val="left"/>
              <w:outlineLvl w:val="0"/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300" w:lineRule="exact"/>
              <w:jc w:val="left"/>
              <w:outlineLvl w:val="0"/>
            </w:pPr>
          </w:p>
        </w:tc>
        <w:tc>
          <w:tcPr>
            <w:tcW w:w="978" w:type="dxa"/>
            <w:vMerge w:val="continue"/>
            <w:vAlign w:val="center"/>
          </w:tcPr>
          <w:p>
            <w:pPr>
              <w:spacing w:line="300" w:lineRule="exact"/>
              <w:jc w:val="left"/>
              <w:outlineLvl w:val="0"/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优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良</w:t>
            </w: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中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5" w:hRule="atLeast"/>
          <w:jc w:val="center"/>
        </w:trPr>
        <w:tc>
          <w:tcPr>
            <w:tcW w:w="1617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交通运输基础设施养护、维护</w:t>
            </w:r>
          </w:p>
        </w:tc>
        <w:tc>
          <w:tcPr>
            <w:tcW w:w="881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3103.00</w:t>
            </w:r>
          </w:p>
        </w:tc>
        <w:tc>
          <w:tcPr>
            <w:tcW w:w="2054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组织交通运输基础设施养护、维护，对招投标活动进行监督管理。</w:t>
            </w:r>
          </w:p>
        </w:tc>
        <w:tc>
          <w:tcPr>
            <w:tcW w:w="2055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路基路面大中修公里；普通国省干线公路大中修里程公里，治理隐患里程公里；普通国省干线绿化里程公里，提升普通国省干线日常养护作业效率；对农村公路养护实施</w:t>
            </w:r>
            <w:r>
              <w:rPr>
                <w:rFonts w:hint="cs" w:ascii="方正书宋_GBK" w:eastAsia="方正书宋_GBK"/>
                <w:cs/>
              </w:rPr>
              <w:t>“</w:t>
            </w:r>
            <w:r>
              <w:rPr>
                <w:rFonts w:hint="eastAsia" w:ascii="方正书宋_GBK" w:eastAsia="方正书宋_GBK"/>
              </w:rPr>
              <w:t>以奖代补</w:t>
            </w:r>
            <w:r>
              <w:rPr>
                <w:rFonts w:hint="cs" w:ascii="方正书宋_GBK" w:eastAsia="方正书宋_GBK"/>
                <w:cs/>
              </w:rPr>
              <w:t>”</w:t>
            </w:r>
            <w:r>
              <w:rPr>
                <w:rFonts w:hint="eastAsia" w:ascii="方正书宋_GBK" w:eastAsia="方正书宋_GBK"/>
              </w:rPr>
              <w:t>；完善更新公路建设管理养护基础数据。</w:t>
            </w: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1617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　　普通国省干线公路养护</w:t>
            </w:r>
          </w:p>
        </w:tc>
        <w:tc>
          <w:tcPr>
            <w:tcW w:w="881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3103.00</w:t>
            </w:r>
          </w:p>
        </w:tc>
        <w:tc>
          <w:tcPr>
            <w:tcW w:w="2054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对普通国省干线公路主体及其附属设施、设备进行保养中修、大修、维护等。</w:t>
            </w:r>
          </w:p>
        </w:tc>
        <w:tc>
          <w:tcPr>
            <w:tcW w:w="2055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完成全年普通干线公路大中修里程</w:t>
            </w:r>
            <w:r>
              <w:rPr>
                <w:rFonts w:ascii="方正书宋_GBK" w:eastAsia="方正书宋_GBK"/>
              </w:rPr>
              <w:t xml:space="preserve"> </w:t>
            </w:r>
            <w:r>
              <w:rPr>
                <w:rFonts w:hint="eastAsia" w:ascii="方正书宋_GBK" w:eastAsia="方正书宋_GBK"/>
              </w:rPr>
              <w:t>公里</w:t>
            </w:r>
            <w:r>
              <w:rPr>
                <w:rFonts w:ascii="方正书宋_GBK" w:eastAsia="方正书宋_GBK"/>
              </w:rPr>
              <w:t>,</w:t>
            </w:r>
            <w:r>
              <w:rPr>
                <w:rFonts w:hint="eastAsia" w:ascii="方正书宋_GBK" w:eastAsia="方正书宋_GBK"/>
              </w:rPr>
              <w:t xml:space="preserve"> 治理隐患里程</w:t>
            </w:r>
            <w:r>
              <w:rPr>
                <w:rFonts w:ascii="方正书宋_GBK" w:eastAsia="方正书宋_GBK"/>
              </w:rPr>
              <w:t xml:space="preserve"> </w:t>
            </w:r>
            <w:r>
              <w:rPr>
                <w:rFonts w:hint="eastAsia" w:ascii="方正书宋_GBK" w:eastAsia="方正书宋_GBK"/>
              </w:rPr>
              <w:t>公里</w:t>
            </w:r>
            <w:r>
              <w:rPr>
                <w:rFonts w:ascii="方正书宋_GBK" w:eastAsia="方正书宋_GBK"/>
              </w:rPr>
              <w:t>,</w:t>
            </w:r>
            <w:r>
              <w:rPr>
                <w:rFonts w:hint="eastAsia" w:ascii="方正书宋_GBK" w:eastAsia="方正书宋_GBK"/>
              </w:rPr>
              <w:t>绿化里程</w:t>
            </w:r>
            <w:r>
              <w:rPr>
                <w:rFonts w:ascii="方正书宋_GBK" w:eastAsia="方正书宋_GBK"/>
              </w:rPr>
              <w:t xml:space="preserve"> </w:t>
            </w:r>
            <w:r>
              <w:rPr>
                <w:rFonts w:hint="eastAsia" w:ascii="方正书宋_GBK" w:eastAsia="方正书宋_GBK"/>
              </w:rPr>
              <w:t xml:space="preserve">公里， </w:t>
            </w: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公路技术状况指数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  <w:jc w:val="center"/>
        </w:trPr>
        <w:tc>
          <w:tcPr>
            <w:tcW w:w="1617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</w:p>
        </w:tc>
        <w:tc>
          <w:tcPr>
            <w:tcW w:w="881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4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年度普通干线公路养护工程量完成率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1" w:hRule="atLeast"/>
          <w:jc w:val="center"/>
        </w:trPr>
        <w:tc>
          <w:tcPr>
            <w:tcW w:w="1617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</w:p>
        </w:tc>
        <w:tc>
          <w:tcPr>
            <w:tcW w:w="881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4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年度普通干线公路养护投资完成率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  <w:jc w:val="center"/>
        </w:trPr>
        <w:tc>
          <w:tcPr>
            <w:tcW w:w="1617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</w:p>
        </w:tc>
        <w:tc>
          <w:tcPr>
            <w:tcW w:w="881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4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恢复设计功能（恢复率）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1" w:hRule="atLeast"/>
          <w:jc w:val="center"/>
        </w:trPr>
        <w:tc>
          <w:tcPr>
            <w:tcW w:w="1617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　　农村公路养护以奖代补</w:t>
            </w:r>
          </w:p>
        </w:tc>
        <w:tc>
          <w:tcPr>
            <w:tcW w:w="881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4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通过以奖代补等形式对农村公路保养与维护进行资金补助，引导带动各地加强农村公路养护。</w:t>
            </w:r>
          </w:p>
        </w:tc>
        <w:tc>
          <w:tcPr>
            <w:tcW w:w="2055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恢复、提升农村公路原有技术指标，维护、完善交通工程、安全设施、服务管理等附属设施，保持良好的技术状况。</w:t>
            </w: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年度农村公路养护工程量完成率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1" w:hRule="atLeast"/>
          <w:jc w:val="center"/>
        </w:trPr>
        <w:tc>
          <w:tcPr>
            <w:tcW w:w="1617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</w:p>
        </w:tc>
        <w:tc>
          <w:tcPr>
            <w:tcW w:w="881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4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年度农村公路养护投资完成率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  <w:jc w:val="center"/>
        </w:trPr>
        <w:tc>
          <w:tcPr>
            <w:tcW w:w="1617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　　公路建设管理养护基础数据采集</w:t>
            </w:r>
          </w:p>
        </w:tc>
        <w:tc>
          <w:tcPr>
            <w:tcW w:w="881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4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通过公路各项指标地理信息、数据采集及桥梁隧道检测、交通量调查等方式，适时采集相关数据并及时更新；管理维护设备及数据采集信息系统。</w:t>
            </w:r>
          </w:p>
        </w:tc>
        <w:tc>
          <w:tcPr>
            <w:tcW w:w="2055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按时、保质、保量完成数据采集分析，为公路管理提供依据和支持。</w:t>
            </w: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公路基础信息数据使用率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  <w:jc w:val="center"/>
        </w:trPr>
        <w:tc>
          <w:tcPr>
            <w:tcW w:w="1617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</w:p>
        </w:tc>
        <w:tc>
          <w:tcPr>
            <w:tcW w:w="881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4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公路基础信息数据更新率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617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　　公路、水运工程养护监督和管理</w:t>
            </w:r>
          </w:p>
        </w:tc>
        <w:tc>
          <w:tcPr>
            <w:tcW w:w="881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4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对公路、水运工程及其设施养护工程质量安全及招投标活动进行监督和管理。</w:t>
            </w:r>
          </w:p>
        </w:tc>
        <w:tc>
          <w:tcPr>
            <w:tcW w:w="2055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各项业务顺利开展，按时完成工作。</w:t>
            </w: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项目质量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1617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</w:p>
        </w:tc>
        <w:tc>
          <w:tcPr>
            <w:tcW w:w="881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4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工作质量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8" w:hRule="atLeast"/>
          <w:jc w:val="center"/>
        </w:trPr>
        <w:tc>
          <w:tcPr>
            <w:tcW w:w="1617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交通运输管理</w:t>
            </w:r>
          </w:p>
        </w:tc>
        <w:tc>
          <w:tcPr>
            <w:tcW w:w="881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210.00</w:t>
            </w:r>
          </w:p>
        </w:tc>
        <w:tc>
          <w:tcPr>
            <w:tcW w:w="2054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承担全县综合运输体系的规划协调，指导城乡客运及有关设施规划和管理，对全县公路及其设施的建设和养护进行管理，指导出租汽车行业管理工作。</w:t>
            </w:r>
          </w:p>
        </w:tc>
        <w:tc>
          <w:tcPr>
            <w:tcW w:w="2055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保障道路通畅，完成运输生产任务，确保安全生产，提高服务保障水平。</w:t>
            </w: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617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　　公路管理</w:t>
            </w:r>
          </w:p>
        </w:tc>
        <w:tc>
          <w:tcPr>
            <w:tcW w:w="881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4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对公路建设、养护、运营及路政、治理超限超载进行管理。审批公路建设项目施工图并进行现场管理，依法行使公路方面行政处罚权，对全县公路超限治理进行监督管理。</w:t>
            </w:r>
          </w:p>
        </w:tc>
        <w:tc>
          <w:tcPr>
            <w:tcW w:w="2055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 xml:space="preserve"> 缓解繁忙路段交通压力；维护路产路权，治理超限运输，保障通行能力，提高服务水平</w:t>
            </w: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超限超载率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617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</w:p>
        </w:tc>
        <w:tc>
          <w:tcPr>
            <w:tcW w:w="881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4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审批完成率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1" w:hRule="atLeast"/>
          <w:jc w:val="center"/>
        </w:trPr>
        <w:tc>
          <w:tcPr>
            <w:tcW w:w="1617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</w:p>
        </w:tc>
        <w:tc>
          <w:tcPr>
            <w:tcW w:w="881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4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安全生产维稳控制目标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1617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　　道路运输管理</w:t>
            </w:r>
          </w:p>
        </w:tc>
        <w:tc>
          <w:tcPr>
            <w:tcW w:w="881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210.00</w:t>
            </w:r>
          </w:p>
        </w:tc>
        <w:tc>
          <w:tcPr>
            <w:tcW w:w="2054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对全县道路旅客运输、货物运输、从业人员、道路运输相关业务进行行业管理、市场监管及安全检查，依法行使道路运输行政许可、行政处罚强制权，监督检查有关道路运输法律法规的执行情况，对全县货运源头治超工作进行监督检查。</w:t>
            </w:r>
          </w:p>
        </w:tc>
        <w:tc>
          <w:tcPr>
            <w:tcW w:w="2055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旅客周转量人公里，公路货物周转量吨公里。</w:t>
            </w: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安全生产控制目标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617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</w:p>
        </w:tc>
        <w:tc>
          <w:tcPr>
            <w:tcW w:w="881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4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超限超载率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9" w:hRule="atLeast"/>
          <w:jc w:val="center"/>
        </w:trPr>
        <w:tc>
          <w:tcPr>
            <w:tcW w:w="1617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</w:p>
        </w:tc>
        <w:tc>
          <w:tcPr>
            <w:tcW w:w="881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4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年营业性客货运周转量目标完成率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617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　　城市客运管理</w:t>
            </w:r>
          </w:p>
        </w:tc>
        <w:tc>
          <w:tcPr>
            <w:tcW w:w="881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4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对全县客运（含公共汽电车、出租汽车、汽车租赁）进行行业管理。</w:t>
            </w:r>
          </w:p>
        </w:tc>
        <w:tc>
          <w:tcPr>
            <w:tcW w:w="2055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客运管理业务顺利开展，按时完成工作。并保障行业安全稳与稳定。</w:t>
            </w: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乘客满意率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  <w:jc w:val="center"/>
        </w:trPr>
        <w:tc>
          <w:tcPr>
            <w:tcW w:w="1617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</w:p>
        </w:tc>
        <w:tc>
          <w:tcPr>
            <w:tcW w:w="881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4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安全生产维稳控制目标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617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地方成品油价格和税费改革</w:t>
            </w:r>
          </w:p>
        </w:tc>
        <w:tc>
          <w:tcPr>
            <w:tcW w:w="881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4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油价更好的控制，税费进一步完善</w:t>
            </w:r>
            <w:bookmarkStart w:id="2" w:name="_GoBack"/>
            <w:bookmarkEnd w:id="2"/>
          </w:p>
        </w:tc>
        <w:tc>
          <w:tcPr>
            <w:tcW w:w="2055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使成品油价格和税费得到稳固的改革目标</w:t>
            </w: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  <w:jc w:val="center"/>
        </w:trPr>
        <w:tc>
          <w:tcPr>
            <w:tcW w:w="1617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　　成品油和税费改革措施</w:t>
            </w:r>
          </w:p>
        </w:tc>
        <w:tc>
          <w:tcPr>
            <w:tcW w:w="881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4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按照上级要求，对地方成品油和税费进行改革</w:t>
            </w:r>
          </w:p>
        </w:tc>
        <w:tc>
          <w:tcPr>
            <w:tcW w:w="2055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使成品油价格和税费得到稳固的改革目标</w:t>
            </w: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油价和税费改革得到的效益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  <w:jc w:val="center"/>
        </w:trPr>
        <w:tc>
          <w:tcPr>
            <w:tcW w:w="1617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交通政务管理</w:t>
            </w:r>
          </w:p>
        </w:tc>
        <w:tc>
          <w:tcPr>
            <w:tcW w:w="881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4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负责交通运输综合交通运输体系建设，综合业务管理和综合事物管理。</w:t>
            </w:r>
          </w:p>
        </w:tc>
        <w:tc>
          <w:tcPr>
            <w:tcW w:w="2055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机动车维修与检测人员考试</w:t>
            </w:r>
            <w:r>
              <w:rPr>
                <w:rFonts w:ascii="方正书宋_GBK" w:eastAsia="方正书宋_GBK"/>
              </w:rPr>
              <w:t xml:space="preserve"> </w:t>
            </w:r>
            <w:r>
              <w:rPr>
                <w:rFonts w:hint="eastAsia" w:ascii="方正书宋_GBK" w:eastAsia="方正书宋_GBK"/>
              </w:rPr>
              <w:t>人次，信息管理系统正常运行，修订公路定额，应急事项处理及时，各项事务运行正常。</w:t>
            </w: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  <w:jc w:val="center"/>
        </w:trPr>
        <w:tc>
          <w:tcPr>
            <w:tcW w:w="1617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　　综合业务管理</w:t>
            </w:r>
          </w:p>
        </w:tc>
        <w:tc>
          <w:tcPr>
            <w:tcW w:w="881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4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指导交通运输行业继续教育和中等专业技术教育，开展行业干部教育培训。指导行业体制改革、安全生产和应急管理等</w:t>
            </w:r>
          </w:p>
        </w:tc>
        <w:tc>
          <w:tcPr>
            <w:tcW w:w="2055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保障各项业务工作畅通</w:t>
            </w: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综合业务保障率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98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86</w:t>
            </w: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74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59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7" w:hRule="atLeast"/>
          <w:jc w:val="center"/>
        </w:trPr>
        <w:tc>
          <w:tcPr>
            <w:tcW w:w="1617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交通运输基础设施建设</w:t>
            </w:r>
          </w:p>
        </w:tc>
        <w:tc>
          <w:tcPr>
            <w:tcW w:w="881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4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按县政府规定权限审批、核准县规划内和年度计划规模内的固定资产投资项目，完成交通基础设施投资；对重点工程建设、工程质量和安全生产进行监管，对招投标活动进行监督管理。</w:t>
            </w:r>
          </w:p>
        </w:tc>
        <w:tc>
          <w:tcPr>
            <w:tcW w:w="2055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 xml:space="preserve"> 普通干线公路投资总额亿元，在建里程公里；农村公路投资总额亿元，新增里程公里；保障交通基础设施建设项目质量；按时偿还到期公路建设贷款，无贷款违约。</w:t>
            </w: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  <w:jc w:val="center"/>
        </w:trPr>
        <w:tc>
          <w:tcPr>
            <w:tcW w:w="1617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　　普通国省干线公路建设</w:t>
            </w:r>
          </w:p>
        </w:tc>
        <w:tc>
          <w:tcPr>
            <w:tcW w:w="881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4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安排补助资金，组织实施各项普通国省干线公路建设，完成投资任务。</w:t>
            </w:r>
          </w:p>
        </w:tc>
        <w:tc>
          <w:tcPr>
            <w:tcW w:w="2055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完成全年普通干线公路投资</w:t>
            </w:r>
            <w:r>
              <w:rPr>
                <w:rFonts w:ascii="方正书宋_GBK" w:eastAsia="方正书宋_GBK"/>
              </w:rPr>
              <w:t xml:space="preserve"> </w:t>
            </w:r>
            <w:r>
              <w:rPr>
                <w:rFonts w:hint="eastAsia" w:ascii="方正书宋_GBK" w:eastAsia="方正书宋_GBK"/>
              </w:rPr>
              <w:t xml:space="preserve"> </w:t>
            </w: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年度普通干线公路建设项目工程质量合格率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96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80</w:t>
            </w: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69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58</w:t>
            </w:r>
          </w:p>
        </w:tc>
      </w:tr>
    </w:tbl>
    <w:p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六、政府采购预算情况</w:t>
      </w:r>
    </w:p>
    <w:p>
      <w:pPr>
        <w:spacing w:line="560" w:lineRule="exact"/>
        <w:outlineLvl w:val="0"/>
        <w:rPr>
          <w:rFonts w:ascii="宋体" w:hAnsi="宋体" w:eastAsia="宋体" w:cs="Times New Roman"/>
          <w:sz w:val="32"/>
          <w:szCs w:val="32"/>
        </w:rPr>
      </w:pPr>
      <w:bookmarkStart w:id="1" w:name="_Toc471398468"/>
      <w:r>
        <w:rPr>
          <w:rFonts w:ascii="Times New Roman" w:hAnsi="Times New Roman" w:eastAsia="方正仿宋_GBK" w:cs="Times New Roman"/>
          <w:sz w:val="32"/>
          <w:szCs w:val="32"/>
        </w:rPr>
        <w:t xml:space="preserve">   </w:t>
      </w:r>
      <w:r>
        <w:rPr>
          <w:rFonts w:ascii="宋体" w:hAnsi="宋体" w:eastAsia="宋体" w:cs="Times New Roman"/>
          <w:sz w:val="32"/>
          <w:szCs w:val="32"/>
        </w:rPr>
        <w:t>2017</w:t>
      </w:r>
      <w:r>
        <w:rPr>
          <w:rFonts w:hint="eastAsia" w:ascii="宋体" w:hAnsi="宋体" w:eastAsia="宋体" w:cs="方正仿宋_GBK"/>
          <w:sz w:val="32"/>
          <w:szCs w:val="32"/>
        </w:rPr>
        <w:t>年，我单位安排政府采购预算9.37万元。具体内容见下表。</w:t>
      </w:r>
    </w:p>
    <w:p>
      <w:pPr>
        <w:spacing w:line="560" w:lineRule="exact"/>
        <w:jc w:val="center"/>
        <w:outlineLvl w:val="0"/>
        <w:rPr>
          <w:rFonts w:ascii="宋体" w:hAnsi="宋体" w:eastAsia="宋体" w:cs="方正小标宋_GBK"/>
          <w:sz w:val="32"/>
          <w:szCs w:val="32"/>
        </w:rPr>
      </w:pPr>
      <w:r>
        <w:rPr>
          <w:rFonts w:hint="eastAsia" w:ascii="宋体" w:hAnsi="宋体" w:eastAsia="宋体" w:cs="方正小标宋_GBK"/>
          <w:sz w:val="32"/>
          <w:szCs w:val="32"/>
        </w:rPr>
        <w:t>部门政府采购预算</w:t>
      </w:r>
      <w:bookmarkEnd w:id="1"/>
    </w:p>
    <w:p>
      <w:pPr>
        <w:spacing w:line="560" w:lineRule="exact"/>
        <w:jc w:val="center"/>
        <w:outlineLvl w:val="0"/>
        <w:rPr>
          <w:rFonts w:ascii="宋体" w:hAnsi="宋体" w:eastAsia="宋体" w:cs="方正小标宋_GBK"/>
          <w:sz w:val="32"/>
          <w:szCs w:val="32"/>
        </w:rPr>
      </w:pPr>
    </w:p>
    <w:p>
      <w:pPr>
        <w:spacing w:line="560" w:lineRule="exact"/>
        <w:jc w:val="center"/>
        <w:outlineLvl w:val="0"/>
        <w:rPr>
          <w:rFonts w:ascii="宋体" w:hAnsi="宋体" w:eastAsia="宋体" w:cs="方正小标宋_GBK"/>
          <w:sz w:val="32"/>
          <w:szCs w:val="32"/>
        </w:rPr>
      </w:pPr>
    </w:p>
    <w:tbl>
      <w:tblPr>
        <w:tblStyle w:val="4"/>
        <w:tblW w:w="9060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4"/>
        <w:gridCol w:w="667"/>
        <w:gridCol w:w="549"/>
        <w:gridCol w:w="873"/>
        <w:gridCol w:w="549"/>
        <w:gridCol w:w="549"/>
        <w:gridCol w:w="564"/>
        <w:gridCol w:w="562"/>
        <w:gridCol w:w="562"/>
        <w:gridCol w:w="562"/>
        <w:gridCol w:w="511"/>
        <w:gridCol w:w="551"/>
        <w:gridCol w:w="551"/>
        <w:gridCol w:w="51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5245" w:type="dxa"/>
            <w:gridSpan w:val="7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方正小标宋_GBK"/>
                <w:sz w:val="24"/>
                <w:szCs w:val="24"/>
              </w:rPr>
              <w:t>部门（单位）名称</w:t>
            </w:r>
          </w:p>
        </w:tc>
        <w:tc>
          <w:tcPr>
            <w:tcW w:w="3815" w:type="dxa"/>
            <w:gridSpan w:val="7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方正书宋_GBK"/>
                <w:sz w:val="24"/>
                <w:szCs w:val="24"/>
              </w:rPr>
              <w:t>单位：万元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161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政府采购项目来源</w:t>
            </w:r>
          </w:p>
        </w:tc>
        <w:tc>
          <w:tcPr>
            <w:tcW w:w="549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采购物品名称</w:t>
            </w:r>
          </w:p>
        </w:tc>
        <w:tc>
          <w:tcPr>
            <w:tcW w:w="873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政府采购目录序号</w:t>
            </w:r>
          </w:p>
        </w:tc>
        <w:tc>
          <w:tcPr>
            <w:tcW w:w="549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数量</w:t>
            </w:r>
            <w:r>
              <w:rPr>
                <w:rFonts w:ascii="宋体" w:hAnsi="宋体" w:eastAsia="宋体" w:cs="方正书宋_GBK"/>
                <w:b/>
                <w:bCs/>
              </w:rPr>
              <w:t xml:space="preserve">  </w:t>
            </w:r>
            <w:r>
              <w:rPr>
                <w:rFonts w:hint="eastAsia" w:ascii="宋体" w:hAnsi="宋体" w:eastAsia="宋体" w:cs="方正书宋_GBK"/>
                <w:b/>
                <w:bCs/>
              </w:rPr>
              <w:t>单位</w:t>
            </w:r>
          </w:p>
        </w:tc>
        <w:tc>
          <w:tcPr>
            <w:tcW w:w="549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数量</w:t>
            </w:r>
          </w:p>
        </w:tc>
        <w:tc>
          <w:tcPr>
            <w:tcW w:w="564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单价</w:t>
            </w:r>
          </w:p>
        </w:tc>
        <w:tc>
          <w:tcPr>
            <w:tcW w:w="3815" w:type="dxa"/>
            <w:gridSpan w:val="7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政府采购金额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494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项目名称</w:t>
            </w:r>
          </w:p>
        </w:tc>
        <w:tc>
          <w:tcPr>
            <w:tcW w:w="667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预算资金</w:t>
            </w:r>
          </w:p>
        </w:tc>
        <w:tc>
          <w:tcPr>
            <w:tcW w:w="549" w:type="dxa"/>
            <w:vMerge w:val="continue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873" w:type="dxa"/>
            <w:vMerge w:val="continue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549" w:type="dxa"/>
            <w:vMerge w:val="continue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549" w:type="dxa"/>
            <w:vMerge w:val="continue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564" w:type="dxa"/>
            <w:vMerge w:val="continue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562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总计</w:t>
            </w:r>
          </w:p>
        </w:tc>
        <w:tc>
          <w:tcPr>
            <w:tcW w:w="2737" w:type="dxa"/>
            <w:gridSpan w:val="5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当年部门预算安排资金</w:t>
            </w:r>
          </w:p>
        </w:tc>
        <w:tc>
          <w:tcPr>
            <w:tcW w:w="516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其他渠道资金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494" w:type="dxa"/>
            <w:vMerge w:val="continue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667" w:type="dxa"/>
            <w:vMerge w:val="continue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549" w:type="dxa"/>
            <w:vMerge w:val="continue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873" w:type="dxa"/>
            <w:vMerge w:val="continue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549" w:type="dxa"/>
            <w:vMerge w:val="continue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549" w:type="dxa"/>
            <w:vMerge w:val="continue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564" w:type="dxa"/>
            <w:vMerge w:val="continue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562" w:type="dxa"/>
            <w:vMerge w:val="continue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562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合计</w:t>
            </w:r>
          </w:p>
        </w:tc>
        <w:tc>
          <w:tcPr>
            <w:tcW w:w="562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一般公共预算拨款</w:t>
            </w:r>
          </w:p>
        </w:tc>
        <w:tc>
          <w:tcPr>
            <w:tcW w:w="511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基金预算拨款</w:t>
            </w:r>
          </w:p>
        </w:tc>
        <w:tc>
          <w:tcPr>
            <w:tcW w:w="551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财政专户核拨</w:t>
            </w:r>
          </w:p>
        </w:tc>
        <w:tc>
          <w:tcPr>
            <w:tcW w:w="551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其他来源收入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4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合　计</w:t>
            </w:r>
          </w:p>
        </w:tc>
        <w:tc>
          <w:tcPr>
            <w:tcW w:w="667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</w:p>
        </w:tc>
        <w:tc>
          <w:tcPr>
            <w:tcW w:w="549" w:type="dxa"/>
            <w:vAlign w:val="center"/>
          </w:tcPr>
          <w:p>
            <w:pPr>
              <w:spacing w:line="560" w:lineRule="exact"/>
              <w:jc w:val="left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电脑</w:t>
            </w:r>
          </w:p>
        </w:tc>
        <w:tc>
          <w:tcPr>
            <w:tcW w:w="873" w:type="dxa"/>
            <w:vAlign w:val="center"/>
          </w:tcPr>
          <w:p>
            <w:pPr>
              <w:spacing w:line="560" w:lineRule="exact"/>
              <w:jc w:val="left"/>
              <w:rPr>
                <w:rFonts w:ascii="宋体" w:hAnsi="宋体" w:eastAsia="宋体" w:cs="Times New Roman"/>
                <w:b/>
                <w:bCs/>
              </w:rPr>
            </w:pPr>
          </w:p>
        </w:tc>
        <w:tc>
          <w:tcPr>
            <w:tcW w:w="549" w:type="dxa"/>
            <w:vAlign w:val="center"/>
          </w:tcPr>
          <w:p>
            <w:pPr>
              <w:spacing w:line="560" w:lineRule="exact"/>
              <w:jc w:val="left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台</w:t>
            </w:r>
          </w:p>
        </w:tc>
        <w:tc>
          <w:tcPr>
            <w:tcW w:w="549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15</w:t>
            </w:r>
          </w:p>
        </w:tc>
        <w:tc>
          <w:tcPr>
            <w:tcW w:w="564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</w:p>
        </w:tc>
        <w:tc>
          <w:tcPr>
            <w:tcW w:w="562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6.9</w:t>
            </w:r>
          </w:p>
        </w:tc>
        <w:tc>
          <w:tcPr>
            <w:tcW w:w="562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9.37</w:t>
            </w:r>
          </w:p>
        </w:tc>
        <w:tc>
          <w:tcPr>
            <w:tcW w:w="562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</w:p>
        </w:tc>
        <w:tc>
          <w:tcPr>
            <w:tcW w:w="511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</w:p>
        </w:tc>
        <w:tc>
          <w:tcPr>
            <w:tcW w:w="551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</w:p>
        </w:tc>
        <w:tc>
          <w:tcPr>
            <w:tcW w:w="551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9.37</w:t>
            </w:r>
          </w:p>
        </w:tc>
        <w:tc>
          <w:tcPr>
            <w:tcW w:w="516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4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</w:p>
        </w:tc>
        <w:tc>
          <w:tcPr>
            <w:tcW w:w="667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</w:p>
        </w:tc>
        <w:tc>
          <w:tcPr>
            <w:tcW w:w="549" w:type="dxa"/>
            <w:vAlign w:val="center"/>
          </w:tcPr>
          <w:p>
            <w:pPr>
              <w:spacing w:line="560" w:lineRule="exact"/>
              <w:jc w:val="left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复印机</w:t>
            </w:r>
          </w:p>
        </w:tc>
        <w:tc>
          <w:tcPr>
            <w:tcW w:w="873" w:type="dxa"/>
            <w:vAlign w:val="center"/>
          </w:tcPr>
          <w:p>
            <w:pPr>
              <w:spacing w:line="560" w:lineRule="exact"/>
              <w:jc w:val="left"/>
              <w:rPr>
                <w:rFonts w:ascii="宋体" w:hAnsi="宋体" w:eastAsia="宋体" w:cs="Times New Roman"/>
                <w:b/>
                <w:bCs/>
              </w:rPr>
            </w:pPr>
          </w:p>
        </w:tc>
        <w:tc>
          <w:tcPr>
            <w:tcW w:w="549" w:type="dxa"/>
            <w:vAlign w:val="center"/>
          </w:tcPr>
          <w:p>
            <w:pPr>
              <w:spacing w:line="560" w:lineRule="exact"/>
              <w:jc w:val="left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台</w:t>
            </w:r>
          </w:p>
        </w:tc>
        <w:tc>
          <w:tcPr>
            <w:tcW w:w="549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2</w:t>
            </w:r>
          </w:p>
        </w:tc>
        <w:tc>
          <w:tcPr>
            <w:tcW w:w="564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</w:p>
        </w:tc>
        <w:tc>
          <w:tcPr>
            <w:tcW w:w="562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1.1</w:t>
            </w:r>
          </w:p>
        </w:tc>
        <w:tc>
          <w:tcPr>
            <w:tcW w:w="562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</w:p>
        </w:tc>
        <w:tc>
          <w:tcPr>
            <w:tcW w:w="562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</w:p>
        </w:tc>
        <w:tc>
          <w:tcPr>
            <w:tcW w:w="511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</w:p>
        </w:tc>
        <w:tc>
          <w:tcPr>
            <w:tcW w:w="551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</w:p>
        </w:tc>
        <w:tc>
          <w:tcPr>
            <w:tcW w:w="551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</w:p>
        </w:tc>
        <w:tc>
          <w:tcPr>
            <w:tcW w:w="516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4" w:type="dxa"/>
            <w:vAlign w:val="center"/>
          </w:tcPr>
          <w:p>
            <w:pPr>
              <w:spacing w:line="560" w:lineRule="exact"/>
              <w:jc w:val="left"/>
              <w:rPr>
                <w:rFonts w:ascii="宋体" w:hAnsi="宋体" w:eastAsia="宋体" w:cs="Times New Roman"/>
              </w:rPr>
            </w:pPr>
          </w:p>
        </w:tc>
        <w:tc>
          <w:tcPr>
            <w:tcW w:w="667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</w:rPr>
            </w:pPr>
          </w:p>
        </w:tc>
        <w:tc>
          <w:tcPr>
            <w:tcW w:w="549" w:type="dxa"/>
            <w:vAlign w:val="center"/>
          </w:tcPr>
          <w:p>
            <w:pPr>
              <w:spacing w:line="560" w:lineRule="exact"/>
              <w:jc w:val="left"/>
              <w:rPr>
                <w:rFonts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打印机</w:t>
            </w:r>
          </w:p>
        </w:tc>
        <w:tc>
          <w:tcPr>
            <w:tcW w:w="873" w:type="dxa"/>
            <w:vAlign w:val="center"/>
          </w:tcPr>
          <w:p>
            <w:pPr>
              <w:spacing w:line="560" w:lineRule="exact"/>
              <w:jc w:val="left"/>
              <w:rPr>
                <w:rFonts w:ascii="宋体" w:hAnsi="宋体" w:eastAsia="宋体" w:cs="Times New Roman"/>
              </w:rPr>
            </w:pPr>
          </w:p>
        </w:tc>
        <w:tc>
          <w:tcPr>
            <w:tcW w:w="549" w:type="dxa"/>
            <w:vAlign w:val="center"/>
          </w:tcPr>
          <w:p>
            <w:pPr>
              <w:spacing w:line="560" w:lineRule="exact"/>
              <w:jc w:val="left"/>
              <w:rPr>
                <w:rFonts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台</w:t>
            </w:r>
          </w:p>
        </w:tc>
        <w:tc>
          <w:tcPr>
            <w:tcW w:w="549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5</w:t>
            </w:r>
          </w:p>
        </w:tc>
        <w:tc>
          <w:tcPr>
            <w:tcW w:w="564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</w:rPr>
            </w:pPr>
          </w:p>
        </w:tc>
        <w:tc>
          <w:tcPr>
            <w:tcW w:w="562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1.02</w:t>
            </w:r>
          </w:p>
        </w:tc>
        <w:tc>
          <w:tcPr>
            <w:tcW w:w="562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</w:rPr>
            </w:pPr>
          </w:p>
        </w:tc>
        <w:tc>
          <w:tcPr>
            <w:tcW w:w="562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</w:rPr>
            </w:pPr>
          </w:p>
        </w:tc>
        <w:tc>
          <w:tcPr>
            <w:tcW w:w="511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</w:rPr>
            </w:pPr>
          </w:p>
        </w:tc>
        <w:tc>
          <w:tcPr>
            <w:tcW w:w="551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</w:rPr>
            </w:pPr>
          </w:p>
        </w:tc>
        <w:tc>
          <w:tcPr>
            <w:tcW w:w="551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</w:rPr>
            </w:pPr>
          </w:p>
        </w:tc>
        <w:tc>
          <w:tcPr>
            <w:tcW w:w="516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4" w:type="dxa"/>
            <w:vAlign w:val="center"/>
          </w:tcPr>
          <w:p>
            <w:pPr>
              <w:spacing w:line="560" w:lineRule="exact"/>
              <w:jc w:val="left"/>
              <w:rPr>
                <w:rFonts w:ascii="宋体" w:hAnsi="宋体" w:eastAsia="宋体" w:cs="Times New Roman"/>
              </w:rPr>
            </w:pPr>
          </w:p>
        </w:tc>
        <w:tc>
          <w:tcPr>
            <w:tcW w:w="667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</w:rPr>
            </w:pPr>
          </w:p>
        </w:tc>
        <w:tc>
          <w:tcPr>
            <w:tcW w:w="549" w:type="dxa"/>
            <w:vAlign w:val="center"/>
          </w:tcPr>
          <w:p>
            <w:pPr>
              <w:spacing w:line="560" w:lineRule="exact"/>
              <w:jc w:val="left"/>
              <w:rPr>
                <w:rFonts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摄像机</w:t>
            </w:r>
          </w:p>
        </w:tc>
        <w:tc>
          <w:tcPr>
            <w:tcW w:w="873" w:type="dxa"/>
            <w:vAlign w:val="center"/>
          </w:tcPr>
          <w:p>
            <w:pPr>
              <w:spacing w:line="560" w:lineRule="exact"/>
              <w:jc w:val="left"/>
              <w:rPr>
                <w:rFonts w:ascii="宋体" w:hAnsi="宋体" w:eastAsia="宋体" w:cs="Times New Roman"/>
              </w:rPr>
            </w:pPr>
          </w:p>
        </w:tc>
        <w:tc>
          <w:tcPr>
            <w:tcW w:w="549" w:type="dxa"/>
            <w:vAlign w:val="center"/>
          </w:tcPr>
          <w:p>
            <w:pPr>
              <w:spacing w:line="560" w:lineRule="exact"/>
              <w:jc w:val="left"/>
              <w:rPr>
                <w:rFonts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台</w:t>
            </w:r>
          </w:p>
        </w:tc>
        <w:tc>
          <w:tcPr>
            <w:tcW w:w="549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1</w:t>
            </w:r>
          </w:p>
        </w:tc>
        <w:tc>
          <w:tcPr>
            <w:tcW w:w="564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</w:rPr>
            </w:pPr>
          </w:p>
        </w:tc>
        <w:tc>
          <w:tcPr>
            <w:tcW w:w="562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0.35</w:t>
            </w:r>
          </w:p>
        </w:tc>
        <w:tc>
          <w:tcPr>
            <w:tcW w:w="562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</w:rPr>
            </w:pPr>
          </w:p>
        </w:tc>
        <w:tc>
          <w:tcPr>
            <w:tcW w:w="562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</w:rPr>
            </w:pPr>
          </w:p>
        </w:tc>
        <w:tc>
          <w:tcPr>
            <w:tcW w:w="511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</w:rPr>
            </w:pPr>
          </w:p>
        </w:tc>
        <w:tc>
          <w:tcPr>
            <w:tcW w:w="551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</w:rPr>
            </w:pPr>
          </w:p>
        </w:tc>
        <w:tc>
          <w:tcPr>
            <w:tcW w:w="551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</w:rPr>
            </w:pPr>
          </w:p>
        </w:tc>
        <w:tc>
          <w:tcPr>
            <w:tcW w:w="516" w:type="dxa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</w:rPr>
            </w:pPr>
          </w:p>
        </w:tc>
      </w:tr>
    </w:tbl>
    <w:p>
      <w:pPr>
        <w:autoSpaceDE w:val="0"/>
        <w:autoSpaceDN w:val="0"/>
        <w:adjustRightInd w:val="0"/>
        <w:spacing w:line="560" w:lineRule="exact"/>
        <w:ind w:left="198" w:firstLine="640" w:firstLineChars="200"/>
        <w:jc w:val="left"/>
        <w:rPr>
          <w:rFonts w:ascii="宋体" w:hAnsi="宋体" w:eastAsia="宋体" w:cs="Times New Roman"/>
          <w:sz w:val="32"/>
          <w:szCs w:val="32"/>
        </w:rPr>
      </w:pPr>
    </w:p>
    <w:p>
      <w:pPr>
        <w:autoSpaceDE w:val="0"/>
        <w:autoSpaceDN w:val="0"/>
        <w:adjustRightInd w:val="0"/>
        <w:spacing w:line="560" w:lineRule="exact"/>
        <w:ind w:left="198" w:firstLine="640" w:firstLineChars="200"/>
        <w:jc w:val="left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七、国有资产信息</w:t>
      </w:r>
    </w:p>
    <w:p>
      <w:pPr>
        <w:spacing w:line="560" w:lineRule="exact"/>
        <w:ind w:firstLine="640"/>
        <w:rPr>
          <w:rFonts w:ascii="仿宋_GB2312" w:hAnsi="黑体" w:eastAsia="仿宋_GB2312" w:cs="Times New Roman"/>
          <w:sz w:val="32"/>
          <w:szCs w:val="32"/>
        </w:rPr>
      </w:pPr>
      <w:r>
        <w:rPr>
          <w:rFonts w:hint="eastAsia" w:ascii="仿宋_GB2312" w:hAnsi="黑体" w:eastAsia="仿宋_GB2312" w:cs="仿宋_GB2312"/>
          <w:sz w:val="32"/>
          <w:szCs w:val="32"/>
        </w:rPr>
        <w:t>成安县交通运输部门（含所属单位）上年末固定资产金额为517.78万元，本年度拟购置固定资产主要为9.37万元。计算机设备、打印设备、空调、办公家具等，已列入政府采购预算。详见下表。</w:t>
      </w:r>
    </w:p>
    <w:tbl>
      <w:tblPr>
        <w:tblStyle w:val="4"/>
        <w:tblW w:w="9060" w:type="dxa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9"/>
        <w:gridCol w:w="855"/>
        <w:gridCol w:w="406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32"/>
                <w:szCs w:val="32"/>
              </w:rPr>
              <w:t>部门固定资产占用情况表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9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编制部门：成安县交通运输局</w:t>
            </w:r>
          </w:p>
        </w:tc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ind w:firstLine="550" w:firstLineChars="250"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截止时间：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2016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年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12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月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31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日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 xml:space="preserve">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4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</w:rPr>
              <w:t>项</w:t>
            </w:r>
            <w:r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</w:rPr>
              <w:t>目</w:t>
            </w:r>
          </w:p>
        </w:tc>
        <w:tc>
          <w:tcPr>
            <w:tcW w:w="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</w:rPr>
              <w:t>数量</w:t>
            </w:r>
          </w:p>
        </w:tc>
        <w:tc>
          <w:tcPr>
            <w:tcW w:w="40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</w:rPr>
              <w:t>价值（金额单位：万元）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41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资产总额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——</w:t>
            </w:r>
          </w:p>
        </w:tc>
        <w:tc>
          <w:tcPr>
            <w:tcW w:w="40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41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、房屋（平方米）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  <w:tc>
          <w:tcPr>
            <w:tcW w:w="40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340.43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41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其中：办公用房（平方米）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  <w:tc>
          <w:tcPr>
            <w:tcW w:w="40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41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、车辆（台、辆）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  <w:tc>
          <w:tcPr>
            <w:tcW w:w="40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63.05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41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、单价在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50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万元以上的设备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  <w:tc>
          <w:tcPr>
            <w:tcW w:w="40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41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、其他固定资产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  <w:tc>
          <w:tcPr>
            <w:tcW w:w="40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114.3</w:t>
            </w:r>
          </w:p>
        </w:tc>
      </w:tr>
    </w:tbl>
    <w:p>
      <w:pPr>
        <w:autoSpaceDE w:val="0"/>
        <w:autoSpaceDN w:val="0"/>
        <w:adjustRightInd w:val="0"/>
        <w:ind w:left="198" w:firstLine="640" w:firstLineChars="200"/>
        <w:jc w:val="left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八、名词解释</w:t>
      </w:r>
    </w:p>
    <w:p>
      <w:pPr>
        <w:widowControl/>
        <w:spacing w:line="360" w:lineRule="auto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  <w:lang w:bidi="ar"/>
        </w:rPr>
        <w:t>1、财政拨款收入：指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财政当年拨付的资金。</w:t>
      </w:r>
    </w:p>
    <w:p>
      <w:pPr>
        <w:widowControl/>
        <w:spacing w:line="360" w:lineRule="auto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 xml:space="preserve">2、“三公”经费：包括因公出国（境）费、公务接待费和公务用车购置及运行费。因公出国（境）费，指单位工作人员公务出国（境）的住宿费、差旅费、伙食补助费、杂费、培训费等支出。公务接待费，指单位按规定开支的各类公务接待（含外宾接待）支出。公务用车购置及运行费，指单位公务用车购置费及租用费、燃料费、维修费、等支出，公务用车指用于履行公务的机动车辆，包括领导干部专车、一般公务用车和执法执勤等业务用车。 </w:t>
      </w:r>
    </w:p>
    <w:p>
      <w:pPr>
        <w:widowControl/>
        <w:spacing w:line="360" w:lineRule="auto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3、年初结转和结余：指以前年度尚未完成，结转到本年仍按照原规定用途继续使用的资金，或项目已完成等产生的结余资金。  </w:t>
      </w:r>
    </w:p>
    <w:p>
      <w:pPr>
        <w:widowControl/>
        <w:spacing w:line="360" w:lineRule="auto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4、基本支出：指单位为了保障其正常运转、完成日常工作任务而发生的人员支出和公用支出。  </w:t>
      </w:r>
    </w:p>
    <w:p>
      <w:pPr>
        <w:autoSpaceDE w:val="0"/>
        <w:autoSpaceDN w:val="0"/>
        <w:adjustRightInd w:val="0"/>
        <w:jc w:val="left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5、项目支出：指单位为了特定的工作任务和事业发展目标，在基本支出之外所发生的支出。</w:t>
      </w:r>
    </w:p>
    <w:p>
      <w:pPr>
        <w:tabs>
          <w:tab w:val="left" w:pos="11490"/>
        </w:tabs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     九、其它需要说明的事项</w:t>
      </w:r>
    </w:p>
    <w:p>
      <w:pPr>
        <w:tabs>
          <w:tab w:val="left" w:pos="11490"/>
        </w:tabs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无其它需要说明的事项。</w:t>
      </w:r>
    </w:p>
    <w:p>
      <w:pPr>
        <w:spacing w:line="560" w:lineRule="exact"/>
        <w:ind w:firstLine="645"/>
        <w:rPr>
          <w:rFonts w:ascii="黑体" w:hAnsi="黑体" w:eastAsia="黑体" w:cs="Times New Roman"/>
          <w:sz w:val="32"/>
          <w:szCs w:val="32"/>
        </w:rPr>
      </w:pPr>
    </w:p>
    <w:p>
      <w:pPr>
        <w:spacing w:line="560" w:lineRule="exact"/>
        <w:ind w:firstLine="645"/>
        <w:rPr>
          <w:rFonts w:ascii="仿宋" w:hAnsi="仿宋" w:eastAsia="仿宋" w:cs="Times New Roman"/>
          <w:sz w:val="32"/>
          <w:szCs w:val="32"/>
        </w:rPr>
      </w:pPr>
    </w:p>
    <w:sectPr>
      <w:footerReference r:id="rId3" w:type="default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仿宋" w:hAnsi="仿宋" w:eastAsia="仿宋" w:cs="Times New Roman"/>
        <w:sz w:val="32"/>
        <w:szCs w:val="32"/>
      </w:rPr>
    </w:pPr>
    <w:r>
      <w:rPr>
        <w:rFonts w:ascii="仿宋" w:hAnsi="仿宋" w:eastAsia="仿宋" w:cs="仿宋"/>
        <w:sz w:val="32"/>
        <w:szCs w:val="32"/>
      </w:rPr>
      <w:fldChar w:fldCharType="begin"/>
    </w:r>
    <w:r>
      <w:rPr>
        <w:rFonts w:ascii="仿宋" w:hAnsi="仿宋" w:eastAsia="仿宋" w:cs="仿宋"/>
        <w:sz w:val="32"/>
        <w:szCs w:val="32"/>
      </w:rPr>
      <w:instrText xml:space="preserve">PAGE   \* MERGEFORMAT</w:instrText>
    </w:r>
    <w:r>
      <w:rPr>
        <w:rFonts w:ascii="仿宋" w:hAnsi="仿宋" w:eastAsia="仿宋" w:cs="仿宋"/>
        <w:sz w:val="32"/>
        <w:szCs w:val="32"/>
      </w:rPr>
      <w:fldChar w:fldCharType="separate"/>
    </w:r>
    <w:r>
      <w:rPr>
        <w:rFonts w:ascii="仿宋" w:hAnsi="仿宋" w:eastAsia="仿宋" w:cs="仿宋"/>
        <w:sz w:val="32"/>
        <w:szCs w:val="32"/>
        <w:lang w:val="zh-CN"/>
      </w:rPr>
      <w:t>1</w:t>
    </w:r>
    <w:r>
      <w:rPr>
        <w:rFonts w:ascii="仿宋" w:hAnsi="仿宋" w:eastAsia="仿宋" w:cs="仿宋"/>
        <w:sz w:val="32"/>
        <w:szCs w:val="32"/>
      </w:rPr>
      <w:fldChar w:fldCharType="end"/>
    </w:r>
  </w:p>
  <w:p>
    <w:pPr>
      <w:pStyle w:val="2"/>
      <w:rPr>
        <w:rFonts w:cs="Times New Roman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BCCB38"/>
    <w:multiLevelType w:val="singleLevel"/>
    <w:tmpl w:val="58BCCB3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DNlMjE1N2Y2ZWMzZDU0NzU4ZTI4ZDNiMDE1NmRhZWYifQ=="/>
  </w:docVars>
  <w:rsids>
    <w:rsidRoot w:val="00524AAA"/>
    <w:rsid w:val="000A796E"/>
    <w:rsid w:val="00101C7A"/>
    <w:rsid w:val="00131928"/>
    <w:rsid w:val="001A3CB4"/>
    <w:rsid w:val="001E0232"/>
    <w:rsid w:val="00206B22"/>
    <w:rsid w:val="002307B5"/>
    <w:rsid w:val="002C0317"/>
    <w:rsid w:val="00325594"/>
    <w:rsid w:val="0037750D"/>
    <w:rsid w:val="003C4C5D"/>
    <w:rsid w:val="003D1126"/>
    <w:rsid w:val="003D1369"/>
    <w:rsid w:val="003D22B1"/>
    <w:rsid w:val="004150B7"/>
    <w:rsid w:val="00453A06"/>
    <w:rsid w:val="00524AAA"/>
    <w:rsid w:val="005412A2"/>
    <w:rsid w:val="005730D6"/>
    <w:rsid w:val="005F4345"/>
    <w:rsid w:val="0068144F"/>
    <w:rsid w:val="00747D9E"/>
    <w:rsid w:val="007775CB"/>
    <w:rsid w:val="007B4EB3"/>
    <w:rsid w:val="007C484E"/>
    <w:rsid w:val="007F0D2E"/>
    <w:rsid w:val="00825F97"/>
    <w:rsid w:val="008327A0"/>
    <w:rsid w:val="00933068"/>
    <w:rsid w:val="00973104"/>
    <w:rsid w:val="00990CB9"/>
    <w:rsid w:val="009B2D48"/>
    <w:rsid w:val="009C264C"/>
    <w:rsid w:val="009F0612"/>
    <w:rsid w:val="00A12AE7"/>
    <w:rsid w:val="00A15ADE"/>
    <w:rsid w:val="00A6455D"/>
    <w:rsid w:val="00A95F51"/>
    <w:rsid w:val="00A9676E"/>
    <w:rsid w:val="00AC6968"/>
    <w:rsid w:val="00AE416F"/>
    <w:rsid w:val="00B13EFE"/>
    <w:rsid w:val="00B50088"/>
    <w:rsid w:val="00B500A4"/>
    <w:rsid w:val="00BA40C6"/>
    <w:rsid w:val="00BA6B82"/>
    <w:rsid w:val="00CD0F72"/>
    <w:rsid w:val="00D27A25"/>
    <w:rsid w:val="00D312BA"/>
    <w:rsid w:val="00D73351"/>
    <w:rsid w:val="00E000C9"/>
    <w:rsid w:val="00E24B37"/>
    <w:rsid w:val="00E474B2"/>
    <w:rsid w:val="00E87B0C"/>
    <w:rsid w:val="00E91C36"/>
    <w:rsid w:val="00F14752"/>
    <w:rsid w:val="00F311AF"/>
    <w:rsid w:val="00F66032"/>
    <w:rsid w:val="00FB5EA2"/>
    <w:rsid w:val="13421F91"/>
    <w:rsid w:val="26CE6F6C"/>
    <w:rsid w:val="2777798C"/>
    <w:rsid w:val="28BD33A3"/>
    <w:rsid w:val="2B2A4C38"/>
    <w:rsid w:val="3336020C"/>
    <w:rsid w:val="444A6A95"/>
    <w:rsid w:val="494447AB"/>
    <w:rsid w:val="50FE5FE4"/>
    <w:rsid w:val="51751B0B"/>
    <w:rsid w:val="58120EF7"/>
    <w:rsid w:val="5BAF22D6"/>
    <w:rsid w:val="634E0237"/>
    <w:rsid w:val="67D4423F"/>
    <w:rsid w:val="7638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等线" w:hAnsi="等线" w:eastAsia="等线" w:cs="等线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link w:val="3"/>
    <w:autoRedefine/>
    <w:qFormat/>
    <w:locked/>
    <w:uiPriority w:val="99"/>
    <w:rPr>
      <w:rFonts w:cs="Times New Roman"/>
      <w:sz w:val="18"/>
      <w:szCs w:val="18"/>
    </w:rPr>
  </w:style>
  <w:style w:type="character" w:customStyle="1" w:styleId="7">
    <w:name w:val="页脚 Char"/>
    <w:link w:val="2"/>
    <w:qFormat/>
    <w:locked/>
    <w:uiPriority w:val="99"/>
    <w:rPr>
      <w:rFonts w:cs="Times New Roman"/>
      <w:sz w:val="18"/>
      <w:szCs w:val="18"/>
    </w:rPr>
  </w:style>
  <w:style w:type="paragraph" w:customStyle="1" w:styleId="8">
    <w:name w:val="列出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12</Pages>
  <Words>751</Words>
  <Characters>4281</Characters>
  <Lines>35</Lines>
  <Paragraphs>10</Paragraphs>
  <TotalTime>2</TotalTime>
  <ScaleCrop>false</ScaleCrop>
  <LinksUpToDate>false</LinksUpToDate>
  <CharactersWithSpaces>5022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2017-11-10T09:22:00Z</dcterms:created>
  <dc:creator>旭东</dc:creator>
  <cp:lastModifiedBy>Administrator</cp:lastModifiedBy>
  <dcterms:modified xsi:type="dcterms:W3CDTF">2024-01-18T10:14:16Z</dcterms:modified>
  <dc:title>2017年部门预算公开督导整改要求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2CAE50B4E6E14AF893448F77F965B25F_12</vt:lpwstr>
  </property>
</Properties>
</file>