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1F1C14">
      <w:pPr>
        <w:widowControl/>
        <w:spacing w:line="360" w:lineRule="auto"/>
        <w:ind w:left="640"/>
        <w:jc w:val="center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lang w:eastAsia="zh-CN"/>
        </w:rPr>
      </w:pPr>
    </w:p>
    <w:p w14:paraId="0636520F">
      <w:pPr>
        <w:widowControl/>
        <w:spacing w:line="360" w:lineRule="auto"/>
        <w:ind w:left="640"/>
        <w:jc w:val="center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lang w:eastAsia="zh-CN"/>
        </w:rPr>
        <w:t>成安县总工会</w:t>
      </w:r>
    </w:p>
    <w:p w14:paraId="1C1A3453">
      <w:pPr>
        <w:widowControl/>
        <w:spacing w:line="360" w:lineRule="auto"/>
        <w:ind w:left="640"/>
        <w:jc w:val="center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lang w:val="en-US" w:eastAsia="zh-CN"/>
        </w:rPr>
        <w:t>2017年度部门预算情况说明</w:t>
      </w:r>
    </w:p>
    <w:p w14:paraId="732D4045">
      <w:pPr>
        <w:widowControl/>
        <w:spacing w:line="360" w:lineRule="auto"/>
        <w:ind w:left="640"/>
        <w:jc w:val="left"/>
        <w:rPr>
          <w:rFonts w:hint="eastAsia" w:ascii="黑体" w:hAnsi="黑体" w:eastAsia="黑体" w:cs="黑体"/>
          <w:sz w:val="32"/>
          <w:szCs w:val="32"/>
        </w:rPr>
      </w:pPr>
    </w:p>
    <w:p w14:paraId="50AED8A0">
      <w:pPr>
        <w:widowControl/>
        <w:spacing w:line="360" w:lineRule="auto"/>
        <w:ind w:left="640"/>
        <w:jc w:val="left"/>
        <w:rPr>
          <w:rFonts w:hint="eastAsia" w:ascii="仿宋_GB2312" w:hAnsi="Calibri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一、部门职责及机构设置情况</w:t>
      </w:r>
    </w:p>
    <w:p w14:paraId="187A9F83">
      <w:pPr>
        <w:widowControl/>
        <w:spacing w:line="360" w:lineRule="auto"/>
        <w:jc w:val="left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　　维护职工合法权益是工会的基本职责，终极动员和组织职工参加建设和改革，完成经济和社会发展任务；教育职工不断提高思想道德素质和科学文化素质，建设有思想、有道德、有文化、有纪律的职工队伍。</w:t>
      </w:r>
    </w:p>
    <w:tbl>
      <w:tblPr>
        <w:tblStyle w:val="6"/>
        <w:tblW w:w="862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17"/>
        <w:gridCol w:w="1134"/>
        <w:gridCol w:w="1276"/>
        <w:gridCol w:w="2902"/>
      </w:tblGrid>
      <w:tr w14:paraId="2D63E57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tblHeader/>
          <w:jc w:val="center"/>
        </w:trPr>
        <w:tc>
          <w:tcPr>
            <w:tcW w:w="3317" w:type="dxa"/>
            <w:vMerge w:val="restart"/>
            <w:vAlign w:val="center"/>
          </w:tcPr>
          <w:p w14:paraId="1C8BBA45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单位名称</w:t>
            </w:r>
          </w:p>
        </w:tc>
        <w:tc>
          <w:tcPr>
            <w:tcW w:w="1134" w:type="dxa"/>
            <w:vMerge w:val="restart"/>
            <w:vAlign w:val="center"/>
          </w:tcPr>
          <w:p w14:paraId="2583025B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单位性质</w:t>
            </w:r>
          </w:p>
        </w:tc>
        <w:tc>
          <w:tcPr>
            <w:tcW w:w="1276" w:type="dxa"/>
            <w:vMerge w:val="restart"/>
            <w:vAlign w:val="center"/>
          </w:tcPr>
          <w:p w14:paraId="776DB053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单位规格</w:t>
            </w:r>
          </w:p>
        </w:tc>
        <w:tc>
          <w:tcPr>
            <w:tcW w:w="2902" w:type="dxa"/>
            <w:vMerge w:val="restart"/>
            <w:vAlign w:val="center"/>
          </w:tcPr>
          <w:p w14:paraId="173A7103"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经费保障形式</w:t>
            </w:r>
          </w:p>
        </w:tc>
      </w:tr>
      <w:tr w14:paraId="354DA1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tblHeader/>
          <w:jc w:val="center"/>
        </w:trPr>
        <w:tc>
          <w:tcPr>
            <w:tcW w:w="3317" w:type="dxa"/>
            <w:vMerge w:val="continue"/>
            <w:vAlign w:val="center"/>
          </w:tcPr>
          <w:p w14:paraId="09FA65C9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1134" w:type="dxa"/>
            <w:vMerge w:val="continue"/>
            <w:vAlign w:val="center"/>
          </w:tcPr>
          <w:p w14:paraId="5CB98E7B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1276" w:type="dxa"/>
            <w:vMerge w:val="continue"/>
            <w:vAlign w:val="center"/>
          </w:tcPr>
          <w:p w14:paraId="6A07AB4B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2902" w:type="dxa"/>
            <w:vMerge w:val="continue"/>
            <w:vAlign w:val="center"/>
          </w:tcPr>
          <w:p w14:paraId="7FC23AAA"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</w:rPr>
            </w:pPr>
          </w:p>
        </w:tc>
      </w:tr>
      <w:tr w14:paraId="13B24B4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317" w:type="dxa"/>
            <w:vAlign w:val="center"/>
          </w:tcPr>
          <w:p w14:paraId="36A5ADCC"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成安县总工会</w:t>
            </w:r>
          </w:p>
        </w:tc>
        <w:tc>
          <w:tcPr>
            <w:tcW w:w="1134" w:type="dxa"/>
            <w:vAlign w:val="center"/>
          </w:tcPr>
          <w:p w14:paraId="6D63D3E9"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行政</w:t>
            </w:r>
          </w:p>
        </w:tc>
        <w:tc>
          <w:tcPr>
            <w:tcW w:w="1276" w:type="dxa"/>
            <w:vAlign w:val="center"/>
          </w:tcPr>
          <w:p w14:paraId="1EA0B0DC"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科级</w:t>
            </w:r>
          </w:p>
        </w:tc>
        <w:tc>
          <w:tcPr>
            <w:tcW w:w="2902" w:type="dxa"/>
            <w:vAlign w:val="center"/>
          </w:tcPr>
          <w:p w14:paraId="1C067549"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财政性资金零补助</w:t>
            </w:r>
          </w:p>
        </w:tc>
      </w:tr>
      <w:tr w14:paraId="1E6D862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317" w:type="dxa"/>
            <w:vAlign w:val="center"/>
          </w:tcPr>
          <w:p w14:paraId="0B00D6E2"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134" w:type="dxa"/>
            <w:vAlign w:val="center"/>
          </w:tcPr>
          <w:p w14:paraId="44C5CE26"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276" w:type="dxa"/>
            <w:vAlign w:val="center"/>
          </w:tcPr>
          <w:p w14:paraId="19B49521"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902" w:type="dxa"/>
            <w:vAlign w:val="center"/>
          </w:tcPr>
          <w:p w14:paraId="14E400B7"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</w:tbl>
    <w:p w14:paraId="091A00E5">
      <w:pPr>
        <w:widowControl/>
        <w:spacing w:line="360" w:lineRule="auto"/>
        <w:ind w:left="628"/>
        <w:jc w:val="left"/>
        <w:rPr>
          <w:rFonts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成安县总工会，预算编码是711，内设2个内部机构。</w:t>
      </w:r>
    </w:p>
    <w:p w14:paraId="631B0DB8">
      <w:pPr>
        <w:widowControl/>
        <w:numPr>
          <w:ilvl w:val="0"/>
          <w:numId w:val="1"/>
        </w:numPr>
        <w:spacing w:line="360" w:lineRule="auto"/>
        <w:ind w:left="628"/>
        <w:jc w:val="left"/>
        <w:rPr>
          <w:rFonts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办公室</w:t>
      </w:r>
    </w:p>
    <w:p w14:paraId="507E92EB">
      <w:pPr>
        <w:widowControl/>
        <w:spacing w:line="360" w:lineRule="auto"/>
        <w:jc w:val="left"/>
        <w:rPr>
          <w:rFonts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 xml:space="preserve">     主要负责：日常工作事务，后勤保障</w:t>
      </w:r>
    </w:p>
    <w:p w14:paraId="0AAA3AF0">
      <w:pPr>
        <w:widowControl/>
        <w:spacing w:line="360" w:lineRule="auto"/>
        <w:ind w:firstLine="640"/>
        <w:jc w:val="left"/>
        <w:rPr>
          <w:rFonts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2、宣教部</w:t>
      </w:r>
    </w:p>
    <w:p w14:paraId="664AE461">
      <w:pPr>
        <w:widowControl/>
        <w:spacing w:line="360" w:lineRule="auto"/>
        <w:ind w:firstLine="640" w:firstLineChars="200"/>
        <w:jc w:val="left"/>
        <w:rPr>
          <w:rFonts w:ascii="Calibri" w:hAnsi="Calibri" w:eastAsia="仿宋_GB2312" w:cs="Calibri"/>
          <w:b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主要负责：工会有关法律法规宣传。</w:t>
      </w:r>
    </w:p>
    <w:p w14:paraId="6894DC68">
      <w:pPr>
        <w:widowControl/>
        <w:spacing w:line="360" w:lineRule="auto"/>
        <w:ind w:left="993"/>
        <w:jc w:val="left"/>
        <w:rPr>
          <w:rFonts w:ascii="Calibri" w:hAnsi="Calibri" w:eastAsia="仿宋_GB2312" w:cs="Calibri"/>
          <w:b/>
          <w:kern w:val="0"/>
          <w:sz w:val="32"/>
          <w:szCs w:val="32"/>
        </w:rPr>
      </w:pPr>
      <w:r>
        <w:rPr>
          <w:rFonts w:hint="eastAsia" w:ascii="Calibri" w:hAnsi="Calibri" w:eastAsia="仿宋_GB2312" w:cs="Calibri"/>
          <w:b/>
          <w:kern w:val="0"/>
          <w:sz w:val="32"/>
          <w:szCs w:val="32"/>
        </w:rPr>
        <w:t>人员编制和领导职数</w:t>
      </w:r>
    </w:p>
    <w:p w14:paraId="16C77236">
      <w:pPr>
        <w:widowControl/>
        <w:spacing w:line="360" w:lineRule="auto"/>
        <w:ind w:firstLine="640"/>
        <w:jc w:val="left"/>
        <w:rPr>
          <w:rFonts w:hint="eastAsia"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Calibri" w:hAnsi="Calibri" w:eastAsia="仿宋_GB2312" w:cs="Calibri"/>
          <w:b/>
          <w:kern w:val="0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成安县总工会，人员编制8名，其中领导职数3个</w:t>
      </w:r>
    </w:p>
    <w:p w14:paraId="3BAB7DCD">
      <w:pPr>
        <w:pStyle w:val="10"/>
        <w:widowControl/>
        <w:numPr>
          <w:ilvl w:val="0"/>
          <w:numId w:val="0"/>
        </w:numPr>
        <w:spacing w:line="360" w:lineRule="auto"/>
        <w:ind w:left="720" w:leftChars="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  <w:lang w:eastAsia="zh-CN"/>
        </w:rPr>
        <w:t>二、</w:t>
      </w: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预算安排总体情况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、</w:t>
      </w:r>
    </w:p>
    <w:p w14:paraId="538D0CCA">
      <w:pPr>
        <w:spacing w:line="560" w:lineRule="exact"/>
        <w:ind w:firstLine="64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按照预算管理有关规定，目前我部门预算的编制实行综合预算制度，即全部收入和支出都反映在预算中。</w:t>
      </w:r>
    </w:p>
    <w:p w14:paraId="2FA14AB9">
      <w:pPr>
        <w:spacing w:line="560" w:lineRule="exact"/>
        <w:ind w:firstLine="640"/>
        <w:rPr>
          <w:rFonts w:ascii="楷体" w:hAnsi="楷体" w:eastAsia="楷体" w:cs="Times New Roman"/>
          <w:b/>
          <w:bCs/>
          <w:sz w:val="32"/>
          <w:szCs w:val="32"/>
        </w:rPr>
      </w:pPr>
      <w:r>
        <w:rPr>
          <w:rFonts w:ascii="楷体" w:hAnsi="楷体" w:eastAsia="楷体" w:cs="楷体"/>
          <w:b/>
          <w:bCs/>
          <w:sz w:val="32"/>
          <w:szCs w:val="32"/>
        </w:rPr>
        <w:t>1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、收入说明</w:t>
      </w:r>
    </w:p>
    <w:p w14:paraId="36BAA1A4">
      <w:pPr>
        <w:spacing w:line="560" w:lineRule="exact"/>
        <w:ind w:firstLine="640"/>
        <w:rPr>
          <w:rFonts w:hint="eastAsia" w:ascii="仿宋" w:hAnsi="仿宋" w:eastAsia="仿宋" w:cs="仿宋"/>
          <w:sz w:val="32"/>
          <w:szCs w:val="32"/>
        </w:rPr>
      </w:pPr>
      <w:r>
        <w:rPr>
          <w:rFonts w:ascii="宋体" w:hAnsi="宋体" w:eastAsia="宋体" w:cs="Times New Roman"/>
          <w:sz w:val="32"/>
          <w:szCs w:val="32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017年预算收入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132.9</w:t>
      </w:r>
      <w:r>
        <w:rPr>
          <w:rFonts w:hint="eastAsia" w:ascii="仿宋" w:hAnsi="仿宋" w:eastAsia="仿宋" w:cs="仿宋"/>
          <w:sz w:val="32"/>
          <w:szCs w:val="32"/>
        </w:rPr>
        <w:t>万元，其中：一般公共预算收入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132.9</w:t>
      </w:r>
      <w:r>
        <w:rPr>
          <w:rFonts w:hint="eastAsia" w:ascii="仿宋" w:hAnsi="仿宋" w:eastAsia="仿宋" w:cs="仿宋"/>
          <w:sz w:val="32"/>
          <w:szCs w:val="32"/>
        </w:rPr>
        <w:t>万元，政府性基金收入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</w:rPr>
        <w:t>万元，国有资本经营收入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</w:rPr>
        <w:t>万元，事业收入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</w:rPr>
        <w:t>万元，其他收入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</w:rPr>
        <w:t>万元。</w:t>
      </w:r>
    </w:p>
    <w:p w14:paraId="33BA5265">
      <w:pPr>
        <w:spacing w:line="560" w:lineRule="exact"/>
        <w:ind w:firstLine="640"/>
        <w:rPr>
          <w:rFonts w:ascii="楷体" w:hAnsi="楷体" w:eastAsia="楷体" w:cs="Times New Roman"/>
          <w:b/>
          <w:bCs/>
          <w:sz w:val="32"/>
          <w:szCs w:val="32"/>
        </w:rPr>
      </w:pPr>
      <w:r>
        <w:rPr>
          <w:rFonts w:ascii="楷体" w:hAnsi="楷体" w:eastAsia="楷体" w:cs="楷体"/>
          <w:b/>
          <w:bCs/>
          <w:sz w:val="32"/>
          <w:szCs w:val="32"/>
        </w:rPr>
        <w:t>2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、支出说明</w:t>
      </w:r>
    </w:p>
    <w:p w14:paraId="38AADFB9">
      <w:pPr>
        <w:spacing w:line="560" w:lineRule="exact"/>
        <w:ind w:firstLine="64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2017年支出预算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132.9</w:t>
      </w:r>
      <w:r>
        <w:rPr>
          <w:rFonts w:hint="eastAsia" w:ascii="仿宋" w:hAnsi="仿宋" w:eastAsia="仿宋" w:cs="仿宋"/>
          <w:sz w:val="32"/>
          <w:szCs w:val="32"/>
        </w:rPr>
        <w:t>万元，其中基本支出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132.9</w:t>
      </w:r>
      <w:r>
        <w:rPr>
          <w:rFonts w:hint="eastAsia" w:ascii="仿宋" w:hAnsi="仿宋" w:eastAsia="仿宋" w:cs="仿宋"/>
          <w:sz w:val="32"/>
          <w:szCs w:val="32"/>
        </w:rPr>
        <w:t>万元，包括人员经费和日常公用经费；项目支出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</w:rPr>
        <w:t>万元。</w:t>
      </w:r>
    </w:p>
    <w:p w14:paraId="07EA227D">
      <w:pPr>
        <w:spacing w:line="560" w:lineRule="exact"/>
        <w:ind w:firstLine="640"/>
        <w:rPr>
          <w:rFonts w:ascii="楷体" w:hAnsi="楷体" w:eastAsia="楷体" w:cs="Times New Roman"/>
          <w:b/>
          <w:bCs/>
          <w:sz w:val="32"/>
          <w:szCs w:val="32"/>
        </w:rPr>
      </w:pPr>
      <w:r>
        <w:rPr>
          <w:rFonts w:ascii="楷体" w:hAnsi="楷体" w:eastAsia="楷体" w:cs="楷体"/>
          <w:b/>
          <w:bCs/>
          <w:sz w:val="32"/>
          <w:szCs w:val="32"/>
        </w:rPr>
        <w:t>3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、比上年增减变化情况</w:t>
      </w:r>
    </w:p>
    <w:p w14:paraId="32BC3C25">
      <w:pPr>
        <w:spacing w:line="560" w:lineRule="exact"/>
        <w:ind w:firstLine="640"/>
        <w:rPr>
          <w:rFonts w:ascii="宋体" w:hAnsi="宋体" w:eastAsia="宋体" w:cs="Times New Roman"/>
          <w:sz w:val="32"/>
          <w:szCs w:val="32"/>
        </w:rPr>
      </w:pPr>
      <w:r>
        <w:rPr>
          <w:rFonts w:ascii="宋体" w:hAnsi="宋体" w:eastAsia="宋体" w:cs="Times New Roman"/>
          <w:sz w:val="32"/>
          <w:szCs w:val="32"/>
        </w:rPr>
        <w:t>2017</w:t>
      </w:r>
      <w:r>
        <w:rPr>
          <w:rFonts w:hint="eastAsia" w:ascii="宋体" w:hAnsi="宋体" w:eastAsia="宋体" w:cs="方正仿宋_GBK"/>
          <w:sz w:val="32"/>
          <w:szCs w:val="32"/>
        </w:rPr>
        <w:t>年预算收支安排</w:t>
      </w:r>
      <w:r>
        <w:rPr>
          <w:rFonts w:hint="eastAsia" w:ascii="宋体" w:hAnsi="宋体" w:eastAsia="宋体" w:cs="方正仿宋_GBK"/>
          <w:sz w:val="32"/>
          <w:szCs w:val="32"/>
          <w:lang w:val="en-US" w:eastAsia="zh-CN"/>
        </w:rPr>
        <w:t>132.9</w:t>
      </w:r>
      <w:r>
        <w:rPr>
          <w:rFonts w:hint="eastAsia" w:ascii="宋体" w:hAnsi="宋体" w:eastAsia="宋体" w:cs="方正仿宋_GBK"/>
          <w:sz w:val="32"/>
          <w:szCs w:val="32"/>
        </w:rPr>
        <w:t>万元，较</w:t>
      </w:r>
      <w:r>
        <w:rPr>
          <w:rFonts w:ascii="宋体" w:hAnsi="宋体" w:eastAsia="宋体" w:cs="Times New Roman"/>
          <w:sz w:val="32"/>
          <w:szCs w:val="32"/>
        </w:rPr>
        <w:t>2016</w:t>
      </w:r>
      <w:r>
        <w:rPr>
          <w:rFonts w:hint="eastAsia" w:ascii="宋体" w:hAnsi="宋体" w:eastAsia="宋体" w:cs="方正仿宋_GBK"/>
          <w:sz w:val="32"/>
          <w:szCs w:val="32"/>
        </w:rPr>
        <w:t>年预算增加</w:t>
      </w:r>
      <w:r>
        <w:rPr>
          <w:rFonts w:hint="eastAsia" w:ascii="宋体" w:hAnsi="宋体" w:eastAsia="宋体" w:cs="方正仿宋_GBK"/>
          <w:sz w:val="32"/>
          <w:szCs w:val="32"/>
          <w:lang w:val="en-US" w:eastAsia="zh-CN"/>
        </w:rPr>
        <w:t>0</w:t>
      </w:r>
      <w:r>
        <w:rPr>
          <w:rFonts w:hint="eastAsia" w:ascii="宋体" w:hAnsi="宋体" w:eastAsia="宋体" w:cs="方正仿宋_GBK"/>
          <w:sz w:val="32"/>
          <w:szCs w:val="32"/>
        </w:rPr>
        <w:t>万元，其中：基本支出增加</w:t>
      </w:r>
      <w:r>
        <w:rPr>
          <w:rFonts w:hint="eastAsia" w:ascii="宋体" w:hAnsi="宋体" w:eastAsia="宋体" w:cs="方正仿宋_GBK"/>
          <w:sz w:val="32"/>
          <w:szCs w:val="32"/>
          <w:lang w:val="en-US" w:eastAsia="zh-CN"/>
        </w:rPr>
        <w:t>0</w:t>
      </w:r>
      <w:r>
        <w:rPr>
          <w:rFonts w:hint="eastAsia" w:ascii="宋体" w:hAnsi="宋体" w:eastAsia="宋体" w:cs="方正仿宋_GBK"/>
          <w:sz w:val="32"/>
          <w:szCs w:val="32"/>
        </w:rPr>
        <w:t>万元，经费支出；项目支出增加</w:t>
      </w:r>
      <w:r>
        <w:rPr>
          <w:rFonts w:hint="eastAsia" w:ascii="宋体" w:hAnsi="宋体" w:eastAsia="宋体" w:cs="方正仿宋_GBK"/>
          <w:sz w:val="32"/>
          <w:szCs w:val="32"/>
          <w:lang w:val="en-US" w:eastAsia="zh-CN"/>
        </w:rPr>
        <w:t>0</w:t>
      </w:r>
      <w:r>
        <w:rPr>
          <w:rFonts w:hint="eastAsia" w:ascii="宋体" w:hAnsi="宋体" w:eastAsia="宋体" w:cs="方正仿宋_GBK"/>
          <w:sz w:val="32"/>
          <w:szCs w:val="32"/>
        </w:rPr>
        <w:t>万元。</w:t>
      </w:r>
    </w:p>
    <w:p w14:paraId="780DA7F1">
      <w:pPr>
        <w:widowControl/>
        <w:spacing w:line="360" w:lineRule="auto"/>
        <w:ind w:firstLine="627" w:firstLineChars="196"/>
        <w:jc w:val="left"/>
        <w:rPr>
          <w:rFonts w:hint="eastAsia" w:ascii="仿宋_GB2312" w:hAnsi="Calibri" w:eastAsia="仿宋_GB2312" w:cs="仿宋_GB2312"/>
          <w:kern w:val="0"/>
          <w:sz w:val="32"/>
          <w:szCs w:val="32"/>
        </w:rPr>
      </w:pPr>
    </w:p>
    <w:p w14:paraId="2BF3A297">
      <w:pPr>
        <w:widowControl/>
        <w:spacing w:line="360" w:lineRule="auto"/>
        <w:ind w:firstLine="627" w:firstLineChars="196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ascii="仿宋_GB2312" w:hAnsi="Calibri" w:eastAsia="仿宋_GB2312" w:cs="仿宋_GB2312"/>
          <w:kern w:val="0"/>
          <w:sz w:val="32"/>
          <w:szCs w:val="32"/>
        </w:rPr>
        <w:t>2016年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成安县总工会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财政拨款收入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178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万元，总支出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178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万元。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eastAsia="zh-CN" w:bidi="ar"/>
        </w:rPr>
        <w:t>与去年相比降低了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 w:bidi="ar"/>
        </w:rPr>
        <w:t>45.1万元，积极贯彻落实</w:t>
      </w:r>
      <w:bookmarkStart w:id="0" w:name="_GoBack"/>
      <w:bookmarkEnd w:id="0"/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 w:bidi="ar"/>
        </w:rPr>
        <w:t>《中华人民共和国预算法》，按照讲求绩效的原则，对于当年未使用的预算，在调整预算中予以调减。</w:t>
      </w:r>
    </w:p>
    <w:p w14:paraId="7665D0D4">
      <w:pPr>
        <w:pStyle w:val="10"/>
        <w:widowControl/>
        <w:numPr>
          <w:ilvl w:val="0"/>
          <w:numId w:val="0"/>
        </w:numPr>
        <w:spacing w:line="360" w:lineRule="auto"/>
        <w:ind w:left="720" w:leftChars="0"/>
        <w:jc w:val="left"/>
        <w:rPr>
          <w:rFonts w:ascii="仿宋_GB2312" w:hAnsi="Calibri" w:eastAsia="仿宋_GB2312" w:cs="仿宋_GB2312"/>
          <w:b/>
          <w:bCs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b/>
          <w:bCs/>
          <w:kern w:val="0"/>
          <w:sz w:val="32"/>
          <w:szCs w:val="32"/>
          <w:lang w:eastAsia="zh-CN"/>
        </w:rPr>
        <w:t>三、</w:t>
      </w:r>
      <w:r>
        <w:rPr>
          <w:rFonts w:hint="eastAsia" w:ascii="仿宋_GB2312" w:hAnsi="Calibri" w:eastAsia="仿宋_GB2312" w:cs="仿宋_GB2312"/>
          <w:b/>
          <w:bCs/>
          <w:kern w:val="0"/>
          <w:sz w:val="32"/>
          <w:szCs w:val="32"/>
        </w:rPr>
        <w:t>机关运行经费情况</w:t>
      </w:r>
    </w:p>
    <w:p w14:paraId="47AA2419"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日常公用经费安排43.5万元，包括：办公费、差旅费、交通费、会议费、招待费、其他支出等。</w:t>
      </w:r>
      <w:r>
        <w:rPr>
          <w:rFonts w:ascii="Calibri" w:hAnsi="Calibri" w:eastAsia="仿宋_GB2312" w:cs="Calibri"/>
          <w:kern w:val="0"/>
          <w:sz w:val="32"/>
          <w:szCs w:val="32"/>
        </w:rPr>
        <w:t>人员经费支出</w:t>
      </w:r>
      <w:r>
        <w:rPr>
          <w:rFonts w:hint="eastAsia" w:ascii="Calibri" w:hAnsi="Calibri" w:eastAsia="仿宋_GB2312" w:cs="Calibri"/>
          <w:kern w:val="0"/>
          <w:sz w:val="32"/>
          <w:szCs w:val="32"/>
          <w:lang w:val="en-US" w:eastAsia="zh-CN"/>
        </w:rPr>
        <w:t>57.32</w:t>
      </w:r>
      <w:r>
        <w:rPr>
          <w:rFonts w:ascii="Calibri" w:hAnsi="Calibri" w:eastAsia="仿宋_GB2312" w:cs="Calibri"/>
          <w:kern w:val="0"/>
          <w:sz w:val="32"/>
          <w:szCs w:val="32"/>
        </w:rPr>
        <w:t>万元，同比去年增长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13</w:t>
      </w:r>
      <w:r>
        <w:rPr>
          <w:rFonts w:ascii="Calibri" w:hAnsi="Calibri" w:eastAsia="仿宋_GB2312" w:cs="Calibri"/>
          <w:kern w:val="0"/>
          <w:sz w:val="32"/>
          <w:szCs w:val="32"/>
        </w:rPr>
        <w:t>%。增长原因是201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6</w:t>
      </w:r>
      <w:r>
        <w:rPr>
          <w:rFonts w:ascii="Calibri" w:hAnsi="Calibri" w:eastAsia="仿宋_GB2312" w:cs="Calibri"/>
          <w:kern w:val="0"/>
          <w:sz w:val="32"/>
          <w:szCs w:val="32"/>
        </w:rPr>
        <w:t>年机关事业单位统一调高了工资标准。其中，工资福利支出</w:t>
      </w:r>
      <w:r>
        <w:rPr>
          <w:rFonts w:hint="eastAsia" w:ascii="Calibri" w:hAnsi="Calibri" w:eastAsia="仿宋_GB2312" w:cs="Calibri"/>
          <w:kern w:val="0"/>
          <w:sz w:val="32"/>
          <w:szCs w:val="32"/>
          <w:lang w:val="en-US" w:eastAsia="zh-CN"/>
        </w:rPr>
        <w:t>32.78</w:t>
      </w:r>
      <w:r>
        <w:rPr>
          <w:rFonts w:ascii="Calibri" w:hAnsi="Calibri" w:eastAsia="仿宋_GB2312" w:cs="Calibri"/>
          <w:kern w:val="0"/>
          <w:sz w:val="32"/>
          <w:szCs w:val="32"/>
        </w:rPr>
        <w:t>万元，对个人和家庭的补助支出</w:t>
      </w:r>
      <w:r>
        <w:rPr>
          <w:rFonts w:hint="eastAsia" w:ascii="Calibri" w:hAnsi="Calibri" w:eastAsia="仿宋_GB2312" w:cs="Calibri"/>
          <w:kern w:val="0"/>
          <w:sz w:val="32"/>
          <w:szCs w:val="32"/>
          <w:lang w:val="en-US" w:eastAsia="zh-CN"/>
        </w:rPr>
        <w:t>24.54</w:t>
      </w:r>
      <w:r>
        <w:rPr>
          <w:rFonts w:ascii="Calibri" w:hAnsi="Calibri" w:eastAsia="仿宋_GB2312" w:cs="Calibri"/>
          <w:kern w:val="0"/>
          <w:sz w:val="32"/>
          <w:szCs w:val="32"/>
        </w:rPr>
        <w:t>万元。</w:t>
      </w:r>
    </w:p>
    <w:p w14:paraId="2DDCFB20">
      <w:pPr>
        <w:widowControl/>
        <w:spacing w:line="360" w:lineRule="auto"/>
        <w:ind w:firstLine="643" w:firstLineChars="200"/>
        <w:jc w:val="left"/>
        <w:rPr>
          <w:rFonts w:ascii="仿宋_GB2312" w:hAnsi="Calibri" w:eastAsia="仿宋_GB2312" w:cs="仿宋_GB2312"/>
          <w:b/>
          <w:bCs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b/>
          <w:bCs/>
          <w:kern w:val="0"/>
          <w:sz w:val="32"/>
          <w:szCs w:val="32"/>
        </w:rPr>
        <w:t>四、“三公”经费预算情况</w:t>
      </w:r>
    </w:p>
    <w:p w14:paraId="4D1C9A3D">
      <w:pPr>
        <w:widowControl/>
        <w:spacing w:line="360" w:lineRule="auto"/>
        <w:ind w:firstLine="972" w:firstLineChars="304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2017年度“三公”预算支出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万元，用于公务用车维护费，无公务接等费，无因公出国（境）经费。2017年“三公”经费预算减少了20%。由于2016年公车拍卖，2017年实行车补，油修费用预算安排减少。</w:t>
      </w:r>
    </w:p>
    <w:p w14:paraId="2A04110B">
      <w:pPr>
        <w:spacing w:line="560" w:lineRule="exact"/>
        <w:ind w:firstLine="640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五、绩效预算信息</w:t>
      </w:r>
    </w:p>
    <w:p w14:paraId="6D783E08">
      <w:pPr>
        <w:rPr>
          <w:rFonts w:ascii="Calibri" w:hAnsi="Calibri" w:eastAsia="仿宋_GB2312" w:cs="Calibri"/>
          <w:sz w:val="32"/>
          <w:szCs w:val="32"/>
        </w:rPr>
      </w:pPr>
    </w:p>
    <w:p w14:paraId="12D7E209">
      <w:pPr>
        <w:rPr>
          <w:rFonts w:ascii="Calibri" w:hAnsi="Calibri" w:eastAsia="仿宋_GB2312" w:cs="Calibri"/>
          <w:sz w:val="32"/>
          <w:szCs w:val="32"/>
        </w:rPr>
      </w:pPr>
    </w:p>
    <w:p w14:paraId="7F138F5E">
      <w:pPr>
        <w:rPr>
          <w:rFonts w:ascii="Calibri" w:hAnsi="Calibri" w:eastAsia="仿宋_GB2312" w:cs="Calibri"/>
          <w:sz w:val="32"/>
          <w:szCs w:val="32"/>
        </w:rPr>
        <w:sectPr>
          <w:pgSz w:w="11907" w:h="16839"/>
          <w:pgMar w:top="1020" w:right="1134" w:bottom="1020" w:left="1134" w:header="851" w:footer="992" w:gutter="0"/>
          <w:cols w:space="425" w:num="1"/>
          <w:docGrid w:type="lines" w:linePitch="312" w:charSpace="0"/>
        </w:sectPr>
      </w:pPr>
    </w:p>
    <w:tbl>
      <w:tblPr>
        <w:tblStyle w:val="6"/>
        <w:tblW w:w="13934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1276"/>
        <w:gridCol w:w="2976"/>
        <w:gridCol w:w="2976"/>
        <w:gridCol w:w="1417"/>
        <w:gridCol w:w="737"/>
        <w:gridCol w:w="737"/>
        <w:gridCol w:w="737"/>
        <w:gridCol w:w="737"/>
      </w:tblGrid>
      <w:tr w14:paraId="08A1630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0986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75C2431E"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711</w:t>
            </w:r>
            <w:r>
              <w:rPr>
                <w:rFonts w:hint="eastAsia" w:ascii="方正小标宋_GBK" w:eastAsia="方正小标宋_GBK"/>
                <w:sz w:val="24"/>
              </w:rPr>
              <w:t>成安县总工会</w:t>
            </w:r>
          </w:p>
        </w:tc>
        <w:tc>
          <w:tcPr>
            <w:tcW w:w="2948" w:type="dxa"/>
            <w:gridSpan w:val="4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3A5643F7"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 w14:paraId="28DAC92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restart"/>
            <w:vAlign w:val="center"/>
          </w:tcPr>
          <w:p w14:paraId="3D85608E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职责活动</w:t>
            </w:r>
          </w:p>
        </w:tc>
        <w:tc>
          <w:tcPr>
            <w:tcW w:w="1276" w:type="dxa"/>
            <w:vMerge w:val="restart"/>
            <w:vAlign w:val="center"/>
          </w:tcPr>
          <w:p w14:paraId="5CC6EE9C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年度预算数</w:t>
            </w:r>
          </w:p>
        </w:tc>
        <w:tc>
          <w:tcPr>
            <w:tcW w:w="2976" w:type="dxa"/>
            <w:vMerge w:val="restart"/>
            <w:vAlign w:val="center"/>
          </w:tcPr>
          <w:p w14:paraId="6387E8B2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内容描述</w:t>
            </w:r>
          </w:p>
        </w:tc>
        <w:tc>
          <w:tcPr>
            <w:tcW w:w="2976" w:type="dxa"/>
            <w:vMerge w:val="restart"/>
            <w:vAlign w:val="center"/>
          </w:tcPr>
          <w:p w14:paraId="1A2AEE73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绩效目标</w:t>
            </w:r>
          </w:p>
        </w:tc>
        <w:tc>
          <w:tcPr>
            <w:tcW w:w="1417" w:type="dxa"/>
            <w:vMerge w:val="restart"/>
            <w:vAlign w:val="center"/>
          </w:tcPr>
          <w:p w14:paraId="45FD576D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绩效指标</w:t>
            </w:r>
          </w:p>
        </w:tc>
        <w:tc>
          <w:tcPr>
            <w:tcW w:w="2948" w:type="dxa"/>
            <w:gridSpan w:val="4"/>
            <w:vAlign w:val="center"/>
          </w:tcPr>
          <w:p w14:paraId="6679258E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评价标准</w:t>
            </w:r>
          </w:p>
        </w:tc>
      </w:tr>
      <w:tr w14:paraId="735C615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continue"/>
            <w:vAlign w:val="center"/>
          </w:tcPr>
          <w:p w14:paraId="4F901E22">
            <w:pPr>
              <w:spacing w:line="300" w:lineRule="exact"/>
              <w:jc w:val="left"/>
              <w:outlineLvl w:val="0"/>
            </w:pPr>
          </w:p>
        </w:tc>
        <w:tc>
          <w:tcPr>
            <w:tcW w:w="1276" w:type="dxa"/>
            <w:vMerge w:val="continue"/>
            <w:vAlign w:val="center"/>
          </w:tcPr>
          <w:p w14:paraId="6171C81F">
            <w:pPr>
              <w:spacing w:line="300" w:lineRule="exact"/>
              <w:jc w:val="left"/>
              <w:outlineLvl w:val="0"/>
            </w:pPr>
          </w:p>
        </w:tc>
        <w:tc>
          <w:tcPr>
            <w:tcW w:w="2976" w:type="dxa"/>
            <w:vMerge w:val="continue"/>
            <w:vAlign w:val="center"/>
          </w:tcPr>
          <w:p w14:paraId="5CF5F420">
            <w:pPr>
              <w:spacing w:line="300" w:lineRule="exact"/>
              <w:jc w:val="left"/>
              <w:outlineLvl w:val="0"/>
            </w:pPr>
          </w:p>
        </w:tc>
        <w:tc>
          <w:tcPr>
            <w:tcW w:w="2976" w:type="dxa"/>
            <w:vMerge w:val="continue"/>
            <w:vAlign w:val="center"/>
          </w:tcPr>
          <w:p w14:paraId="113CC344">
            <w:pPr>
              <w:spacing w:line="300" w:lineRule="exact"/>
              <w:jc w:val="left"/>
              <w:outlineLvl w:val="0"/>
            </w:pPr>
          </w:p>
        </w:tc>
        <w:tc>
          <w:tcPr>
            <w:tcW w:w="1417" w:type="dxa"/>
            <w:vMerge w:val="continue"/>
            <w:vAlign w:val="center"/>
          </w:tcPr>
          <w:p w14:paraId="05770059">
            <w:pPr>
              <w:spacing w:line="300" w:lineRule="exact"/>
              <w:jc w:val="left"/>
              <w:outlineLvl w:val="0"/>
            </w:pPr>
          </w:p>
        </w:tc>
        <w:tc>
          <w:tcPr>
            <w:tcW w:w="737" w:type="dxa"/>
            <w:vAlign w:val="center"/>
          </w:tcPr>
          <w:p w14:paraId="5474D164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优</w:t>
            </w:r>
          </w:p>
        </w:tc>
        <w:tc>
          <w:tcPr>
            <w:tcW w:w="737" w:type="dxa"/>
            <w:vAlign w:val="center"/>
          </w:tcPr>
          <w:p w14:paraId="01500117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良</w:t>
            </w:r>
          </w:p>
        </w:tc>
        <w:tc>
          <w:tcPr>
            <w:tcW w:w="737" w:type="dxa"/>
            <w:vAlign w:val="center"/>
          </w:tcPr>
          <w:p w14:paraId="6F117116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中</w:t>
            </w:r>
          </w:p>
        </w:tc>
        <w:tc>
          <w:tcPr>
            <w:tcW w:w="737" w:type="dxa"/>
            <w:vAlign w:val="center"/>
          </w:tcPr>
          <w:p w14:paraId="2150202F"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差</w:t>
            </w:r>
          </w:p>
        </w:tc>
      </w:tr>
      <w:tr w14:paraId="4027389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Align w:val="center"/>
          </w:tcPr>
          <w:p w14:paraId="18D8DECE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维护职工合法权益</w:t>
            </w:r>
          </w:p>
        </w:tc>
        <w:tc>
          <w:tcPr>
            <w:tcW w:w="1276" w:type="dxa"/>
            <w:vAlign w:val="center"/>
          </w:tcPr>
          <w:p w14:paraId="10EB3717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Align w:val="center"/>
          </w:tcPr>
          <w:p w14:paraId="53DCA2C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指导全县各级组织职工开展民主选举、民主决策、民主管理和民主监督工作；推动基层工会建立集体合同制度、工资集体协商和监督保证机制；参与职工安全生产保护工作；为工会组织、干部、职工提供维权渠道。</w:t>
            </w:r>
          </w:p>
        </w:tc>
        <w:tc>
          <w:tcPr>
            <w:tcW w:w="2976" w:type="dxa"/>
            <w:vAlign w:val="center"/>
          </w:tcPr>
          <w:p w14:paraId="5539839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确保职工合法权益得到有效保障，改善困难劳模生活困境，提升广大职工技术技能素质。</w:t>
            </w:r>
          </w:p>
        </w:tc>
        <w:tc>
          <w:tcPr>
            <w:tcW w:w="1417" w:type="dxa"/>
            <w:vAlign w:val="center"/>
          </w:tcPr>
          <w:p w14:paraId="5AA5ABFF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4E7C0690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21F373C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65B3B7A1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31D0510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 w14:paraId="5E26368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Align w:val="center"/>
          </w:tcPr>
          <w:p w14:paraId="182D26FE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提升职工技能及创新水平</w:t>
            </w:r>
          </w:p>
        </w:tc>
        <w:tc>
          <w:tcPr>
            <w:tcW w:w="1276" w:type="dxa"/>
            <w:vAlign w:val="center"/>
          </w:tcPr>
          <w:p w14:paraId="46FE9F72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Align w:val="center"/>
          </w:tcPr>
          <w:p w14:paraId="4A8E9F1D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围绕县委、县政府提出的重点工程、重点项目和重点领域，组织全县职工开展劳动竞赛，大力推进实施职工经济技术创新工程。</w:t>
            </w:r>
          </w:p>
        </w:tc>
        <w:tc>
          <w:tcPr>
            <w:tcW w:w="2976" w:type="dxa"/>
            <w:vAlign w:val="center"/>
          </w:tcPr>
          <w:p w14:paraId="376A044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有效促进全县重点工程、重点项目和重点领域的建设，为全县经济社会持续健康发展建功立业。</w:t>
            </w:r>
          </w:p>
        </w:tc>
        <w:tc>
          <w:tcPr>
            <w:tcW w:w="1417" w:type="dxa"/>
            <w:vAlign w:val="center"/>
          </w:tcPr>
          <w:p w14:paraId="1840F07A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1312283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47CFE10E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494D1DBA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7BBC374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 w14:paraId="363458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Align w:val="center"/>
          </w:tcPr>
          <w:p w14:paraId="320C648F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工会事务管理</w:t>
            </w:r>
          </w:p>
        </w:tc>
        <w:tc>
          <w:tcPr>
            <w:tcW w:w="1276" w:type="dxa"/>
            <w:vAlign w:val="center"/>
          </w:tcPr>
          <w:p w14:paraId="09DFC7A4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67.58</w:t>
            </w:r>
          </w:p>
        </w:tc>
        <w:tc>
          <w:tcPr>
            <w:tcW w:w="2976" w:type="dxa"/>
            <w:vAlign w:val="center"/>
          </w:tcPr>
          <w:p w14:paraId="37483BE1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研究指导全县工会自身建设；承担县委、县政府及全国总工会交办的其他事项。</w:t>
            </w:r>
          </w:p>
        </w:tc>
        <w:tc>
          <w:tcPr>
            <w:tcW w:w="2976" w:type="dxa"/>
            <w:vAlign w:val="center"/>
          </w:tcPr>
          <w:p w14:paraId="241F8612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加强组织和干部队伍建设，提高干部业务素质和大型企事业单位工会领导干部水平，促进工会事业发展。</w:t>
            </w:r>
          </w:p>
        </w:tc>
        <w:tc>
          <w:tcPr>
            <w:tcW w:w="1417" w:type="dxa"/>
            <w:vAlign w:val="center"/>
          </w:tcPr>
          <w:p w14:paraId="1A3B0F98"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72BDA20B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295AFCE9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1F9CB365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 w14:paraId="5C6604ED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 w14:paraId="32C8049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Align w:val="center"/>
          </w:tcPr>
          <w:p w14:paraId="11F8DD9D"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综合事务管理</w:t>
            </w:r>
          </w:p>
        </w:tc>
        <w:tc>
          <w:tcPr>
            <w:tcW w:w="1276" w:type="dxa"/>
            <w:vAlign w:val="center"/>
          </w:tcPr>
          <w:p w14:paraId="2E4A7A1E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67.58</w:t>
            </w:r>
          </w:p>
        </w:tc>
        <w:tc>
          <w:tcPr>
            <w:tcW w:w="2976" w:type="dxa"/>
            <w:vAlign w:val="center"/>
          </w:tcPr>
          <w:p w14:paraId="41E6D203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研究指导全县工会自身改革和建设；负责工会干部管理制度和培训规划制定以及培训工作；承担县委、县政府及全国总工会交办的其他事项。</w:t>
            </w:r>
          </w:p>
        </w:tc>
        <w:tc>
          <w:tcPr>
            <w:tcW w:w="2976" w:type="dxa"/>
            <w:vAlign w:val="center"/>
          </w:tcPr>
          <w:p w14:paraId="795EDC56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切实提高工会综合事务管理水平，保障单位的正常运转</w:t>
            </w:r>
          </w:p>
        </w:tc>
        <w:tc>
          <w:tcPr>
            <w:tcW w:w="1417" w:type="dxa"/>
            <w:vAlign w:val="center"/>
          </w:tcPr>
          <w:p w14:paraId="4A36F7FC"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综合事务保障率</w:t>
            </w:r>
          </w:p>
        </w:tc>
        <w:tc>
          <w:tcPr>
            <w:tcW w:w="737" w:type="dxa"/>
            <w:vAlign w:val="center"/>
          </w:tcPr>
          <w:p w14:paraId="27052AB7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100</w:t>
            </w:r>
          </w:p>
        </w:tc>
        <w:tc>
          <w:tcPr>
            <w:tcW w:w="737" w:type="dxa"/>
            <w:vAlign w:val="center"/>
          </w:tcPr>
          <w:p w14:paraId="45B69076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90</w:t>
            </w:r>
          </w:p>
        </w:tc>
        <w:tc>
          <w:tcPr>
            <w:tcW w:w="737" w:type="dxa"/>
            <w:vAlign w:val="center"/>
          </w:tcPr>
          <w:p w14:paraId="769BE672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80</w:t>
            </w:r>
          </w:p>
        </w:tc>
        <w:tc>
          <w:tcPr>
            <w:tcW w:w="737" w:type="dxa"/>
            <w:vAlign w:val="center"/>
          </w:tcPr>
          <w:p w14:paraId="0BBE8A88"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70</w:t>
            </w:r>
          </w:p>
        </w:tc>
      </w:tr>
    </w:tbl>
    <w:p w14:paraId="3DB75B42">
      <w:pPr>
        <w:widowControl/>
        <w:spacing w:line="360" w:lineRule="auto"/>
        <w:jc w:val="left"/>
        <w:rPr>
          <w:rFonts w:ascii="Calibri" w:hAnsi="Calibri" w:eastAsia="仿宋_GB2312" w:cs="Calibri"/>
          <w:b/>
          <w:kern w:val="0"/>
          <w:sz w:val="32"/>
          <w:szCs w:val="32"/>
        </w:rPr>
        <w:sectPr>
          <w:pgSz w:w="16839" w:h="11907" w:orient="landscape"/>
          <w:pgMar w:top="1134" w:right="1020" w:bottom="1134" w:left="1020" w:header="851" w:footer="992" w:gutter="0"/>
          <w:cols w:space="0" w:num="1"/>
          <w:docGrid w:type="lines" w:linePitch="321" w:charSpace="0"/>
        </w:sectPr>
      </w:pPr>
    </w:p>
    <w:p w14:paraId="76E135F6">
      <w:pPr>
        <w:pStyle w:val="10"/>
        <w:widowControl/>
        <w:numPr>
          <w:ilvl w:val="0"/>
          <w:numId w:val="2"/>
        </w:numPr>
        <w:spacing w:line="360" w:lineRule="auto"/>
        <w:ind w:firstLineChars="0"/>
        <w:jc w:val="left"/>
        <w:rPr>
          <w:rFonts w:ascii="Calibri" w:hAnsi="Calibri" w:eastAsia="仿宋_GB2312" w:cs="Calibri"/>
          <w:b/>
          <w:kern w:val="0"/>
          <w:sz w:val="32"/>
          <w:szCs w:val="32"/>
        </w:rPr>
      </w:pPr>
      <w:r>
        <w:rPr>
          <w:rFonts w:hint="eastAsia" w:ascii="Calibri" w:hAnsi="Calibri" w:eastAsia="仿宋_GB2312" w:cs="Calibri"/>
          <w:b/>
          <w:kern w:val="0"/>
          <w:sz w:val="32"/>
          <w:szCs w:val="32"/>
        </w:rPr>
        <w:t>政府采购预算情况</w:t>
      </w:r>
    </w:p>
    <w:p w14:paraId="02772018">
      <w:pPr>
        <w:widowControl/>
        <w:spacing w:line="360" w:lineRule="auto"/>
        <w:ind w:left="638" w:leftChars="304" w:firstLine="640"/>
        <w:jc w:val="left"/>
        <w:rPr>
          <w:rFonts w:hint="eastAsia" w:ascii="仿宋_GB2312" w:hAnsi="微软雅黑" w:eastAsia="仿宋_GB2312" w:cs="仿宋_GB2312"/>
          <w:kern w:val="0"/>
          <w:sz w:val="32"/>
          <w:szCs w:val="32"/>
        </w:rPr>
      </w:pPr>
      <w:r>
        <w:rPr>
          <w:rFonts w:ascii="仿宋_GB2312" w:hAnsi="微软雅黑" w:eastAsia="仿宋_GB2312" w:cs="仿宋_GB2312"/>
          <w:kern w:val="0"/>
          <w:sz w:val="32"/>
          <w:szCs w:val="32"/>
        </w:rPr>
        <w:t>政府采购指国家机关、事业单位和社会团体组织，使用财政性资金，购买集中采购目录以内的或者采购限额标准以上的货物、工程或服务的行为。政府采购应遵循公开透明、公平竞争、公正和诚实信用的原则。凡使用纳入预算管理的资金采购符合《河北省政府采购集中采购目录和限额标准》（冀财采[2015]11号）要求的货物、工程或服务的项目，采购人均应编入政府采购预算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ascii="仿宋_GB2312" w:hAnsi="微软雅黑" w:eastAsia="仿宋_GB2312" w:cs="仿宋_GB2312"/>
          <w:kern w:val="0"/>
          <w:sz w:val="32"/>
          <w:szCs w:val="32"/>
        </w:rPr>
        <w:t>按照政府采购相关法律法规要求，结合我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单位</w:t>
      </w:r>
      <w:r>
        <w:rPr>
          <w:rFonts w:ascii="仿宋_GB2312" w:hAnsi="微软雅黑" w:eastAsia="仿宋_GB2312" w:cs="仿宋_GB2312"/>
          <w:kern w:val="0"/>
          <w:sz w:val="32"/>
          <w:szCs w:val="32"/>
        </w:rPr>
        <w:t>实际，201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7</w:t>
      </w:r>
      <w:r>
        <w:rPr>
          <w:rFonts w:ascii="仿宋_GB2312" w:hAnsi="微软雅黑" w:eastAsia="仿宋_GB2312" w:cs="仿宋_GB2312"/>
          <w:kern w:val="0"/>
          <w:sz w:val="32"/>
          <w:szCs w:val="32"/>
        </w:rPr>
        <w:t>年我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单位</w:t>
      </w:r>
      <w:r>
        <w:rPr>
          <w:rFonts w:ascii="仿宋_GB2312" w:hAnsi="微软雅黑" w:eastAsia="仿宋_GB2312" w:cs="仿宋_GB2312"/>
          <w:kern w:val="0"/>
          <w:sz w:val="32"/>
          <w:szCs w:val="32"/>
        </w:rPr>
        <w:t>政府采购事项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0万元，拟购置政府采购17.2万元，其中：电脑10台，单价0.4万元，计4万元；打印机8台，单价0.3万元，计2.4万元；打印复印一体机5台，单价0.5万元，计2.5万元；照相机2台，单价0.4万元，计0.8万元；空调5台，单价0.3万元，计1.5万元；文印设备2台，单价0.3万元，计0.6万元；移动硬盘6个，单价0.6万元，计3.6万元；图书档案设备4台，单价0.1万元，计0.4万元；办公用具7套，单价0.2万元，计1.4万元。</w:t>
      </w:r>
    </w:p>
    <w:p w14:paraId="024CE0F0">
      <w:pPr>
        <w:widowControl/>
        <w:spacing w:line="360" w:lineRule="auto"/>
        <w:ind w:left="638" w:leftChars="304" w:firstLine="640"/>
        <w:jc w:val="left"/>
        <w:rPr>
          <w:rFonts w:hint="eastAsia" w:ascii="仿宋_GB2312" w:hAnsi="微软雅黑" w:eastAsia="仿宋_GB2312" w:cs="仿宋_GB2312"/>
          <w:kern w:val="0"/>
          <w:sz w:val="32"/>
          <w:szCs w:val="32"/>
        </w:rPr>
      </w:pPr>
    </w:p>
    <w:p w14:paraId="6917651A">
      <w:pPr>
        <w:widowControl/>
        <w:spacing w:line="360" w:lineRule="auto"/>
        <w:ind w:left="638" w:leftChars="304" w:firstLine="640"/>
        <w:jc w:val="left"/>
        <w:rPr>
          <w:rFonts w:hint="eastAsia" w:ascii="仿宋_GB2312" w:hAnsi="微软雅黑" w:eastAsia="仿宋_GB2312" w:cs="仿宋_GB2312"/>
          <w:kern w:val="0"/>
          <w:sz w:val="32"/>
          <w:szCs w:val="32"/>
        </w:rPr>
      </w:pPr>
    </w:p>
    <w:p w14:paraId="58C91D27">
      <w:pPr>
        <w:widowControl/>
        <w:spacing w:line="360" w:lineRule="auto"/>
        <w:ind w:left="638" w:leftChars="304" w:firstLine="640"/>
        <w:jc w:val="left"/>
        <w:rPr>
          <w:rFonts w:hint="eastAsia" w:ascii="仿宋_GB2312" w:hAnsi="微软雅黑" w:eastAsia="仿宋_GB2312" w:cs="仿宋_GB2312"/>
          <w:kern w:val="0"/>
          <w:sz w:val="32"/>
          <w:szCs w:val="32"/>
        </w:rPr>
      </w:pPr>
    </w:p>
    <w:p w14:paraId="0FE22ACC">
      <w:pPr>
        <w:widowControl/>
        <w:spacing w:line="360" w:lineRule="auto"/>
        <w:ind w:left="638" w:leftChars="304" w:firstLine="640"/>
        <w:jc w:val="left"/>
        <w:rPr>
          <w:rFonts w:hint="eastAsia" w:ascii="仿宋_GB2312" w:hAnsi="微软雅黑" w:eastAsia="仿宋_GB2312" w:cs="仿宋_GB2312"/>
          <w:kern w:val="0"/>
          <w:sz w:val="32"/>
          <w:szCs w:val="32"/>
        </w:rPr>
      </w:pPr>
    </w:p>
    <w:p w14:paraId="361E7F4B">
      <w:pPr>
        <w:widowControl/>
        <w:spacing w:line="360" w:lineRule="auto"/>
        <w:ind w:left="638" w:leftChars="304" w:firstLine="640"/>
        <w:jc w:val="left"/>
        <w:rPr>
          <w:rFonts w:hint="eastAsia" w:ascii="仿宋_GB2312" w:hAnsi="微软雅黑" w:eastAsia="仿宋_GB2312" w:cs="仿宋_GB2312"/>
          <w:kern w:val="0"/>
          <w:sz w:val="32"/>
          <w:szCs w:val="32"/>
        </w:rPr>
      </w:pPr>
    </w:p>
    <w:p w14:paraId="598007BE">
      <w:pPr>
        <w:widowControl/>
        <w:spacing w:line="360" w:lineRule="auto"/>
        <w:ind w:left="638" w:leftChars="304" w:firstLine="640"/>
        <w:jc w:val="left"/>
        <w:rPr>
          <w:rFonts w:hint="eastAsia" w:ascii="仿宋_GB2312" w:hAnsi="微软雅黑" w:eastAsia="仿宋_GB2312" w:cs="仿宋_GB2312"/>
          <w:kern w:val="0"/>
          <w:sz w:val="32"/>
          <w:szCs w:val="32"/>
        </w:rPr>
      </w:pPr>
    </w:p>
    <w:p w14:paraId="14B0FC0E">
      <w:pPr>
        <w:widowControl/>
        <w:spacing w:line="360" w:lineRule="auto"/>
        <w:ind w:left="638" w:leftChars="304" w:firstLine="640"/>
        <w:jc w:val="left"/>
        <w:rPr>
          <w:rFonts w:hint="eastAsia" w:ascii="仿宋_GB2312" w:hAnsi="微软雅黑" w:eastAsia="仿宋_GB2312" w:cs="仿宋_GB2312"/>
          <w:kern w:val="0"/>
          <w:sz w:val="32"/>
          <w:szCs w:val="32"/>
        </w:rPr>
      </w:pPr>
    </w:p>
    <w:p w14:paraId="6B3EFF69">
      <w:pPr>
        <w:spacing w:line="560" w:lineRule="exact"/>
        <w:jc w:val="center"/>
        <w:outlineLvl w:val="0"/>
        <w:rPr>
          <w:rFonts w:ascii="宋体" w:hAnsi="宋体" w:eastAsia="宋体" w:cs="Times New Roman"/>
          <w:sz w:val="32"/>
          <w:szCs w:val="32"/>
        </w:rPr>
      </w:pPr>
      <w:r>
        <w:rPr>
          <w:rFonts w:hint="eastAsia" w:ascii="宋体" w:hAnsi="宋体" w:eastAsia="宋体" w:cs="方正小标宋_GBK"/>
          <w:sz w:val="32"/>
          <w:szCs w:val="32"/>
        </w:rPr>
        <w:t>部门政府采购预算</w:t>
      </w:r>
    </w:p>
    <w:tbl>
      <w:tblPr>
        <w:tblStyle w:val="6"/>
        <w:tblW w:w="9621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4"/>
        <w:gridCol w:w="667"/>
        <w:gridCol w:w="1110"/>
        <w:gridCol w:w="873"/>
        <w:gridCol w:w="549"/>
        <w:gridCol w:w="549"/>
        <w:gridCol w:w="3"/>
        <w:gridCol w:w="561"/>
        <w:gridCol w:w="562"/>
        <w:gridCol w:w="562"/>
        <w:gridCol w:w="562"/>
        <w:gridCol w:w="511"/>
        <w:gridCol w:w="551"/>
        <w:gridCol w:w="506"/>
        <w:gridCol w:w="45"/>
        <w:gridCol w:w="516"/>
      </w:tblGrid>
      <w:tr w14:paraId="59C1CFD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561" w:type="dxa"/>
          <w:tblHeader/>
          <w:jc w:val="center"/>
        </w:trPr>
        <w:tc>
          <w:tcPr>
            <w:tcW w:w="5245" w:type="dxa"/>
            <w:gridSpan w:val="7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68A1314D">
            <w:pPr>
              <w:spacing w:line="560" w:lineRule="exact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方正小标宋_GBK"/>
                <w:sz w:val="24"/>
                <w:szCs w:val="24"/>
              </w:rPr>
              <w:t>部门（单位）名称</w:t>
            </w:r>
            <w:r>
              <w:rPr>
                <w:rFonts w:hint="eastAsia" w:ascii="宋体" w:hAnsi="宋体" w:eastAsia="宋体" w:cs="方正小标宋_GBK"/>
                <w:sz w:val="24"/>
                <w:szCs w:val="24"/>
                <w:lang w:eastAsia="zh-CN"/>
              </w:rPr>
              <w:t>：成安县总工会</w:t>
            </w:r>
          </w:p>
        </w:tc>
        <w:tc>
          <w:tcPr>
            <w:tcW w:w="3815" w:type="dxa"/>
            <w:gridSpan w:val="7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6BD0ED53">
            <w:pPr>
              <w:spacing w:line="560" w:lineRule="exact"/>
              <w:jc w:val="righ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方正书宋_GBK"/>
                <w:sz w:val="24"/>
                <w:szCs w:val="24"/>
              </w:rPr>
              <w:t>单位：万元</w:t>
            </w:r>
          </w:p>
        </w:tc>
      </w:tr>
      <w:tr w14:paraId="1B8B208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161" w:type="dxa"/>
            <w:gridSpan w:val="2"/>
            <w:vAlign w:val="center"/>
          </w:tcPr>
          <w:p w14:paraId="64A9F79B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政府采购项目来源</w:t>
            </w:r>
          </w:p>
        </w:tc>
        <w:tc>
          <w:tcPr>
            <w:tcW w:w="1110" w:type="dxa"/>
            <w:vMerge w:val="restart"/>
            <w:vAlign w:val="center"/>
          </w:tcPr>
          <w:p w14:paraId="6DB24589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采购物品名称</w:t>
            </w:r>
          </w:p>
        </w:tc>
        <w:tc>
          <w:tcPr>
            <w:tcW w:w="873" w:type="dxa"/>
            <w:vMerge w:val="restart"/>
            <w:vAlign w:val="center"/>
          </w:tcPr>
          <w:p w14:paraId="772E1477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政府采购目录序号</w:t>
            </w:r>
          </w:p>
        </w:tc>
        <w:tc>
          <w:tcPr>
            <w:tcW w:w="549" w:type="dxa"/>
            <w:vMerge w:val="restart"/>
            <w:vAlign w:val="center"/>
          </w:tcPr>
          <w:p w14:paraId="683315EE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数量</w:t>
            </w:r>
            <w:r>
              <w:rPr>
                <w:rFonts w:ascii="宋体" w:hAnsi="宋体" w:eastAsia="宋体" w:cs="方正书宋_GBK"/>
                <w:b/>
                <w:bCs/>
              </w:rPr>
              <w:t xml:space="preserve">  </w:t>
            </w:r>
            <w:r>
              <w:rPr>
                <w:rFonts w:hint="eastAsia" w:ascii="宋体" w:hAnsi="宋体" w:eastAsia="宋体" w:cs="方正书宋_GBK"/>
                <w:b/>
                <w:bCs/>
              </w:rPr>
              <w:t>单位</w:t>
            </w:r>
          </w:p>
        </w:tc>
        <w:tc>
          <w:tcPr>
            <w:tcW w:w="549" w:type="dxa"/>
            <w:vMerge w:val="restart"/>
            <w:vAlign w:val="center"/>
          </w:tcPr>
          <w:p w14:paraId="6A6BD39C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数量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 w14:paraId="6F9D896A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单价</w:t>
            </w:r>
          </w:p>
        </w:tc>
        <w:tc>
          <w:tcPr>
            <w:tcW w:w="3815" w:type="dxa"/>
            <w:gridSpan w:val="8"/>
            <w:vAlign w:val="center"/>
          </w:tcPr>
          <w:p w14:paraId="53441A3A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政府采购金额</w:t>
            </w:r>
          </w:p>
        </w:tc>
      </w:tr>
      <w:tr w14:paraId="7BD3768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494" w:type="dxa"/>
            <w:vMerge w:val="restart"/>
            <w:vAlign w:val="center"/>
          </w:tcPr>
          <w:p w14:paraId="6AA7A1E6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项目名称</w:t>
            </w:r>
          </w:p>
        </w:tc>
        <w:tc>
          <w:tcPr>
            <w:tcW w:w="667" w:type="dxa"/>
            <w:vMerge w:val="restart"/>
            <w:vAlign w:val="center"/>
          </w:tcPr>
          <w:p w14:paraId="0EC7F904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预算资金</w:t>
            </w:r>
          </w:p>
        </w:tc>
        <w:tc>
          <w:tcPr>
            <w:tcW w:w="1110" w:type="dxa"/>
            <w:vMerge w:val="continue"/>
            <w:vAlign w:val="center"/>
          </w:tcPr>
          <w:p w14:paraId="3AFCD776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873" w:type="dxa"/>
            <w:vMerge w:val="continue"/>
            <w:vAlign w:val="center"/>
          </w:tcPr>
          <w:p w14:paraId="0575CB01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Merge w:val="continue"/>
            <w:vAlign w:val="center"/>
          </w:tcPr>
          <w:p w14:paraId="227DC9B1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Merge w:val="continue"/>
            <w:vAlign w:val="center"/>
          </w:tcPr>
          <w:p w14:paraId="2CE48B96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64" w:type="dxa"/>
            <w:gridSpan w:val="2"/>
            <w:vMerge w:val="continue"/>
            <w:vAlign w:val="center"/>
          </w:tcPr>
          <w:p w14:paraId="64654848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62" w:type="dxa"/>
            <w:vMerge w:val="restart"/>
            <w:vAlign w:val="center"/>
          </w:tcPr>
          <w:p w14:paraId="18A62689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总计</w:t>
            </w:r>
          </w:p>
        </w:tc>
        <w:tc>
          <w:tcPr>
            <w:tcW w:w="2737" w:type="dxa"/>
            <w:gridSpan w:val="6"/>
            <w:vAlign w:val="center"/>
          </w:tcPr>
          <w:p w14:paraId="5628C52D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当年部门预算安排资金</w:t>
            </w:r>
          </w:p>
        </w:tc>
        <w:tc>
          <w:tcPr>
            <w:tcW w:w="516" w:type="dxa"/>
            <w:vMerge w:val="restart"/>
            <w:vAlign w:val="center"/>
          </w:tcPr>
          <w:p w14:paraId="13C9B1D6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其他渠道资金</w:t>
            </w:r>
          </w:p>
        </w:tc>
      </w:tr>
      <w:tr w14:paraId="351B699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494" w:type="dxa"/>
            <w:vMerge w:val="continue"/>
            <w:vAlign w:val="center"/>
          </w:tcPr>
          <w:p w14:paraId="3A28F172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667" w:type="dxa"/>
            <w:vMerge w:val="continue"/>
            <w:vAlign w:val="center"/>
          </w:tcPr>
          <w:p w14:paraId="4F1CCCE5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1110" w:type="dxa"/>
            <w:vMerge w:val="continue"/>
            <w:vAlign w:val="center"/>
          </w:tcPr>
          <w:p w14:paraId="2B158D27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873" w:type="dxa"/>
            <w:vMerge w:val="continue"/>
            <w:vAlign w:val="center"/>
          </w:tcPr>
          <w:p w14:paraId="7FAF7D2D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Merge w:val="continue"/>
            <w:vAlign w:val="center"/>
          </w:tcPr>
          <w:p w14:paraId="7120B130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Merge w:val="continue"/>
            <w:vAlign w:val="center"/>
          </w:tcPr>
          <w:p w14:paraId="0AAF150C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64" w:type="dxa"/>
            <w:gridSpan w:val="2"/>
            <w:vMerge w:val="continue"/>
            <w:vAlign w:val="center"/>
          </w:tcPr>
          <w:p w14:paraId="0726271A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62" w:type="dxa"/>
            <w:vMerge w:val="continue"/>
            <w:vAlign w:val="center"/>
          </w:tcPr>
          <w:p w14:paraId="47431BD6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62" w:type="dxa"/>
            <w:vAlign w:val="center"/>
          </w:tcPr>
          <w:p w14:paraId="189A0D66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合计</w:t>
            </w:r>
          </w:p>
        </w:tc>
        <w:tc>
          <w:tcPr>
            <w:tcW w:w="562" w:type="dxa"/>
            <w:vAlign w:val="center"/>
          </w:tcPr>
          <w:p w14:paraId="547187E9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一般公共预算拨款</w:t>
            </w:r>
          </w:p>
        </w:tc>
        <w:tc>
          <w:tcPr>
            <w:tcW w:w="511" w:type="dxa"/>
            <w:vAlign w:val="center"/>
          </w:tcPr>
          <w:p w14:paraId="251B9BEE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基金预算拨款</w:t>
            </w:r>
          </w:p>
        </w:tc>
        <w:tc>
          <w:tcPr>
            <w:tcW w:w="551" w:type="dxa"/>
            <w:vAlign w:val="center"/>
          </w:tcPr>
          <w:p w14:paraId="1E9B4250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财政专户核拨</w:t>
            </w:r>
          </w:p>
        </w:tc>
        <w:tc>
          <w:tcPr>
            <w:tcW w:w="551" w:type="dxa"/>
            <w:gridSpan w:val="2"/>
            <w:vAlign w:val="center"/>
          </w:tcPr>
          <w:p w14:paraId="6636A5AD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其他来源收入</w:t>
            </w:r>
          </w:p>
        </w:tc>
        <w:tc>
          <w:tcPr>
            <w:tcW w:w="516" w:type="dxa"/>
            <w:vMerge w:val="continue"/>
            <w:vAlign w:val="center"/>
          </w:tcPr>
          <w:p w14:paraId="1F168EE6"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</w:tr>
      <w:tr w14:paraId="0B0D67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4" w:type="dxa"/>
            <w:vAlign w:val="center"/>
          </w:tcPr>
          <w:p w14:paraId="3CA52D1F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合　计</w:t>
            </w:r>
          </w:p>
        </w:tc>
        <w:tc>
          <w:tcPr>
            <w:tcW w:w="667" w:type="dxa"/>
            <w:vAlign w:val="center"/>
          </w:tcPr>
          <w:p w14:paraId="57A43100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</w:p>
        </w:tc>
        <w:tc>
          <w:tcPr>
            <w:tcW w:w="1110" w:type="dxa"/>
            <w:vAlign w:val="center"/>
          </w:tcPr>
          <w:p w14:paraId="5FDFBCF0"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</w:p>
        </w:tc>
        <w:tc>
          <w:tcPr>
            <w:tcW w:w="873" w:type="dxa"/>
            <w:vAlign w:val="center"/>
          </w:tcPr>
          <w:p w14:paraId="764DA8D2"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</w:p>
        </w:tc>
        <w:tc>
          <w:tcPr>
            <w:tcW w:w="549" w:type="dxa"/>
            <w:vAlign w:val="center"/>
          </w:tcPr>
          <w:p w14:paraId="0A13C2C0"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</w:p>
        </w:tc>
        <w:tc>
          <w:tcPr>
            <w:tcW w:w="549" w:type="dxa"/>
            <w:vAlign w:val="center"/>
          </w:tcPr>
          <w:p w14:paraId="64DF75E7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</w:p>
        </w:tc>
        <w:tc>
          <w:tcPr>
            <w:tcW w:w="564" w:type="dxa"/>
            <w:gridSpan w:val="2"/>
            <w:vAlign w:val="center"/>
          </w:tcPr>
          <w:p w14:paraId="7BE4EF71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</w:p>
        </w:tc>
        <w:tc>
          <w:tcPr>
            <w:tcW w:w="562" w:type="dxa"/>
            <w:vAlign w:val="center"/>
          </w:tcPr>
          <w:p w14:paraId="0648D154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</w:p>
        </w:tc>
        <w:tc>
          <w:tcPr>
            <w:tcW w:w="562" w:type="dxa"/>
            <w:vAlign w:val="center"/>
          </w:tcPr>
          <w:p w14:paraId="77A3A20D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17.2</w:t>
            </w:r>
          </w:p>
        </w:tc>
        <w:tc>
          <w:tcPr>
            <w:tcW w:w="562" w:type="dxa"/>
            <w:vAlign w:val="center"/>
          </w:tcPr>
          <w:p w14:paraId="2CB3D3E1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</w:p>
        </w:tc>
        <w:tc>
          <w:tcPr>
            <w:tcW w:w="511" w:type="dxa"/>
            <w:vAlign w:val="center"/>
          </w:tcPr>
          <w:p w14:paraId="13345FB0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</w:p>
        </w:tc>
        <w:tc>
          <w:tcPr>
            <w:tcW w:w="551" w:type="dxa"/>
            <w:vAlign w:val="center"/>
          </w:tcPr>
          <w:p w14:paraId="69C15B09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</w:p>
        </w:tc>
        <w:tc>
          <w:tcPr>
            <w:tcW w:w="551" w:type="dxa"/>
            <w:gridSpan w:val="2"/>
            <w:vAlign w:val="center"/>
          </w:tcPr>
          <w:p w14:paraId="05226005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</w:p>
        </w:tc>
        <w:tc>
          <w:tcPr>
            <w:tcW w:w="516" w:type="dxa"/>
            <w:vAlign w:val="center"/>
          </w:tcPr>
          <w:p w14:paraId="6F3E0F54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</w:p>
        </w:tc>
      </w:tr>
      <w:tr w14:paraId="08B1478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4" w:type="dxa"/>
            <w:vAlign w:val="center"/>
          </w:tcPr>
          <w:p w14:paraId="682029F9"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667" w:type="dxa"/>
            <w:vAlign w:val="center"/>
          </w:tcPr>
          <w:p w14:paraId="276E3B2A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1110" w:type="dxa"/>
            <w:vAlign w:val="center"/>
          </w:tcPr>
          <w:p w14:paraId="1E880E24"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b/>
                <w:bCs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电脑</w:t>
            </w:r>
          </w:p>
        </w:tc>
        <w:tc>
          <w:tcPr>
            <w:tcW w:w="873" w:type="dxa"/>
            <w:vAlign w:val="center"/>
          </w:tcPr>
          <w:p w14:paraId="63F3B5BE">
            <w:pPr>
              <w:spacing w:line="560" w:lineRule="exact"/>
              <w:jc w:val="lef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549" w:type="dxa"/>
            <w:vAlign w:val="center"/>
          </w:tcPr>
          <w:p w14:paraId="49578612">
            <w:pPr>
              <w:spacing w:line="560" w:lineRule="exact"/>
              <w:jc w:val="left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台</w:t>
            </w:r>
          </w:p>
        </w:tc>
        <w:tc>
          <w:tcPr>
            <w:tcW w:w="549" w:type="dxa"/>
            <w:vAlign w:val="center"/>
          </w:tcPr>
          <w:p w14:paraId="76859197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10</w:t>
            </w:r>
          </w:p>
        </w:tc>
        <w:tc>
          <w:tcPr>
            <w:tcW w:w="564" w:type="dxa"/>
            <w:gridSpan w:val="2"/>
            <w:vAlign w:val="center"/>
          </w:tcPr>
          <w:p w14:paraId="61F6992A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0.4</w:t>
            </w:r>
          </w:p>
        </w:tc>
        <w:tc>
          <w:tcPr>
            <w:tcW w:w="562" w:type="dxa"/>
            <w:vAlign w:val="center"/>
          </w:tcPr>
          <w:p w14:paraId="3312E403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4</w:t>
            </w:r>
          </w:p>
        </w:tc>
        <w:tc>
          <w:tcPr>
            <w:tcW w:w="562" w:type="dxa"/>
            <w:vAlign w:val="center"/>
          </w:tcPr>
          <w:p w14:paraId="2EBEF5AF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4</w:t>
            </w:r>
          </w:p>
        </w:tc>
        <w:tc>
          <w:tcPr>
            <w:tcW w:w="562" w:type="dxa"/>
            <w:vAlign w:val="center"/>
          </w:tcPr>
          <w:p w14:paraId="1E1F7CC7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511" w:type="dxa"/>
            <w:vAlign w:val="center"/>
          </w:tcPr>
          <w:p w14:paraId="2447E085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551" w:type="dxa"/>
            <w:vAlign w:val="center"/>
          </w:tcPr>
          <w:p w14:paraId="4B006463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551" w:type="dxa"/>
            <w:gridSpan w:val="2"/>
            <w:vAlign w:val="center"/>
          </w:tcPr>
          <w:p w14:paraId="7E69A39B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516" w:type="dxa"/>
            <w:vAlign w:val="center"/>
          </w:tcPr>
          <w:p w14:paraId="436B803E"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</w:tr>
      <w:tr w14:paraId="3B90CFC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4" w:type="dxa"/>
            <w:vAlign w:val="center"/>
          </w:tcPr>
          <w:p w14:paraId="7D4B2BA1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667" w:type="dxa"/>
            <w:vAlign w:val="center"/>
          </w:tcPr>
          <w:p w14:paraId="0A198000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1110" w:type="dxa"/>
            <w:vAlign w:val="center"/>
          </w:tcPr>
          <w:p w14:paraId="449F3040"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eastAsia="zh-CN"/>
              </w:rPr>
              <w:t>打印机</w:t>
            </w:r>
          </w:p>
        </w:tc>
        <w:tc>
          <w:tcPr>
            <w:tcW w:w="873" w:type="dxa"/>
            <w:vAlign w:val="center"/>
          </w:tcPr>
          <w:p w14:paraId="426DB976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Align w:val="center"/>
          </w:tcPr>
          <w:p w14:paraId="33F7BC63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台</w:t>
            </w:r>
          </w:p>
        </w:tc>
        <w:tc>
          <w:tcPr>
            <w:tcW w:w="549" w:type="dxa"/>
            <w:vAlign w:val="center"/>
          </w:tcPr>
          <w:p w14:paraId="76AEB591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8</w:t>
            </w:r>
          </w:p>
        </w:tc>
        <w:tc>
          <w:tcPr>
            <w:tcW w:w="564" w:type="dxa"/>
            <w:gridSpan w:val="2"/>
            <w:vAlign w:val="center"/>
          </w:tcPr>
          <w:p w14:paraId="20E5CC11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0.3</w:t>
            </w:r>
          </w:p>
        </w:tc>
        <w:tc>
          <w:tcPr>
            <w:tcW w:w="562" w:type="dxa"/>
            <w:vAlign w:val="center"/>
          </w:tcPr>
          <w:p w14:paraId="4DAA53AF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2.4</w:t>
            </w:r>
          </w:p>
        </w:tc>
        <w:tc>
          <w:tcPr>
            <w:tcW w:w="562" w:type="dxa"/>
            <w:vAlign w:val="center"/>
          </w:tcPr>
          <w:p w14:paraId="36E89488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2.4</w:t>
            </w:r>
          </w:p>
        </w:tc>
        <w:tc>
          <w:tcPr>
            <w:tcW w:w="562" w:type="dxa"/>
            <w:vAlign w:val="center"/>
          </w:tcPr>
          <w:p w14:paraId="0063F35E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1" w:type="dxa"/>
            <w:vAlign w:val="center"/>
          </w:tcPr>
          <w:p w14:paraId="536BF1FD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vAlign w:val="center"/>
          </w:tcPr>
          <w:p w14:paraId="415A40D8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gridSpan w:val="2"/>
            <w:vAlign w:val="center"/>
          </w:tcPr>
          <w:p w14:paraId="1ECDC43C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6" w:type="dxa"/>
            <w:vAlign w:val="center"/>
          </w:tcPr>
          <w:p w14:paraId="1E4012C7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</w:tr>
      <w:tr w14:paraId="762FA7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4" w:type="dxa"/>
            <w:vAlign w:val="center"/>
          </w:tcPr>
          <w:p w14:paraId="0F6ABDA5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667" w:type="dxa"/>
            <w:vAlign w:val="center"/>
          </w:tcPr>
          <w:p w14:paraId="036C8405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1110" w:type="dxa"/>
            <w:vAlign w:val="center"/>
          </w:tcPr>
          <w:p w14:paraId="1EAC0FAB"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打印复印一体机</w:t>
            </w:r>
          </w:p>
        </w:tc>
        <w:tc>
          <w:tcPr>
            <w:tcW w:w="873" w:type="dxa"/>
            <w:vAlign w:val="center"/>
          </w:tcPr>
          <w:p w14:paraId="6AB1F21F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Align w:val="center"/>
          </w:tcPr>
          <w:p w14:paraId="7821AB3E"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台</w:t>
            </w:r>
          </w:p>
        </w:tc>
        <w:tc>
          <w:tcPr>
            <w:tcW w:w="549" w:type="dxa"/>
            <w:vAlign w:val="center"/>
          </w:tcPr>
          <w:p w14:paraId="687B8062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5</w:t>
            </w:r>
          </w:p>
        </w:tc>
        <w:tc>
          <w:tcPr>
            <w:tcW w:w="564" w:type="dxa"/>
            <w:gridSpan w:val="2"/>
            <w:vAlign w:val="center"/>
          </w:tcPr>
          <w:p w14:paraId="4CF552C4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0.5</w:t>
            </w:r>
          </w:p>
        </w:tc>
        <w:tc>
          <w:tcPr>
            <w:tcW w:w="562" w:type="dxa"/>
            <w:vAlign w:val="center"/>
          </w:tcPr>
          <w:p w14:paraId="4FC157F2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2.5</w:t>
            </w:r>
          </w:p>
        </w:tc>
        <w:tc>
          <w:tcPr>
            <w:tcW w:w="562" w:type="dxa"/>
            <w:vAlign w:val="center"/>
          </w:tcPr>
          <w:p w14:paraId="22F053E1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2.5</w:t>
            </w:r>
          </w:p>
        </w:tc>
        <w:tc>
          <w:tcPr>
            <w:tcW w:w="562" w:type="dxa"/>
            <w:vAlign w:val="center"/>
          </w:tcPr>
          <w:p w14:paraId="75826876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1" w:type="dxa"/>
            <w:vAlign w:val="center"/>
          </w:tcPr>
          <w:p w14:paraId="5C2DEFA8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vAlign w:val="center"/>
          </w:tcPr>
          <w:p w14:paraId="78E5D4E8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gridSpan w:val="2"/>
            <w:vAlign w:val="center"/>
          </w:tcPr>
          <w:p w14:paraId="03C1F661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6" w:type="dxa"/>
            <w:vAlign w:val="center"/>
          </w:tcPr>
          <w:p w14:paraId="7310178C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</w:tr>
      <w:tr w14:paraId="72B9741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4" w:type="dxa"/>
            <w:vAlign w:val="center"/>
          </w:tcPr>
          <w:p w14:paraId="69EC9AA2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667" w:type="dxa"/>
            <w:vAlign w:val="center"/>
          </w:tcPr>
          <w:p w14:paraId="7BE1A95A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1110" w:type="dxa"/>
            <w:vAlign w:val="center"/>
          </w:tcPr>
          <w:p w14:paraId="6B912172"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照相机</w:t>
            </w:r>
          </w:p>
        </w:tc>
        <w:tc>
          <w:tcPr>
            <w:tcW w:w="873" w:type="dxa"/>
            <w:vAlign w:val="center"/>
          </w:tcPr>
          <w:p w14:paraId="79B40637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Align w:val="center"/>
          </w:tcPr>
          <w:p w14:paraId="25F15323"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台</w:t>
            </w:r>
          </w:p>
        </w:tc>
        <w:tc>
          <w:tcPr>
            <w:tcW w:w="549" w:type="dxa"/>
            <w:vAlign w:val="center"/>
          </w:tcPr>
          <w:p w14:paraId="0A602260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２</w:t>
            </w:r>
          </w:p>
        </w:tc>
        <w:tc>
          <w:tcPr>
            <w:tcW w:w="564" w:type="dxa"/>
            <w:gridSpan w:val="2"/>
            <w:vAlign w:val="center"/>
          </w:tcPr>
          <w:p w14:paraId="10D6289E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0.4</w:t>
            </w:r>
          </w:p>
        </w:tc>
        <w:tc>
          <w:tcPr>
            <w:tcW w:w="562" w:type="dxa"/>
            <w:vAlign w:val="center"/>
          </w:tcPr>
          <w:p w14:paraId="080E7E18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0.8</w:t>
            </w:r>
          </w:p>
        </w:tc>
        <w:tc>
          <w:tcPr>
            <w:tcW w:w="562" w:type="dxa"/>
            <w:vAlign w:val="center"/>
          </w:tcPr>
          <w:p w14:paraId="305EBD88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0.8</w:t>
            </w:r>
          </w:p>
        </w:tc>
        <w:tc>
          <w:tcPr>
            <w:tcW w:w="562" w:type="dxa"/>
            <w:vAlign w:val="center"/>
          </w:tcPr>
          <w:p w14:paraId="523AD933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1" w:type="dxa"/>
            <w:vAlign w:val="center"/>
          </w:tcPr>
          <w:p w14:paraId="0E396331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vAlign w:val="center"/>
          </w:tcPr>
          <w:p w14:paraId="7458EA0A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gridSpan w:val="2"/>
            <w:vAlign w:val="center"/>
          </w:tcPr>
          <w:p w14:paraId="7C4676C1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6" w:type="dxa"/>
            <w:vAlign w:val="center"/>
          </w:tcPr>
          <w:p w14:paraId="1982AD56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</w:tr>
      <w:tr w14:paraId="7ADD651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4" w:type="dxa"/>
            <w:vAlign w:val="center"/>
          </w:tcPr>
          <w:p w14:paraId="3D051253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667" w:type="dxa"/>
            <w:vAlign w:val="center"/>
          </w:tcPr>
          <w:p w14:paraId="78550D7D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1110" w:type="dxa"/>
            <w:vAlign w:val="center"/>
          </w:tcPr>
          <w:p w14:paraId="1B7D43F7"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空调</w:t>
            </w:r>
          </w:p>
        </w:tc>
        <w:tc>
          <w:tcPr>
            <w:tcW w:w="873" w:type="dxa"/>
            <w:vAlign w:val="center"/>
          </w:tcPr>
          <w:p w14:paraId="1AF1FCAE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Align w:val="center"/>
          </w:tcPr>
          <w:p w14:paraId="0B13AAF9"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台</w:t>
            </w:r>
          </w:p>
        </w:tc>
        <w:tc>
          <w:tcPr>
            <w:tcW w:w="549" w:type="dxa"/>
            <w:vAlign w:val="center"/>
          </w:tcPr>
          <w:p w14:paraId="199AF96F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5</w:t>
            </w:r>
          </w:p>
        </w:tc>
        <w:tc>
          <w:tcPr>
            <w:tcW w:w="564" w:type="dxa"/>
            <w:gridSpan w:val="2"/>
            <w:vAlign w:val="center"/>
          </w:tcPr>
          <w:p w14:paraId="46CDEF68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0.6</w:t>
            </w:r>
          </w:p>
        </w:tc>
        <w:tc>
          <w:tcPr>
            <w:tcW w:w="562" w:type="dxa"/>
            <w:vAlign w:val="center"/>
          </w:tcPr>
          <w:p w14:paraId="7E7FCF77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1.5</w:t>
            </w:r>
          </w:p>
        </w:tc>
        <w:tc>
          <w:tcPr>
            <w:tcW w:w="562" w:type="dxa"/>
            <w:vAlign w:val="center"/>
          </w:tcPr>
          <w:p w14:paraId="5D229EA2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1.5</w:t>
            </w:r>
          </w:p>
        </w:tc>
        <w:tc>
          <w:tcPr>
            <w:tcW w:w="562" w:type="dxa"/>
            <w:vAlign w:val="center"/>
          </w:tcPr>
          <w:p w14:paraId="1BDB9E2E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1" w:type="dxa"/>
            <w:vAlign w:val="center"/>
          </w:tcPr>
          <w:p w14:paraId="5AB78CAE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vAlign w:val="center"/>
          </w:tcPr>
          <w:p w14:paraId="7D8118AB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gridSpan w:val="2"/>
            <w:vAlign w:val="center"/>
          </w:tcPr>
          <w:p w14:paraId="607791A3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6" w:type="dxa"/>
            <w:vAlign w:val="center"/>
          </w:tcPr>
          <w:p w14:paraId="385BC460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</w:tr>
      <w:tr w14:paraId="799AC8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4" w:type="dxa"/>
            <w:vAlign w:val="center"/>
          </w:tcPr>
          <w:p w14:paraId="0DA4AEBF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667" w:type="dxa"/>
            <w:vAlign w:val="center"/>
          </w:tcPr>
          <w:p w14:paraId="44614CE5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1110" w:type="dxa"/>
            <w:vAlign w:val="center"/>
          </w:tcPr>
          <w:p w14:paraId="28561A2C"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文印设备</w:t>
            </w:r>
          </w:p>
        </w:tc>
        <w:tc>
          <w:tcPr>
            <w:tcW w:w="873" w:type="dxa"/>
            <w:vAlign w:val="center"/>
          </w:tcPr>
          <w:p w14:paraId="7D553704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Align w:val="center"/>
          </w:tcPr>
          <w:p w14:paraId="2E6F2724"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台</w:t>
            </w:r>
          </w:p>
        </w:tc>
        <w:tc>
          <w:tcPr>
            <w:tcW w:w="549" w:type="dxa"/>
            <w:vAlign w:val="center"/>
          </w:tcPr>
          <w:p w14:paraId="6BB0A51B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２</w:t>
            </w:r>
          </w:p>
        </w:tc>
        <w:tc>
          <w:tcPr>
            <w:tcW w:w="564" w:type="dxa"/>
            <w:gridSpan w:val="2"/>
            <w:vAlign w:val="center"/>
          </w:tcPr>
          <w:p w14:paraId="19C8DB22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0.3</w:t>
            </w:r>
          </w:p>
        </w:tc>
        <w:tc>
          <w:tcPr>
            <w:tcW w:w="562" w:type="dxa"/>
            <w:vAlign w:val="center"/>
          </w:tcPr>
          <w:p w14:paraId="3F60BF25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0.6</w:t>
            </w:r>
          </w:p>
        </w:tc>
        <w:tc>
          <w:tcPr>
            <w:tcW w:w="562" w:type="dxa"/>
            <w:vAlign w:val="center"/>
          </w:tcPr>
          <w:p w14:paraId="264F07F5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0.6</w:t>
            </w:r>
          </w:p>
        </w:tc>
        <w:tc>
          <w:tcPr>
            <w:tcW w:w="562" w:type="dxa"/>
            <w:vAlign w:val="center"/>
          </w:tcPr>
          <w:p w14:paraId="38F7A060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1" w:type="dxa"/>
            <w:vAlign w:val="center"/>
          </w:tcPr>
          <w:p w14:paraId="59896072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vAlign w:val="center"/>
          </w:tcPr>
          <w:p w14:paraId="5407958A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gridSpan w:val="2"/>
            <w:vAlign w:val="center"/>
          </w:tcPr>
          <w:p w14:paraId="57955529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6" w:type="dxa"/>
            <w:vAlign w:val="center"/>
          </w:tcPr>
          <w:p w14:paraId="2B448262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</w:tr>
      <w:tr w14:paraId="19CF677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4" w:type="dxa"/>
            <w:vAlign w:val="center"/>
          </w:tcPr>
          <w:p w14:paraId="4F50439F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667" w:type="dxa"/>
            <w:vAlign w:val="center"/>
          </w:tcPr>
          <w:p w14:paraId="3CE925C6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1110" w:type="dxa"/>
            <w:vAlign w:val="center"/>
          </w:tcPr>
          <w:p w14:paraId="168A8B3F"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图书档案设备</w:t>
            </w:r>
          </w:p>
        </w:tc>
        <w:tc>
          <w:tcPr>
            <w:tcW w:w="873" w:type="dxa"/>
            <w:vAlign w:val="center"/>
          </w:tcPr>
          <w:p w14:paraId="25FD327A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Align w:val="center"/>
          </w:tcPr>
          <w:p w14:paraId="1D6CB966"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台</w:t>
            </w:r>
          </w:p>
        </w:tc>
        <w:tc>
          <w:tcPr>
            <w:tcW w:w="549" w:type="dxa"/>
            <w:vAlign w:val="center"/>
          </w:tcPr>
          <w:p w14:paraId="01C8B7FA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 w14:paraId="6D125C7C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0.1</w:t>
            </w:r>
          </w:p>
        </w:tc>
        <w:tc>
          <w:tcPr>
            <w:tcW w:w="562" w:type="dxa"/>
            <w:vAlign w:val="center"/>
          </w:tcPr>
          <w:p w14:paraId="37E5155A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0.4</w:t>
            </w:r>
          </w:p>
        </w:tc>
        <w:tc>
          <w:tcPr>
            <w:tcW w:w="562" w:type="dxa"/>
            <w:vAlign w:val="center"/>
          </w:tcPr>
          <w:p w14:paraId="4E3FDD09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0.4</w:t>
            </w:r>
          </w:p>
        </w:tc>
        <w:tc>
          <w:tcPr>
            <w:tcW w:w="562" w:type="dxa"/>
            <w:vAlign w:val="center"/>
          </w:tcPr>
          <w:p w14:paraId="41734F44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1" w:type="dxa"/>
            <w:vAlign w:val="center"/>
          </w:tcPr>
          <w:p w14:paraId="02FE176F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vAlign w:val="center"/>
          </w:tcPr>
          <w:p w14:paraId="0E8BDA90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gridSpan w:val="2"/>
            <w:vAlign w:val="center"/>
          </w:tcPr>
          <w:p w14:paraId="6C01583B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6" w:type="dxa"/>
            <w:vAlign w:val="center"/>
          </w:tcPr>
          <w:p w14:paraId="2B1C9252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</w:tr>
      <w:tr w14:paraId="742938E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4" w:type="dxa"/>
            <w:vAlign w:val="center"/>
          </w:tcPr>
          <w:p w14:paraId="009184B6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667" w:type="dxa"/>
            <w:vAlign w:val="center"/>
          </w:tcPr>
          <w:p w14:paraId="032CD050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1110" w:type="dxa"/>
            <w:vAlign w:val="center"/>
          </w:tcPr>
          <w:p w14:paraId="31A05FD7"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办公用具</w:t>
            </w:r>
          </w:p>
        </w:tc>
        <w:tc>
          <w:tcPr>
            <w:tcW w:w="873" w:type="dxa"/>
            <w:vAlign w:val="center"/>
          </w:tcPr>
          <w:p w14:paraId="31578D7B"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Align w:val="center"/>
          </w:tcPr>
          <w:p w14:paraId="4681F687"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套</w:t>
            </w:r>
          </w:p>
        </w:tc>
        <w:tc>
          <w:tcPr>
            <w:tcW w:w="549" w:type="dxa"/>
            <w:vAlign w:val="center"/>
          </w:tcPr>
          <w:p w14:paraId="5E00A4A1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7</w:t>
            </w:r>
          </w:p>
        </w:tc>
        <w:tc>
          <w:tcPr>
            <w:tcW w:w="564" w:type="dxa"/>
            <w:gridSpan w:val="2"/>
            <w:vAlign w:val="center"/>
          </w:tcPr>
          <w:p w14:paraId="500A6AB2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0.2</w:t>
            </w:r>
          </w:p>
        </w:tc>
        <w:tc>
          <w:tcPr>
            <w:tcW w:w="562" w:type="dxa"/>
            <w:vAlign w:val="center"/>
          </w:tcPr>
          <w:p w14:paraId="28FFD8C7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1.4</w:t>
            </w:r>
          </w:p>
        </w:tc>
        <w:tc>
          <w:tcPr>
            <w:tcW w:w="562" w:type="dxa"/>
            <w:vAlign w:val="center"/>
          </w:tcPr>
          <w:p w14:paraId="401E1245"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1.4</w:t>
            </w:r>
          </w:p>
        </w:tc>
        <w:tc>
          <w:tcPr>
            <w:tcW w:w="562" w:type="dxa"/>
            <w:vAlign w:val="center"/>
          </w:tcPr>
          <w:p w14:paraId="23113F11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1" w:type="dxa"/>
            <w:vAlign w:val="center"/>
          </w:tcPr>
          <w:p w14:paraId="7FD753A3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vAlign w:val="center"/>
          </w:tcPr>
          <w:p w14:paraId="5CC44F9F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gridSpan w:val="2"/>
            <w:vAlign w:val="center"/>
          </w:tcPr>
          <w:p w14:paraId="5271F874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6" w:type="dxa"/>
            <w:vAlign w:val="center"/>
          </w:tcPr>
          <w:p w14:paraId="24259241"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</w:tr>
    </w:tbl>
    <w:p w14:paraId="54C62678">
      <w:pPr>
        <w:widowControl/>
        <w:spacing w:line="360" w:lineRule="auto"/>
        <w:ind w:firstLine="972" w:firstLineChars="304"/>
        <w:jc w:val="left"/>
        <w:rPr>
          <w:rFonts w:hint="eastAsia" w:ascii="仿宋_GB2312" w:hAnsi="Calibri" w:eastAsia="仿宋_GB2312" w:cs="仿宋_GB2312"/>
          <w:kern w:val="0"/>
          <w:sz w:val="32"/>
          <w:szCs w:val="32"/>
        </w:rPr>
      </w:pPr>
    </w:p>
    <w:p w14:paraId="1108C5BD">
      <w:pPr>
        <w:widowControl/>
        <w:spacing w:line="360" w:lineRule="auto"/>
        <w:ind w:firstLine="977" w:firstLineChars="304"/>
        <w:jc w:val="left"/>
        <w:rPr>
          <w:rFonts w:ascii="Calibri" w:hAnsi="Calibri" w:eastAsia="仿宋_GB2312" w:cs="Calibri"/>
          <w:b/>
          <w:kern w:val="0"/>
          <w:sz w:val="32"/>
          <w:szCs w:val="32"/>
        </w:rPr>
      </w:pPr>
      <w:r>
        <w:rPr>
          <w:rFonts w:hint="eastAsia" w:ascii="Calibri" w:hAnsi="Calibri" w:eastAsia="仿宋_GB2312" w:cs="Calibri"/>
          <w:b/>
          <w:kern w:val="0"/>
          <w:sz w:val="32"/>
          <w:szCs w:val="32"/>
        </w:rPr>
        <w:t>七、国有资产情况的说明</w:t>
      </w:r>
    </w:p>
    <w:p w14:paraId="47F9940D">
      <w:pPr>
        <w:widowControl/>
        <w:spacing w:line="360" w:lineRule="auto"/>
        <w:ind w:firstLine="972" w:firstLineChars="304"/>
        <w:jc w:val="left"/>
        <w:rPr>
          <w:rFonts w:hint="eastAsia" w:ascii="仿宋_GB2312" w:hAnsi="Calibri" w:eastAsia="仿宋_GB2312" w:cs="仿宋_GB2312"/>
          <w:kern w:val="0"/>
          <w:sz w:val="32"/>
          <w:szCs w:val="32"/>
        </w:rPr>
      </w:pPr>
      <w:r>
        <w:rPr>
          <w:rFonts w:ascii="仿宋_GB2312" w:hAnsi="宋体" w:eastAsia="仿宋_GB2312" w:cs="宋体"/>
          <w:color w:val="333333"/>
          <w:kern w:val="0"/>
          <w:sz w:val="32"/>
          <w:szCs w:val="32"/>
        </w:rPr>
        <w:t>截止上年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末固定资产帐面结余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155.76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万元。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2017年我单位拟购置17.2万元。</w:t>
      </w:r>
    </w:p>
    <w:p w14:paraId="03D42796">
      <w:pPr>
        <w:widowControl/>
        <w:spacing w:line="360" w:lineRule="auto"/>
        <w:ind w:firstLine="972" w:firstLineChars="304"/>
        <w:jc w:val="left"/>
        <w:rPr>
          <w:rFonts w:hint="eastAsia" w:ascii="仿宋_GB2312" w:hAnsi="Calibri" w:eastAsia="仿宋_GB2312" w:cs="仿宋_GB2312"/>
          <w:kern w:val="0"/>
          <w:sz w:val="32"/>
          <w:szCs w:val="32"/>
        </w:rPr>
      </w:pPr>
    </w:p>
    <w:tbl>
      <w:tblPr>
        <w:tblStyle w:val="6"/>
        <w:tblW w:w="9060" w:type="dxa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39"/>
        <w:gridCol w:w="855"/>
        <w:gridCol w:w="4066"/>
      </w:tblGrid>
      <w:tr w14:paraId="14E7C1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90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18DECD"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部门固定资产占用情况表</w:t>
            </w:r>
          </w:p>
        </w:tc>
      </w:tr>
      <w:tr w14:paraId="593C44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C34461"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编制部门：。。。。</w:t>
            </w:r>
          </w:p>
        </w:tc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74FBA2">
            <w:pPr>
              <w:widowControl/>
              <w:ind w:firstLine="550" w:firstLineChars="250"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截止时间：</w:t>
            </w: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>2016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年</w:t>
            </w: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>12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月</w:t>
            </w: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>31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日</w:t>
            </w: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 xml:space="preserve">  </w:t>
            </w:r>
          </w:p>
        </w:tc>
      </w:tr>
      <w:tr w14:paraId="012042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A749FC"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  <w:t>项</w:t>
            </w:r>
            <w:r>
              <w:rPr>
                <w:rFonts w:ascii="宋体" w:hAnsi="宋体" w:eastAsia="宋体" w:cs="宋体"/>
                <w:b/>
                <w:bCs/>
                <w:kern w:val="0"/>
                <w:sz w:val="22"/>
                <w:szCs w:val="22"/>
              </w:rPr>
              <w:t xml:space="preserve">   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  <w:t>目</w:t>
            </w:r>
          </w:p>
        </w:tc>
        <w:tc>
          <w:tcPr>
            <w:tcW w:w="8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83A591"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  <w:t>数量</w:t>
            </w:r>
          </w:p>
        </w:tc>
        <w:tc>
          <w:tcPr>
            <w:tcW w:w="40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1DB25B"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  <w:t>价值（金额单位：万元）</w:t>
            </w:r>
          </w:p>
        </w:tc>
      </w:tr>
      <w:tr w14:paraId="5300B6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01011A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资产总额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501BE5"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>——</w:t>
            </w:r>
          </w:p>
        </w:tc>
        <w:tc>
          <w:tcPr>
            <w:tcW w:w="4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CD727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val="en-US" w:eastAsia="zh-CN"/>
              </w:rPr>
              <w:t>155.76</w:t>
            </w:r>
          </w:p>
        </w:tc>
      </w:tr>
      <w:tr w14:paraId="280EBA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672FFA"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、房屋（平方米）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6EE705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</w:p>
        </w:tc>
        <w:tc>
          <w:tcPr>
            <w:tcW w:w="4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8B79A6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</w:p>
        </w:tc>
      </w:tr>
      <w:tr w14:paraId="38A68F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0806A1"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 xml:space="preserve">   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其中：办公用房（平方米）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CA25F7">
            <w:pPr>
              <w:widowControl/>
              <w:jc w:val="center"/>
              <w:rPr>
                <w:rFonts w:hint="eastAsia" w:ascii="宋体" w:hAnsi="宋体" w:eastAsia="宋体" w:cs="Times New Roman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  <w:lang w:val="en-US" w:eastAsia="zh-CN"/>
              </w:rPr>
              <w:t>960</w:t>
            </w:r>
          </w:p>
        </w:tc>
        <w:tc>
          <w:tcPr>
            <w:tcW w:w="4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386B6D">
            <w:pPr>
              <w:widowControl/>
              <w:jc w:val="center"/>
              <w:rPr>
                <w:rFonts w:hint="eastAsia" w:ascii="宋体" w:hAnsi="宋体" w:eastAsia="宋体" w:cs="Times New Roman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  <w:lang w:val="en-US" w:eastAsia="zh-CN"/>
              </w:rPr>
              <w:t>98.8</w:t>
            </w:r>
          </w:p>
        </w:tc>
      </w:tr>
      <w:tr w14:paraId="2A2EA8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86A158"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、车辆（台、辆）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69289C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</w:p>
        </w:tc>
        <w:tc>
          <w:tcPr>
            <w:tcW w:w="4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005DB0">
            <w:pPr>
              <w:widowControl/>
              <w:jc w:val="center"/>
              <w:rPr>
                <w:rFonts w:hint="eastAsia" w:ascii="宋体" w:hAnsi="宋体" w:eastAsia="宋体" w:cs="Times New Roman"/>
                <w:kern w:val="0"/>
                <w:sz w:val="22"/>
                <w:lang w:val="en-US" w:eastAsia="zh-CN"/>
              </w:rPr>
            </w:pPr>
          </w:p>
        </w:tc>
      </w:tr>
      <w:tr w14:paraId="0589D4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7FBC2E"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>3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、单价在</w:t>
            </w: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>50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万元以上的设备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6454D4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</w:p>
        </w:tc>
        <w:tc>
          <w:tcPr>
            <w:tcW w:w="4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EF4AF3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</w:p>
        </w:tc>
      </w:tr>
      <w:tr w14:paraId="45A7AA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94F703"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、其他固定资产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0DAA74"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</w:p>
        </w:tc>
        <w:tc>
          <w:tcPr>
            <w:tcW w:w="4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9DBD89">
            <w:pPr>
              <w:widowControl/>
              <w:jc w:val="center"/>
              <w:rPr>
                <w:rFonts w:hint="eastAsia" w:ascii="宋体" w:hAnsi="宋体" w:eastAsia="宋体" w:cs="Times New Roman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  <w:lang w:val="en-US" w:eastAsia="zh-CN"/>
              </w:rPr>
              <w:t>56.97</w:t>
            </w:r>
          </w:p>
        </w:tc>
      </w:tr>
    </w:tbl>
    <w:p w14:paraId="224174F0">
      <w:pPr>
        <w:widowControl/>
        <w:spacing w:line="360" w:lineRule="auto"/>
        <w:ind w:firstLine="972" w:firstLineChars="304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</w:p>
    <w:p w14:paraId="74C00809">
      <w:pPr>
        <w:widowControl/>
        <w:spacing w:line="360" w:lineRule="auto"/>
        <w:jc w:val="left"/>
        <w:rPr>
          <w:rFonts w:hint="eastAsia" w:ascii="仿宋" w:hAnsi="仿宋" w:eastAsia="仿宋" w:cs="仿宋"/>
          <w:kern w:val="0"/>
          <w:sz w:val="32"/>
          <w:szCs w:val="32"/>
        </w:rPr>
      </w:pPr>
      <w:r>
        <w:rPr>
          <w:rFonts w:hint="eastAsia" w:ascii="Calibri" w:hAnsi="Calibri" w:eastAsia="仿宋_GB2312" w:cs="Calibri"/>
          <w:b/>
          <w:kern w:val="0"/>
          <w:sz w:val="32"/>
          <w:szCs w:val="32"/>
        </w:rPr>
        <w:t xml:space="preserve">     </w:t>
      </w: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八、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名词解释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kern w:val="0"/>
          <w:sz w:val="32"/>
          <w:szCs w:val="32"/>
        </w:rPr>
        <w:t> </w:t>
      </w:r>
    </w:p>
    <w:p w14:paraId="465320D5">
      <w:pPr>
        <w:widowControl/>
        <w:numPr>
          <w:ilvl w:val="0"/>
          <w:numId w:val="3"/>
        </w:numPr>
        <w:spacing w:line="360" w:lineRule="auto"/>
        <w:jc w:val="left"/>
        <w:rPr>
          <w:rFonts w:hint="eastAsia"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财政拨款收入：指</w:t>
      </w:r>
      <w:r>
        <w:rPr>
          <w:rFonts w:hint="eastAsia" w:ascii="仿宋" w:hAnsi="仿宋" w:eastAsia="仿宋" w:cs="仿宋"/>
          <w:kern w:val="0"/>
          <w:sz w:val="32"/>
          <w:szCs w:val="32"/>
        </w:rPr>
        <w:t>财政当年拨付的资金。</w:t>
      </w:r>
    </w:p>
    <w:p w14:paraId="3BD28626">
      <w:pPr>
        <w:widowControl/>
        <w:numPr>
          <w:ilvl w:val="0"/>
          <w:numId w:val="0"/>
        </w:numPr>
        <w:spacing w:line="360" w:lineRule="auto"/>
        <w:jc w:val="left"/>
        <w:rPr>
          <w:rFonts w:ascii="Calibri" w:hAnsi="Calibri" w:eastAsia="仿宋_GB2312" w:cs="Calibri"/>
          <w:b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2、“三公”经费：包括因公出国（境）费、公务接待费和公务用车购置及运行费。因公出国（境）费，指单位工作人员公务出国（境）的住宿费、差旅费、伙食补助费、杂费、培训费等支出。公务接待费，指单位按规定开支的各类公务接待（含外宾接待）支出。公务用车购置及运行费，指单位公务用车购置费及租用费、燃料费、维修费、等支出，公务用车指用于履行公务的机动车辆，包括领导干部专车、一般公务用车和执法执勤等业务用车。</w:t>
      </w:r>
    </w:p>
    <w:p w14:paraId="44B3EFC6">
      <w:pPr>
        <w:widowControl/>
        <w:numPr>
          <w:ilvl w:val="0"/>
          <w:numId w:val="0"/>
        </w:numPr>
        <w:spacing w:line="360" w:lineRule="auto"/>
        <w:jc w:val="left"/>
        <w:rPr>
          <w:rFonts w:hint="eastAsia" w:ascii="微软雅黑" w:hAnsi="微软雅黑" w:eastAsia="微软雅黑" w:cs="微软雅黑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3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、年初结转和结余</w:t>
      </w:r>
      <w:r>
        <w:rPr>
          <w:rFonts w:hint="eastAsia" w:ascii="仿宋" w:hAnsi="仿宋" w:eastAsia="仿宋" w:cs="仿宋"/>
          <w:kern w:val="0"/>
          <w:sz w:val="32"/>
          <w:szCs w:val="32"/>
        </w:rPr>
        <w:t>：指以前年度尚未完成，结转到本年仍按照原规定用途继续使用的资金，或项目已完成等产生的结余资金。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</w:p>
    <w:p w14:paraId="7B21A90C">
      <w:pPr>
        <w:widowControl/>
        <w:numPr>
          <w:ilvl w:val="0"/>
          <w:numId w:val="0"/>
        </w:numPr>
        <w:spacing w:line="360" w:lineRule="auto"/>
        <w:jc w:val="left"/>
        <w:rPr>
          <w:rFonts w:hint="eastAsia"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kern w:val="0"/>
          <w:sz w:val="32"/>
          <w:szCs w:val="32"/>
        </w:rPr>
        <w:t> 4、基本支出</w:t>
      </w:r>
      <w:r>
        <w:rPr>
          <w:rFonts w:hint="eastAsia" w:ascii="仿宋" w:hAnsi="仿宋" w:eastAsia="仿宋" w:cs="仿宋"/>
          <w:kern w:val="0"/>
          <w:sz w:val="32"/>
          <w:szCs w:val="32"/>
        </w:rPr>
        <w:t>：指单位为了保障其正常运转、完成日常工作任务而发生的人员支出和公用支出。</w:t>
      </w:r>
    </w:p>
    <w:p w14:paraId="63838424">
      <w:pPr>
        <w:widowControl/>
        <w:numPr>
          <w:ilvl w:val="0"/>
          <w:numId w:val="0"/>
        </w:numPr>
        <w:spacing w:line="360" w:lineRule="auto"/>
        <w:jc w:val="left"/>
        <w:rPr>
          <w:rFonts w:ascii="Calibri" w:hAnsi="Calibri" w:eastAsia="仿宋_GB2312" w:cs="Calibri"/>
          <w:b/>
          <w:kern w:val="0"/>
          <w:sz w:val="32"/>
          <w:szCs w:val="32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 5、项目支出：</w:t>
      </w:r>
      <w:r>
        <w:rPr>
          <w:rFonts w:hint="eastAsia" w:ascii="仿宋" w:hAnsi="仿宋" w:eastAsia="仿宋" w:cs="仿宋"/>
          <w:kern w:val="0"/>
          <w:sz w:val="32"/>
          <w:szCs w:val="32"/>
        </w:rPr>
        <w:t>指单位为了特定的工作任务和事业发展目标，在基本支出之外所发生的支出。</w:t>
      </w:r>
    </w:p>
    <w:p w14:paraId="60A13071">
      <w:pPr>
        <w:widowControl/>
        <w:spacing w:line="360" w:lineRule="auto"/>
        <w:ind w:firstLine="640" w:firstLineChars="200"/>
        <w:jc w:val="left"/>
        <w:rPr>
          <w:rFonts w:ascii="黑体" w:hAnsi="黑体" w:eastAsia="黑体" w:cs="仿宋"/>
          <w:kern w:val="0"/>
          <w:sz w:val="32"/>
          <w:szCs w:val="32"/>
        </w:rPr>
      </w:pPr>
      <w:r>
        <w:rPr>
          <w:rFonts w:hint="eastAsia" w:ascii="黑体" w:hAnsi="黑体" w:eastAsia="黑体" w:cs="仿宋"/>
          <w:kern w:val="0"/>
          <w:sz w:val="32"/>
          <w:szCs w:val="32"/>
        </w:rPr>
        <w:t>九、其他需要说明的事项</w:t>
      </w:r>
    </w:p>
    <w:p w14:paraId="775F6434">
      <w:pPr>
        <w:widowControl/>
        <w:spacing w:line="360" w:lineRule="auto"/>
        <w:ind w:firstLine="640" w:firstLineChars="200"/>
        <w:jc w:val="left"/>
        <w:rPr>
          <w:rFonts w:ascii="仿宋" w:hAnsi="仿宋" w:eastAsia="仿宋" w:cs="仿宋"/>
          <w:szCs w:val="24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无。</w:t>
      </w:r>
    </w:p>
    <w:p w14:paraId="7C087854">
      <w:pPr>
        <w:widowControl/>
        <w:spacing w:line="360" w:lineRule="auto"/>
        <w:ind w:firstLine="420" w:firstLineChars="200"/>
        <w:jc w:val="left"/>
      </w:pPr>
    </w:p>
    <w:sectPr>
      <w:pgSz w:w="11907" w:h="16839"/>
      <w:pgMar w:top="1020" w:right="1134" w:bottom="1020" w:left="1134" w:header="851" w:footer="992" w:gutter="0"/>
      <w:cols w:space="0" w:num="1"/>
      <w:docGrid w:type="lines" w:linePitch="32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书宋_GBK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_GBK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BCCB38"/>
    <w:multiLevelType w:val="singleLevel"/>
    <w:tmpl w:val="58BCCB38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5A0BB78E"/>
    <w:multiLevelType w:val="singleLevel"/>
    <w:tmpl w:val="5A0BB78E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66163943"/>
    <w:multiLevelType w:val="multilevel"/>
    <w:tmpl w:val="66163943"/>
    <w:lvl w:ilvl="0" w:tentative="0">
      <w:start w:val="6"/>
      <w:numFmt w:val="japaneseCounting"/>
      <w:lvlText w:val="%1、"/>
      <w:lvlJc w:val="left"/>
      <w:pPr>
        <w:ind w:left="2138" w:hanging="720"/>
      </w:pPr>
      <w:rPr>
        <w:rFonts w:hint="default" w:ascii="仿宋" w:hAnsi="仿宋" w:eastAsia="仿宋" w:cs="仿宋"/>
        <w:b/>
      </w:rPr>
    </w:lvl>
    <w:lvl w:ilvl="1" w:tentative="0">
      <w:start w:val="1"/>
      <w:numFmt w:val="lowerLetter"/>
      <w:lvlText w:val="%2)"/>
      <w:lvlJc w:val="left"/>
      <w:pPr>
        <w:ind w:left="2258" w:hanging="420"/>
      </w:pPr>
    </w:lvl>
    <w:lvl w:ilvl="2" w:tentative="0">
      <w:start w:val="1"/>
      <w:numFmt w:val="lowerRoman"/>
      <w:lvlText w:val="%3."/>
      <w:lvlJc w:val="right"/>
      <w:pPr>
        <w:ind w:left="2678" w:hanging="420"/>
      </w:pPr>
    </w:lvl>
    <w:lvl w:ilvl="3" w:tentative="0">
      <w:start w:val="1"/>
      <w:numFmt w:val="decimal"/>
      <w:lvlText w:val="%4."/>
      <w:lvlJc w:val="left"/>
      <w:pPr>
        <w:ind w:left="3098" w:hanging="420"/>
      </w:pPr>
    </w:lvl>
    <w:lvl w:ilvl="4" w:tentative="0">
      <w:start w:val="1"/>
      <w:numFmt w:val="lowerLetter"/>
      <w:lvlText w:val="%5)"/>
      <w:lvlJc w:val="left"/>
      <w:pPr>
        <w:ind w:left="3518" w:hanging="420"/>
      </w:pPr>
    </w:lvl>
    <w:lvl w:ilvl="5" w:tentative="0">
      <w:start w:val="1"/>
      <w:numFmt w:val="lowerRoman"/>
      <w:lvlText w:val="%6."/>
      <w:lvlJc w:val="right"/>
      <w:pPr>
        <w:ind w:left="3938" w:hanging="420"/>
      </w:pPr>
    </w:lvl>
    <w:lvl w:ilvl="6" w:tentative="0">
      <w:start w:val="1"/>
      <w:numFmt w:val="decimal"/>
      <w:lvlText w:val="%7."/>
      <w:lvlJc w:val="left"/>
      <w:pPr>
        <w:ind w:left="4358" w:hanging="420"/>
      </w:pPr>
    </w:lvl>
    <w:lvl w:ilvl="7" w:tentative="0">
      <w:start w:val="1"/>
      <w:numFmt w:val="lowerLetter"/>
      <w:lvlText w:val="%8)"/>
      <w:lvlJc w:val="left"/>
      <w:pPr>
        <w:ind w:left="4778" w:hanging="420"/>
      </w:pPr>
    </w:lvl>
    <w:lvl w:ilvl="8" w:tentative="0">
      <w:start w:val="1"/>
      <w:numFmt w:val="lowerRoman"/>
      <w:lvlText w:val="%9."/>
      <w:lvlJc w:val="right"/>
      <w:pPr>
        <w:ind w:left="5198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6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810D6"/>
    <w:rsid w:val="00093BE4"/>
    <w:rsid w:val="000A75FA"/>
    <w:rsid w:val="000C2470"/>
    <w:rsid w:val="000D231C"/>
    <w:rsid w:val="00236B7F"/>
    <w:rsid w:val="002E3A95"/>
    <w:rsid w:val="002F418A"/>
    <w:rsid w:val="00355C43"/>
    <w:rsid w:val="003730D4"/>
    <w:rsid w:val="003D4B92"/>
    <w:rsid w:val="004A12F5"/>
    <w:rsid w:val="004C3904"/>
    <w:rsid w:val="00545E8E"/>
    <w:rsid w:val="005D136A"/>
    <w:rsid w:val="005E274B"/>
    <w:rsid w:val="00601E9C"/>
    <w:rsid w:val="0061371F"/>
    <w:rsid w:val="0062621A"/>
    <w:rsid w:val="006560E8"/>
    <w:rsid w:val="00685811"/>
    <w:rsid w:val="006D1C5B"/>
    <w:rsid w:val="007A507B"/>
    <w:rsid w:val="007D6BF0"/>
    <w:rsid w:val="008058DC"/>
    <w:rsid w:val="008C7744"/>
    <w:rsid w:val="00A07D70"/>
    <w:rsid w:val="00A1130B"/>
    <w:rsid w:val="00A35FC1"/>
    <w:rsid w:val="00A41E4B"/>
    <w:rsid w:val="00A61E29"/>
    <w:rsid w:val="00A80198"/>
    <w:rsid w:val="00B520FF"/>
    <w:rsid w:val="00CB110A"/>
    <w:rsid w:val="00CC2644"/>
    <w:rsid w:val="00D945ED"/>
    <w:rsid w:val="00E810D6"/>
    <w:rsid w:val="00F53FC9"/>
    <w:rsid w:val="013B67CD"/>
    <w:rsid w:val="016C22DD"/>
    <w:rsid w:val="01CA412B"/>
    <w:rsid w:val="037D399A"/>
    <w:rsid w:val="03B213E5"/>
    <w:rsid w:val="047F71D2"/>
    <w:rsid w:val="06096D52"/>
    <w:rsid w:val="063402B1"/>
    <w:rsid w:val="06550E5D"/>
    <w:rsid w:val="0726741C"/>
    <w:rsid w:val="078B752A"/>
    <w:rsid w:val="08D34D69"/>
    <w:rsid w:val="09E50DB9"/>
    <w:rsid w:val="0B6C587A"/>
    <w:rsid w:val="0BB759F9"/>
    <w:rsid w:val="0CBF7A43"/>
    <w:rsid w:val="0DD4180B"/>
    <w:rsid w:val="130B706D"/>
    <w:rsid w:val="13161153"/>
    <w:rsid w:val="139106CF"/>
    <w:rsid w:val="13DE0FA8"/>
    <w:rsid w:val="163506CD"/>
    <w:rsid w:val="17252863"/>
    <w:rsid w:val="175940C0"/>
    <w:rsid w:val="17C16AC9"/>
    <w:rsid w:val="180D78B9"/>
    <w:rsid w:val="1AEF7278"/>
    <w:rsid w:val="1B2A5EA4"/>
    <w:rsid w:val="1CC97251"/>
    <w:rsid w:val="1CEB0A1C"/>
    <w:rsid w:val="1E8167C1"/>
    <w:rsid w:val="1EAA0AE1"/>
    <w:rsid w:val="1FDE5432"/>
    <w:rsid w:val="21AA2D40"/>
    <w:rsid w:val="21B66276"/>
    <w:rsid w:val="228819EE"/>
    <w:rsid w:val="2716314B"/>
    <w:rsid w:val="288A4B30"/>
    <w:rsid w:val="28E516DB"/>
    <w:rsid w:val="299267B6"/>
    <w:rsid w:val="2AD57C75"/>
    <w:rsid w:val="2BAA47A7"/>
    <w:rsid w:val="2CC1056F"/>
    <w:rsid w:val="2DCE40BA"/>
    <w:rsid w:val="2E066AE5"/>
    <w:rsid w:val="2E2777CE"/>
    <w:rsid w:val="2EE04A84"/>
    <w:rsid w:val="2F887EEE"/>
    <w:rsid w:val="31D059F4"/>
    <w:rsid w:val="332A0BBD"/>
    <w:rsid w:val="3387759D"/>
    <w:rsid w:val="351C5D1D"/>
    <w:rsid w:val="36DF5EE5"/>
    <w:rsid w:val="38963AA1"/>
    <w:rsid w:val="39461E7C"/>
    <w:rsid w:val="39A75722"/>
    <w:rsid w:val="3B6E7B6E"/>
    <w:rsid w:val="3C712CD5"/>
    <w:rsid w:val="3CEC5D53"/>
    <w:rsid w:val="3F2305E6"/>
    <w:rsid w:val="3F331926"/>
    <w:rsid w:val="4262732A"/>
    <w:rsid w:val="441C57E9"/>
    <w:rsid w:val="44240E6E"/>
    <w:rsid w:val="44986D47"/>
    <w:rsid w:val="456A5D0D"/>
    <w:rsid w:val="457C0C14"/>
    <w:rsid w:val="45AF507C"/>
    <w:rsid w:val="45B90BF3"/>
    <w:rsid w:val="460143F1"/>
    <w:rsid w:val="475B18CD"/>
    <w:rsid w:val="49994B41"/>
    <w:rsid w:val="4A4F1F05"/>
    <w:rsid w:val="4B7040C7"/>
    <w:rsid w:val="4CA957E7"/>
    <w:rsid w:val="4D9730D4"/>
    <w:rsid w:val="4E4335D2"/>
    <w:rsid w:val="56783930"/>
    <w:rsid w:val="59AF56D7"/>
    <w:rsid w:val="5AA21FFC"/>
    <w:rsid w:val="5B2B3FCD"/>
    <w:rsid w:val="5BAE356C"/>
    <w:rsid w:val="5CB07A05"/>
    <w:rsid w:val="5ED17601"/>
    <w:rsid w:val="5F525C02"/>
    <w:rsid w:val="612F2391"/>
    <w:rsid w:val="61897173"/>
    <w:rsid w:val="63F21B1B"/>
    <w:rsid w:val="65493192"/>
    <w:rsid w:val="665451BF"/>
    <w:rsid w:val="666C26EF"/>
    <w:rsid w:val="69C753B6"/>
    <w:rsid w:val="69DA4533"/>
    <w:rsid w:val="6A804B8A"/>
    <w:rsid w:val="6B1A4039"/>
    <w:rsid w:val="6B511389"/>
    <w:rsid w:val="6D036829"/>
    <w:rsid w:val="6D5763C1"/>
    <w:rsid w:val="6D81148F"/>
    <w:rsid w:val="6E8006EE"/>
    <w:rsid w:val="6ECC4D84"/>
    <w:rsid w:val="70BA2DA1"/>
    <w:rsid w:val="71B87B2B"/>
    <w:rsid w:val="729B4F6A"/>
    <w:rsid w:val="733E01F4"/>
    <w:rsid w:val="7424079F"/>
    <w:rsid w:val="74D4598A"/>
    <w:rsid w:val="763743A2"/>
    <w:rsid w:val="76FD3FC3"/>
    <w:rsid w:val="7AA5545A"/>
    <w:rsid w:val="7BAA5900"/>
    <w:rsid w:val="7D9A3104"/>
    <w:rsid w:val="7DB94919"/>
    <w:rsid w:val="7E215BF5"/>
    <w:rsid w:val="7EC03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oc 1"/>
    <w:basedOn w:val="1"/>
    <w:next w:val="1"/>
    <w:unhideWhenUsed/>
    <w:qFormat/>
    <w:uiPriority w:val="39"/>
  </w:style>
  <w:style w:type="paragraph" w:styleId="5">
    <w:name w:val="toc 2"/>
    <w:basedOn w:val="1"/>
    <w:next w:val="1"/>
    <w:unhideWhenUsed/>
    <w:qFormat/>
    <w:uiPriority w:val="39"/>
    <w:pPr>
      <w:ind w:left="420" w:leftChars="200"/>
    </w:pPr>
  </w:style>
  <w:style w:type="character" w:customStyle="1" w:styleId="8">
    <w:name w:val="页眉 Char"/>
    <w:basedOn w:val="7"/>
    <w:link w:val="3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2"/>
    <w:semiHidden/>
    <w:qFormat/>
    <w:uiPriority w:val="99"/>
    <w:rPr>
      <w:sz w:val="18"/>
      <w:szCs w:val="18"/>
    </w:rPr>
  </w:style>
  <w:style w:type="paragraph" w:customStyle="1" w:styleId="10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64DD0FE-B0ED-4A7A-B795-55214EA2458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2375</Words>
  <Characters>2598</Characters>
  <Lines>14</Lines>
  <Paragraphs>4</Paragraphs>
  <TotalTime>0</TotalTime>
  <ScaleCrop>false</ScaleCrop>
  <LinksUpToDate>false</LinksUpToDate>
  <CharactersWithSpaces>2633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2016-04-01T02:15:00Z</dcterms:created>
  <dc:creator>lenovo</dc:creator>
  <cp:lastModifiedBy>smile</cp:lastModifiedBy>
  <cp:lastPrinted>2016-04-01T02:44:00Z</cp:lastPrinted>
  <dcterms:modified xsi:type="dcterms:W3CDTF">2025-10-23T02:13:02Z</dcterms:modified>
  <cp:revision>68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eyJoZGlkIjoiMmJhYTk2OGM5M2Q4NTRjZGM1Y2ZiZWQyNjg4NDkxMDkiLCJ1c2VySWQiOiIzNjIxMDYwODIifQ==</vt:lpwstr>
  </property>
  <property fmtid="{D5CDD505-2E9C-101B-9397-08002B2CF9AE}" pid="4" name="ICV">
    <vt:lpwstr>659DA2C5E2F049E8AA62A423F76D73AD_12</vt:lpwstr>
  </property>
</Properties>
</file>