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675CB5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57A5C9DD"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成安县李家疃镇人民政府</w:t>
      </w:r>
      <w:r>
        <w:rPr>
          <w:rFonts w:asciiTheme="majorEastAsia" w:hAnsiTheme="majorEastAsia" w:eastAsiaTheme="majorEastAsia"/>
          <w:b/>
          <w:sz w:val="44"/>
          <w:szCs w:val="44"/>
        </w:rPr>
        <w:t xml:space="preserve"> 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2017年部门预算公开</w:t>
      </w:r>
    </w:p>
    <w:p w14:paraId="7735EDA0"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情况说明</w:t>
      </w:r>
    </w:p>
    <w:p w14:paraId="5765113F">
      <w:pPr>
        <w:jc w:val="center"/>
        <w:rPr>
          <w:rFonts w:ascii="宋体" w:hAnsi="宋体" w:eastAsia="宋体"/>
        </w:rPr>
      </w:pPr>
    </w:p>
    <w:p w14:paraId="77DA6B33">
      <w:pPr>
        <w:ind w:firstLine="640"/>
        <w:rPr>
          <w:rFonts w:ascii="仿宋_GB2312" w:hAnsi="黑体" w:eastAsia="仿宋_GB2312"/>
          <w:sz w:val="30"/>
          <w:szCs w:val="30"/>
        </w:rPr>
      </w:pPr>
      <w:r>
        <w:rPr>
          <w:rFonts w:hint="eastAsia" w:ascii="仿宋_GB2312" w:hAnsi="黑体" w:eastAsia="仿宋_GB2312"/>
          <w:sz w:val="30"/>
          <w:szCs w:val="30"/>
        </w:rPr>
        <w:t>按照《</w:t>
      </w:r>
      <w:bookmarkStart w:id="0" w:name="_GoBack"/>
      <w:bookmarkEnd w:id="0"/>
      <w:r>
        <w:rPr>
          <w:rFonts w:hint="eastAsia" w:ascii="仿宋_GB2312" w:hAnsi="黑体" w:eastAsia="仿宋_GB2312"/>
          <w:sz w:val="30"/>
          <w:szCs w:val="30"/>
          <w:lang w:eastAsia="zh-CN"/>
        </w:rPr>
        <w:t>中华人民共和国预算法</w:t>
      </w:r>
      <w:r>
        <w:rPr>
          <w:rFonts w:hint="eastAsia" w:ascii="仿宋_GB2312" w:hAnsi="黑体" w:eastAsia="仿宋_GB2312"/>
          <w:sz w:val="30"/>
          <w:szCs w:val="30"/>
        </w:rPr>
        <w:t>》、《地方预决算公开操作规程》规定，现将邯郸市成安县李家疃镇</w:t>
      </w:r>
      <w:r>
        <w:rPr>
          <w:rFonts w:hint="eastAsia" w:ascii="仿宋_GB2312" w:hAnsi="Times New Roman" w:eastAsia="仿宋_GB2312"/>
          <w:sz w:val="32"/>
          <w:szCs w:val="32"/>
        </w:rPr>
        <w:t>人民政府</w:t>
      </w:r>
      <w:r>
        <w:rPr>
          <w:rFonts w:ascii="仿宋_GB2312" w:hAnsi="Times New Roman" w:eastAsia="仿宋_GB2312"/>
          <w:sz w:val="32"/>
          <w:szCs w:val="32"/>
        </w:rPr>
        <w:t>2017</w:t>
      </w:r>
      <w:r>
        <w:rPr>
          <w:rFonts w:hint="eastAsia" w:ascii="仿宋_GB2312" w:hAnsi="Times New Roman" w:eastAsia="仿宋_GB2312"/>
          <w:sz w:val="32"/>
          <w:szCs w:val="32"/>
        </w:rPr>
        <w:t>年部门预算公开如下：</w:t>
      </w:r>
    </w:p>
    <w:p w14:paraId="687595DB">
      <w:pPr>
        <w:jc w:val="left"/>
        <w:rPr>
          <w:rFonts w:ascii="黑体" w:hAnsi="黑体" w:eastAsia="黑体" w:cs="黑体"/>
          <w:sz w:val="32"/>
          <w:szCs w:val="32"/>
        </w:rPr>
      </w:pPr>
    </w:p>
    <w:p w14:paraId="715DC7C2">
      <w:pPr>
        <w:widowControl/>
        <w:numPr>
          <w:ilvl w:val="0"/>
          <w:numId w:val="1"/>
        </w:numPr>
        <w:spacing w:line="360" w:lineRule="auto"/>
        <w:ind w:firstLine="64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/>
          <w:kern w:val="0"/>
          <w:sz w:val="32"/>
          <w:szCs w:val="32"/>
        </w:rPr>
        <w:t>部门职责及机构设置情况</w:t>
      </w:r>
    </w:p>
    <w:p w14:paraId="659BD62E">
      <w:pPr>
        <w:ind w:firstLine="643" w:firstLineChars="200"/>
        <w:rPr>
          <w:rFonts w:ascii="楷体_GB2312" w:hAnsi="楷体" w:eastAsia="楷体_GB2312"/>
          <w:b/>
          <w:sz w:val="32"/>
          <w:szCs w:val="32"/>
        </w:rPr>
      </w:pPr>
      <w:r>
        <w:rPr>
          <w:rFonts w:ascii="楷体_GB2312" w:hAnsi="楷体" w:eastAsia="楷体_GB2312"/>
          <w:b/>
          <w:sz w:val="32"/>
          <w:szCs w:val="32"/>
        </w:rPr>
        <w:t>1</w:t>
      </w:r>
      <w:r>
        <w:rPr>
          <w:rFonts w:hint="eastAsia" w:ascii="楷体_GB2312" w:hAnsi="楷体" w:eastAsia="楷体_GB2312"/>
          <w:b/>
          <w:sz w:val="32"/>
          <w:szCs w:val="32"/>
        </w:rPr>
        <w:t>、部门职责：</w:t>
      </w:r>
    </w:p>
    <w:p w14:paraId="654C9B56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（一）、宣传、贯彻党的路线、方针、政策和上级党组织的指示、决定，执行镇党员代表大会决议，讨论决定本镇的重大问题。</w:t>
      </w:r>
    </w:p>
    <w:p w14:paraId="068258A9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（二）、抓好自身和所属党组织的思想、组织和作风建设。</w:t>
      </w:r>
    </w:p>
    <w:p w14:paraId="3C47DFB4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（三）、领导镇经济建设，制定本镇经济和社会发展规划并组织实施。</w:t>
      </w:r>
    </w:p>
    <w:p w14:paraId="58D99AB1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（四）、领导镇社会主义精神文明和民主法制建设。加强农村社会治安综合治理，贯彻执行党和国家的计划生育政策。</w:t>
      </w:r>
    </w:p>
    <w:p w14:paraId="3618D8EB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（五）、领导并支持镇政府依法行使各项行政管理职权。</w:t>
      </w:r>
    </w:p>
    <w:p w14:paraId="0DAB4A70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（六）、领导人大主席团及经济组织、人民武装和共青团、妇联等人民团体的工作。</w:t>
      </w:r>
    </w:p>
    <w:p w14:paraId="1C44AFD7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（七）、领导上级有关部门派驻镇单位的党的建设，领导、支持　协调上级有关部门派驻镇单位的工作。</w:t>
      </w:r>
    </w:p>
    <w:p w14:paraId="0B855A96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（八）、完成上级党组织交办的其他任务。</w:t>
      </w:r>
    </w:p>
    <w:p w14:paraId="04C162D1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（九）、促进经济发展，增加农民收入</w:t>
      </w:r>
    </w:p>
    <w:p w14:paraId="44C04DF7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（十）、强化公共服务，着力改善民生。</w:t>
      </w:r>
    </w:p>
    <w:p w14:paraId="155DC453">
      <w:pPr>
        <w:ind w:firstLine="800" w:firstLineChars="2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（十一）、加强社会管理，维护农村稳定。</w:t>
      </w:r>
    </w:p>
    <w:p w14:paraId="73437E29">
      <w:pPr>
        <w:pStyle w:val="11"/>
        <w:widowControl/>
        <w:spacing w:line="360" w:lineRule="auto"/>
        <w:ind w:firstLine="64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（十二）、推进基层民主，促进农村和谐。</w:t>
      </w:r>
    </w:p>
    <w:p w14:paraId="6B27CBE9">
      <w:pPr>
        <w:pStyle w:val="11"/>
        <w:widowControl/>
        <w:spacing w:line="360" w:lineRule="auto"/>
        <w:ind w:firstLine="640"/>
        <w:jc w:val="left"/>
        <w:rPr>
          <w:rFonts w:ascii="楷体" w:hAnsi="楷体" w:eastAsia="楷体" w:cs="楷体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人员编制和领导职数</w:t>
      </w:r>
    </w:p>
    <w:p w14:paraId="73F227D8">
      <w:pPr>
        <w:widowControl/>
        <w:spacing w:line="360" w:lineRule="auto"/>
        <w:ind w:firstLine="480" w:firstLineChars="150"/>
        <w:jc w:val="left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人员编制56名，其中领导职数11个。</w:t>
      </w:r>
    </w:p>
    <w:p w14:paraId="689D30C8">
      <w:pPr>
        <w:autoSpaceDE w:val="0"/>
        <w:autoSpaceDN w:val="0"/>
        <w:adjustRightInd w:val="0"/>
        <w:ind w:firstLine="643" w:firstLineChars="200"/>
        <w:jc w:val="left"/>
        <w:rPr>
          <w:rFonts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2、机构设置：</w:t>
      </w:r>
    </w:p>
    <w:p w14:paraId="42E80C8A">
      <w:pPr>
        <w:jc w:val="center"/>
        <w:outlineLvl w:val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部门机构设置情况</w:t>
      </w:r>
    </w:p>
    <w:tbl>
      <w:tblPr>
        <w:tblStyle w:val="7"/>
        <w:tblW w:w="862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7"/>
        <w:gridCol w:w="1134"/>
        <w:gridCol w:w="1276"/>
        <w:gridCol w:w="2902"/>
      </w:tblGrid>
      <w:tr w14:paraId="78CA7B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restart"/>
            <w:vAlign w:val="center"/>
          </w:tcPr>
          <w:p w14:paraId="5E8DEEE3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单位名称</w:t>
            </w:r>
          </w:p>
        </w:tc>
        <w:tc>
          <w:tcPr>
            <w:tcW w:w="1134" w:type="dxa"/>
            <w:vMerge w:val="restart"/>
            <w:vAlign w:val="center"/>
          </w:tcPr>
          <w:p w14:paraId="3EA05FD2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单位性质</w:t>
            </w:r>
          </w:p>
        </w:tc>
        <w:tc>
          <w:tcPr>
            <w:tcW w:w="1276" w:type="dxa"/>
            <w:vMerge w:val="restart"/>
            <w:vAlign w:val="center"/>
          </w:tcPr>
          <w:p w14:paraId="6B46457F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单位规格</w:t>
            </w:r>
          </w:p>
        </w:tc>
        <w:tc>
          <w:tcPr>
            <w:tcW w:w="2902" w:type="dxa"/>
            <w:vMerge w:val="restart"/>
            <w:vAlign w:val="center"/>
          </w:tcPr>
          <w:p w14:paraId="5EF97AB3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经费保障形式</w:t>
            </w:r>
          </w:p>
        </w:tc>
      </w:tr>
      <w:tr w14:paraId="6B9295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continue"/>
            <w:vAlign w:val="center"/>
          </w:tcPr>
          <w:p w14:paraId="0455B68B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134" w:type="dxa"/>
            <w:vMerge w:val="continue"/>
            <w:vAlign w:val="center"/>
          </w:tcPr>
          <w:p w14:paraId="0C1E7F5D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1D041313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2902" w:type="dxa"/>
            <w:vMerge w:val="continue"/>
            <w:vAlign w:val="center"/>
          </w:tcPr>
          <w:p w14:paraId="496E3514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</w:tr>
      <w:tr w14:paraId="02B019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317" w:type="dxa"/>
            <w:vAlign w:val="center"/>
          </w:tcPr>
          <w:p w14:paraId="3DDB0139">
            <w:pPr>
              <w:spacing w:line="300" w:lineRule="exact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方正书宋_GBK" w:eastAsia="方正书宋_GBK"/>
              </w:rPr>
              <w:t>李家疃镇人民政府机关</w:t>
            </w:r>
          </w:p>
        </w:tc>
        <w:tc>
          <w:tcPr>
            <w:tcW w:w="1134" w:type="dxa"/>
            <w:vAlign w:val="center"/>
          </w:tcPr>
          <w:p w14:paraId="339053CA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方正书宋_GBK" w:eastAsia="宋体"/>
              </w:rPr>
              <w:t>行政</w:t>
            </w:r>
          </w:p>
        </w:tc>
        <w:tc>
          <w:tcPr>
            <w:tcW w:w="1276" w:type="dxa"/>
            <w:vAlign w:val="center"/>
          </w:tcPr>
          <w:p w14:paraId="3C32F8CE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902" w:type="dxa"/>
            <w:vAlign w:val="center"/>
          </w:tcPr>
          <w:p w14:paraId="05189FED">
            <w:pPr>
              <w:spacing w:line="300" w:lineRule="exact"/>
              <w:ind w:firstLine="840" w:firstLineChars="400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仿宋_GB2312" w:hAnsi="Times New Roman" w:eastAsia="仿宋_GB2312"/>
                <w:szCs w:val="24"/>
              </w:rPr>
              <w:t>财政拨款</w:t>
            </w:r>
          </w:p>
        </w:tc>
      </w:tr>
      <w:tr w14:paraId="1E59FC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317" w:type="dxa"/>
            <w:vAlign w:val="center"/>
          </w:tcPr>
          <w:p w14:paraId="01FAAFDF">
            <w:pPr>
              <w:spacing w:line="300" w:lineRule="exact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方正书宋_GBK" w:eastAsia="方正书宋_GBK"/>
              </w:rPr>
              <w:t>李家疃镇人民政府事业</w:t>
            </w:r>
          </w:p>
        </w:tc>
        <w:tc>
          <w:tcPr>
            <w:tcW w:w="1134" w:type="dxa"/>
            <w:vAlign w:val="center"/>
          </w:tcPr>
          <w:p w14:paraId="70C50C48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方正书宋_GBK" w:eastAsia="方正书宋_GBK"/>
              </w:rPr>
              <w:t>事业</w:t>
            </w:r>
          </w:p>
        </w:tc>
        <w:tc>
          <w:tcPr>
            <w:tcW w:w="1276" w:type="dxa"/>
            <w:vAlign w:val="center"/>
          </w:tcPr>
          <w:p w14:paraId="29BA0ACF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902" w:type="dxa"/>
            <w:vAlign w:val="center"/>
          </w:tcPr>
          <w:p w14:paraId="1D64E36F">
            <w:pPr>
              <w:spacing w:line="300" w:lineRule="exact"/>
              <w:ind w:firstLine="315" w:firstLineChars="150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仿宋_GB2312" w:hAnsi="Times New Roman" w:eastAsia="仿宋_GB2312"/>
                <w:szCs w:val="24"/>
              </w:rPr>
              <w:t>财政性资金基本保证</w:t>
            </w:r>
          </w:p>
        </w:tc>
      </w:tr>
      <w:tr w14:paraId="6F99E6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317" w:type="dxa"/>
            <w:vAlign w:val="center"/>
          </w:tcPr>
          <w:p w14:paraId="242621FB">
            <w:pPr>
              <w:spacing w:line="300" w:lineRule="exact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方正书宋_GBK" w:eastAsia="方正书宋_GBK"/>
              </w:rPr>
              <w:t>李家疃镇大学生村官</w:t>
            </w:r>
          </w:p>
        </w:tc>
        <w:tc>
          <w:tcPr>
            <w:tcW w:w="1134" w:type="dxa"/>
            <w:vAlign w:val="center"/>
          </w:tcPr>
          <w:p w14:paraId="5A55BC79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vAlign w:val="center"/>
          </w:tcPr>
          <w:p w14:paraId="6E0659A1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902" w:type="dxa"/>
            <w:vAlign w:val="center"/>
          </w:tcPr>
          <w:p w14:paraId="737A2A9F">
            <w:pPr>
              <w:spacing w:line="300" w:lineRule="exact"/>
              <w:ind w:firstLine="840" w:firstLineChars="400"/>
              <w:jc w:val="left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仿宋_GB2312" w:hAnsi="Times New Roman" w:eastAsia="仿宋_GB2312"/>
                <w:szCs w:val="24"/>
              </w:rPr>
              <w:t>财政拨款</w:t>
            </w:r>
          </w:p>
        </w:tc>
      </w:tr>
    </w:tbl>
    <w:p w14:paraId="6995F6E9">
      <w:pPr>
        <w:autoSpaceDE w:val="0"/>
        <w:autoSpaceDN w:val="0"/>
        <w:adjustRightInd w:val="0"/>
        <w:ind w:firstLine="643" w:firstLineChars="200"/>
        <w:jc w:val="left"/>
        <w:rPr>
          <w:rFonts w:ascii="黑体" w:hAnsi="黑体" w:eastAsia="黑体" w:cs="黑体"/>
          <w:b/>
          <w:bCs/>
          <w:sz w:val="32"/>
          <w:szCs w:val="32"/>
        </w:rPr>
      </w:pPr>
    </w:p>
    <w:p w14:paraId="40E117F2">
      <w:pPr>
        <w:widowControl/>
        <w:numPr>
          <w:ilvl w:val="0"/>
          <w:numId w:val="1"/>
        </w:numPr>
        <w:spacing w:line="360" w:lineRule="auto"/>
        <w:ind w:firstLine="643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预算安排的总体情况</w:t>
      </w:r>
    </w:p>
    <w:p w14:paraId="68465282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按照预算管理有关规定，目前我部门预算的编制实行综合预算制度，即全部收入和支出都反映在预算中。</w:t>
      </w:r>
    </w:p>
    <w:p w14:paraId="75394EBC">
      <w:pPr>
        <w:widowControl/>
        <w:spacing w:line="360" w:lineRule="auto"/>
        <w:jc w:val="left"/>
        <w:rPr>
          <w:rFonts w:ascii="仿宋_GB2312" w:hAnsi="Calibri" w:eastAsia="仿宋_GB2312" w:cs="仿宋_GB2312"/>
          <w:b/>
          <w:bCs/>
          <w:kern w:val="0"/>
          <w:sz w:val="32"/>
          <w:szCs w:val="32"/>
        </w:rPr>
      </w:pPr>
    </w:p>
    <w:p w14:paraId="30409DD9">
      <w:pPr>
        <w:spacing w:line="560" w:lineRule="exact"/>
        <w:ind w:firstLine="640"/>
        <w:rPr>
          <w:rFonts w:ascii="楷体_GB2312" w:hAnsi="楷体" w:eastAsia="楷体_GB2312"/>
          <w:b/>
          <w:sz w:val="32"/>
          <w:szCs w:val="32"/>
        </w:rPr>
      </w:pPr>
      <w:r>
        <w:rPr>
          <w:rFonts w:ascii="楷体_GB2312" w:hAnsi="楷体" w:eastAsia="楷体_GB2312"/>
          <w:b/>
          <w:sz w:val="32"/>
          <w:szCs w:val="32"/>
        </w:rPr>
        <w:t>1</w:t>
      </w:r>
      <w:r>
        <w:rPr>
          <w:rFonts w:hint="eastAsia" w:ascii="楷体_GB2312" w:hAnsi="楷体" w:eastAsia="楷体_GB2312"/>
          <w:b/>
          <w:sz w:val="32"/>
          <w:szCs w:val="32"/>
        </w:rPr>
        <w:t>、收入说明</w:t>
      </w:r>
    </w:p>
    <w:p w14:paraId="4F038FC6">
      <w:pPr>
        <w:spacing w:line="560" w:lineRule="exact"/>
        <w:ind w:firstLine="640"/>
        <w:rPr>
          <w:rFonts w:ascii="仿宋_GB2312" w:hAnsi="Times New Roman" w:eastAsia="仿宋_GB2312"/>
          <w:sz w:val="32"/>
          <w:szCs w:val="32"/>
        </w:rPr>
      </w:pPr>
      <w:r>
        <w:rPr>
          <w:rFonts w:ascii="仿宋_GB2312" w:hAnsi="Times New Roman" w:eastAsia="仿宋_GB2312"/>
          <w:sz w:val="32"/>
          <w:szCs w:val="32"/>
        </w:rPr>
        <w:t>2017</w:t>
      </w:r>
      <w:r>
        <w:rPr>
          <w:rFonts w:hint="eastAsia" w:ascii="仿宋_GB2312" w:hAnsi="Times New Roman" w:eastAsia="仿宋_GB2312"/>
          <w:sz w:val="32"/>
          <w:szCs w:val="32"/>
        </w:rPr>
        <w:t>年预算收入300.58万元，其中：一般公共预算收入300.58万元，政府性基金收入0万元，国有资本经营收入0万元，事业收入0万元，其他收入0万元。</w:t>
      </w:r>
    </w:p>
    <w:p w14:paraId="175C4286">
      <w:pPr>
        <w:spacing w:line="560" w:lineRule="exact"/>
        <w:ind w:firstLine="640"/>
        <w:rPr>
          <w:rFonts w:ascii="楷体_GB2312" w:hAnsi="楷体" w:eastAsia="楷体_GB2312"/>
          <w:b/>
          <w:sz w:val="32"/>
          <w:szCs w:val="32"/>
        </w:rPr>
      </w:pPr>
      <w:r>
        <w:rPr>
          <w:rFonts w:ascii="楷体_GB2312" w:hAnsi="楷体" w:eastAsia="楷体_GB2312"/>
          <w:b/>
          <w:sz w:val="32"/>
          <w:szCs w:val="32"/>
        </w:rPr>
        <w:t>2</w:t>
      </w:r>
      <w:r>
        <w:rPr>
          <w:rFonts w:hint="eastAsia" w:ascii="楷体_GB2312" w:hAnsi="楷体" w:eastAsia="楷体_GB2312"/>
          <w:b/>
          <w:sz w:val="32"/>
          <w:szCs w:val="32"/>
        </w:rPr>
        <w:t>、支出说明</w:t>
      </w:r>
    </w:p>
    <w:p w14:paraId="3FF101CC">
      <w:pPr>
        <w:spacing w:line="560" w:lineRule="exact"/>
        <w:ind w:firstLine="640"/>
        <w:rPr>
          <w:rFonts w:ascii="仿宋_GB2312" w:hAnsi="Times New Roman" w:eastAsia="仿宋_GB2312"/>
          <w:sz w:val="32"/>
          <w:szCs w:val="32"/>
        </w:rPr>
      </w:pPr>
      <w:r>
        <w:rPr>
          <w:rFonts w:ascii="仿宋_GB2312" w:hAnsi="Times New Roman" w:eastAsia="仿宋_GB2312"/>
          <w:sz w:val="32"/>
          <w:szCs w:val="32"/>
        </w:rPr>
        <w:t>2017</w:t>
      </w:r>
      <w:r>
        <w:rPr>
          <w:rFonts w:hint="eastAsia" w:ascii="仿宋_GB2312" w:hAnsi="Times New Roman" w:eastAsia="仿宋_GB2312"/>
          <w:sz w:val="32"/>
          <w:szCs w:val="32"/>
        </w:rPr>
        <w:t>年支出预算300.58万元，其中基本支出192.54万元，包括人员经费和日常公用经费；项目支出108.04万元，主要是小城区建设等。</w:t>
      </w:r>
    </w:p>
    <w:p w14:paraId="260AB3CE">
      <w:pPr>
        <w:spacing w:line="560" w:lineRule="exact"/>
        <w:ind w:firstLine="640"/>
        <w:rPr>
          <w:rFonts w:ascii="楷体_GB2312" w:hAnsi="楷体" w:eastAsia="楷体_GB2312"/>
          <w:b/>
          <w:sz w:val="32"/>
          <w:szCs w:val="32"/>
        </w:rPr>
      </w:pPr>
      <w:r>
        <w:rPr>
          <w:rFonts w:ascii="楷体_GB2312" w:hAnsi="楷体" w:eastAsia="楷体_GB2312"/>
          <w:b/>
          <w:sz w:val="32"/>
          <w:szCs w:val="32"/>
        </w:rPr>
        <w:t>3</w:t>
      </w:r>
      <w:r>
        <w:rPr>
          <w:rFonts w:hint="eastAsia" w:ascii="楷体_GB2312" w:hAnsi="楷体" w:eastAsia="楷体_GB2312"/>
          <w:b/>
          <w:sz w:val="32"/>
          <w:szCs w:val="32"/>
        </w:rPr>
        <w:t>、比上年增减变化情况</w:t>
      </w:r>
    </w:p>
    <w:p w14:paraId="4BE9C26E">
      <w:pPr>
        <w:spacing w:line="560" w:lineRule="exact"/>
        <w:ind w:firstLine="640"/>
        <w:rPr>
          <w:rFonts w:ascii="仿宋_GB2312" w:hAnsi="Times New Roman" w:eastAsia="仿宋_GB2312"/>
          <w:sz w:val="32"/>
          <w:szCs w:val="32"/>
        </w:rPr>
      </w:pPr>
      <w:r>
        <w:rPr>
          <w:rFonts w:ascii="仿宋_GB2312" w:hAnsi="Times New Roman" w:eastAsia="仿宋_GB2312"/>
          <w:sz w:val="32"/>
          <w:szCs w:val="32"/>
        </w:rPr>
        <w:t>2017</w:t>
      </w:r>
      <w:r>
        <w:rPr>
          <w:rFonts w:hint="eastAsia" w:ascii="仿宋_GB2312" w:hAnsi="Times New Roman" w:eastAsia="仿宋_GB2312"/>
          <w:sz w:val="32"/>
          <w:szCs w:val="32"/>
        </w:rPr>
        <w:t>年预算收支安排300.58万元，较</w:t>
      </w:r>
      <w:r>
        <w:rPr>
          <w:rFonts w:ascii="仿宋_GB2312" w:hAnsi="Times New Roman" w:eastAsia="仿宋_GB2312"/>
          <w:sz w:val="32"/>
          <w:szCs w:val="32"/>
        </w:rPr>
        <w:t>2016</w:t>
      </w:r>
      <w:r>
        <w:rPr>
          <w:rFonts w:hint="eastAsia" w:ascii="仿宋_GB2312" w:hAnsi="Times New Roman" w:eastAsia="仿宋_GB2312"/>
          <w:sz w:val="32"/>
          <w:szCs w:val="32"/>
        </w:rPr>
        <w:t>年预算增加26.69万元，其中：基本支出增加20.69万元，</w:t>
      </w:r>
    </w:p>
    <w:p w14:paraId="03074400">
      <w:pPr>
        <w:spacing w:line="560" w:lineRule="exact"/>
        <w:rPr>
          <w:rFonts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主要是机关事业单位提高了工资标准。项目支出增加6万元，主要是加强了小城区建设。</w:t>
      </w:r>
    </w:p>
    <w:p w14:paraId="3EBF7749">
      <w:pPr>
        <w:widowControl/>
        <w:spacing w:line="360" w:lineRule="auto"/>
        <w:ind w:firstLine="640" w:firstLineChars="200"/>
        <w:jc w:val="left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三、机关运行经费安排情况</w:t>
      </w:r>
    </w:p>
    <w:p w14:paraId="51D7BCEF"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color w:val="FF0000"/>
          <w:kern w:val="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机关运行经费共计安排5万元，主要用于办公区的日常维修、办公用房水电费、邮电费、办公用房取暖费、办公用房物业管理费等日常运行支出。</w:t>
      </w:r>
    </w:p>
    <w:p w14:paraId="4D43F99D">
      <w:pPr>
        <w:autoSpaceDE w:val="0"/>
        <w:autoSpaceDN w:val="0"/>
        <w:adjustRightInd w:val="0"/>
        <w:spacing w:line="560" w:lineRule="exact"/>
        <w:ind w:firstLine="640" w:firstLineChars="200"/>
        <w:jc w:val="lef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</w:rPr>
        <w:t>四、</w:t>
      </w:r>
      <w:r>
        <w:rPr>
          <w:rFonts w:hint="eastAsia" w:ascii="黑体" w:hAnsi="黑体" w:eastAsia="黑体" w:cs="黑体"/>
          <w:bCs/>
          <w:sz w:val="32"/>
          <w:szCs w:val="32"/>
        </w:rPr>
        <w:t>财政拨款“三公”经费预算情况及增减变化原因</w:t>
      </w:r>
    </w:p>
    <w:p w14:paraId="2334E502">
      <w:pPr>
        <w:autoSpaceDE w:val="0"/>
        <w:autoSpaceDN w:val="0"/>
        <w:adjustRightInd w:val="0"/>
        <w:spacing w:line="560" w:lineRule="exact"/>
        <w:ind w:left="198"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2017年，我单位“三公”经费预算安排1万元，其中因公出国（境）费0万元；公务用车购置及运维费1万元（其中：公务用车购置费为0万元，公务用车运行费1万元)；公务接待费0万元。与2016年相比，公务用车运行费用减少1万元，主要原因是2017年实行车补，油修费用预算安排减少。其他持平。</w:t>
      </w:r>
    </w:p>
    <w:p w14:paraId="2D93A306">
      <w:pPr>
        <w:spacing w:line="560" w:lineRule="exact"/>
        <w:ind w:firstLine="64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五、绩效预算信息</w:t>
      </w:r>
    </w:p>
    <w:p w14:paraId="1C77F9FE">
      <w:pPr>
        <w:spacing w:line="560" w:lineRule="exact"/>
        <w:ind w:firstLine="643" w:firstLineChars="200"/>
        <w:jc w:val="left"/>
        <w:rPr>
          <w:rFonts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总体绩效目标：</w:t>
      </w:r>
    </w:p>
    <w:p w14:paraId="287AC187">
      <w:pPr>
        <w:ind w:firstLine="56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做好地方性法规的立、改、废工作，完善经济社会发展的法制保障。完善立法工作机制和立法程序，坚持从实际出发、统筹兼顾的原则，加强稳增长、调结构、惠民生、优环境、权力制约监督、创新社会管理等领域的法制建设。</w:t>
      </w:r>
    </w:p>
    <w:p w14:paraId="0412308A">
      <w:pPr>
        <w:ind w:firstLine="56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2、加强对权力运行的制约监督，推动成安县重大决策部署的贯彻落实。围绕经济强省、和谐河北、法治河北中的重大问题和人民群众关注的热点难点问题，听取审议专项工作报告，开展执法检查、视察调研。</w:t>
      </w:r>
    </w:p>
    <w:p w14:paraId="53D89D10">
      <w:pPr>
        <w:ind w:firstLine="56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3、做好会议的服务保障工作，确保会议顺利进行，达到预期目标。</w:t>
      </w:r>
    </w:p>
    <w:p w14:paraId="583A46BD">
      <w:pPr>
        <w:ind w:firstLine="56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4、发挥好常委会组成人员、专门委员会委员和代表的履职积极性。密切对代表的联系，组织专门委员会成员、代表列席常委会会议，坚持向代表通报常委会会议情况。</w:t>
      </w:r>
    </w:p>
    <w:p w14:paraId="2813AA80">
      <w:pPr>
        <w:ind w:firstLine="56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5、改进文风会风，提高常委会议事质量。常委会会议议题要在听取群众意见的基础上依法确定，加强会前的视察调研，严格落实议事规则，完善审议程序，切实提出有针对性的意见建议。</w:t>
      </w:r>
    </w:p>
    <w:p w14:paraId="2AD7D75B">
      <w:pPr>
        <w:ind w:firstLine="56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6、全面推进机关思想建设、组织建设、作风建设、制度建设和廉政建设，提高机关管理的科学化水平。</w:t>
      </w:r>
    </w:p>
    <w:p w14:paraId="2A6E2750">
      <w:pPr>
        <w:spacing w:line="560" w:lineRule="exact"/>
        <w:jc w:val="center"/>
        <w:outlineLvl w:val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部门职责-工作活动绩效目标</w:t>
      </w:r>
    </w:p>
    <w:p w14:paraId="7859E53D">
      <w:pPr>
        <w:widowControl/>
        <w:spacing w:line="360" w:lineRule="auto"/>
        <w:jc w:val="left"/>
        <w:rPr>
          <w:rFonts w:ascii="仿宋" w:hAnsi="仿宋" w:eastAsia="仿宋" w:cs="仿宋"/>
          <w:b/>
          <w:kern w:val="0"/>
          <w:sz w:val="32"/>
          <w:szCs w:val="32"/>
        </w:rPr>
      </w:pPr>
    </w:p>
    <w:tbl>
      <w:tblPr>
        <w:tblStyle w:val="7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 w14:paraId="260246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986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D0482D2">
            <w:pPr>
              <w:spacing w:line="300" w:lineRule="exact"/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部门（单位）名称803成安县李家町镇政府</w:t>
            </w:r>
          </w:p>
        </w:tc>
        <w:tc>
          <w:tcPr>
            <w:tcW w:w="2948" w:type="dxa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ED33523">
            <w:pPr>
              <w:spacing w:line="300" w:lineRule="exact"/>
              <w:jc w:val="right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单位：万元</w:t>
            </w:r>
          </w:p>
        </w:tc>
      </w:tr>
      <w:tr w14:paraId="06774B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vAlign w:val="center"/>
          </w:tcPr>
          <w:p w14:paraId="27EBE79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vAlign w:val="center"/>
          </w:tcPr>
          <w:p w14:paraId="2348F1C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vAlign w:val="center"/>
          </w:tcPr>
          <w:p w14:paraId="764B253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vAlign w:val="center"/>
          </w:tcPr>
          <w:p w14:paraId="5690A90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vAlign w:val="center"/>
          </w:tcPr>
          <w:p w14:paraId="5E0BC23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vAlign w:val="center"/>
          </w:tcPr>
          <w:p w14:paraId="51E891F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 w14:paraId="010894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vAlign w:val="center"/>
          </w:tcPr>
          <w:p w14:paraId="1D7BDE2D"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vAlign w:val="center"/>
          </w:tcPr>
          <w:p w14:paraId="7AA2C0CF"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vAlign w:val="center"/>
          </w:tcPr>
          <w:p w14:paraId="77FD944B"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vAlign w:val="center"/>
          </w:tcPr>
          <w:p w14:paraId="5046E200">
            <w:pPr>
              <w:spacing w:line="300" w:lineRule="exact"/>
              <w:jc w:val="left"/>
              <w:outlineLvl w:val="0"/>
            </w:pPr>
          </w:p>
        </w:tc>
        <w:tc>
          <w:tcPr>
            <w:tcW w:w="1417" w:type="dxa"/>
            <w:vMerge w:val="continue"/>
            <w:vAlign w:val="center"/>
          </w:tcPr>
          <w:p w14:paraId="7315A5CB">
            <w:pPr>
              <w:spacing w:line="300" w:lineRule="exact"/>
              <w:jc w:val="left"/>
              <w:outlineLvl w:val="0"/>
            </w:pPr>
          </w:p>
        </w:tc>
        <w:tc>
          <w:tcPr>
            <w:tcW w:w="737" w:type="dxa"/>
            <w:vAlign w:val="center"/>
          </w:tcPr>
          <w:p w14:paraId="297306A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vAlign w:val="center"/>
          </w:tcPr>
          <w:p w14:paraId="7970C08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vAlign w:val="center"/>
          </w:tcPr>
          <w:p w14:paraId="2338A1A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vAlign w:val="center"/>
          </w:tcPr>
          <w:p w14:paraId="243A471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 w14:paraId="44E4DD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2E598DA3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环境卫生治理及公共建设管理</w:t>
            </w:r>
          </w:p>
        </w:tc>
        <w:tc>
          <w:tcPr>
            <w:tcW w:w="1276" w:type="dxa"/>
            <w:vAlign w:val="center"/>
          </w:tcPr>
          <w:p w14:paraId="5420ECF2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796A287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维护农村环境卫生，管理农村公共设施</w:t>
            </w:r>
          </w:p>
        </w:tc>
        <w:tc>
          <w:tcPr>
            <w:tcW w:w="2976" w:type="dxa"/>
            <w:vAlign w:val="center"/>
          </w:tcPr>
          <w:p w14:paraId="018E6FE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全满提升农村环境卫生，维护农村公共设施健全。</w:t>
            </w:r>
          </w:p>
        </w:tc>
        <w:tc>
          <w:tcPr>
            <w:tcW w:w="1417" w:type="dxa"/>
            <w:vAlign w:val="center"/>
          </w:tcPr>
          <w:p w14:paraId="436FBDBE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343BDE5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773AF8B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20E820D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0E143FC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413BAE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1F9ED123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农村面貌改造提升</w:t>
            </w:r>
          </w:p>
        </w:tc>
        <w:tc>
          <w:tcPr>
            <w:tcW w:w="1276" w:type="dxa"/>
            <w:vAlign w:val="center"/>
          </w:tcPr>
          <w:p w14:paraId="453104BD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3DDF966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按照统筹城乡发展要求，实施农村面貌改造提升行动。</w:t>
            </w:r>
          </w:p>
        </w:tc>
        <w:tc>
          <w:tcPr>
            <w:tcW w:w="2976" w:type="dxa"/>
            <w:vAlign w:val="center"/>
          </w:tcPr>
          <w:p w14:paraId="30B9871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突出重点，因地制宜，开展农村面貌改造提升</w:t>
            </w:r>
          </w:p>
        </w:tc>
        <w:tc>
          <w:tcPr>
            <w:tcW w:w="1417" w:type="dxa"/>
            <w:vAlign w:val="center"/>
          </w:tcPr>
          <w:p w14:paraId="5715428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改造提升完成率</w:t>
            </w:r>
          </w:p>
        </w:tc>
        <w:tc>
          <w:tcPr>
            <w:tcW w:w="737" w:type="dxa"/>
            <w:vAlign w:val="center"/>
          </w:tcPr>
          <w:p w14:paraId="6443FD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vAlign w:val="center"/>
          </w:tcPr>
          <w:p w14:paraId="7D17FCC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vAlign w:val="center"/>
          </w:tcPr>
          <w:p w14:paraId="0F2378C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vAlign w:val="center"/>
          </w:tcPr>
          <w:p w14:paraId="2746C2C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</w:t>
            </w:r>
          </w:p>
        </w:tc>
      </w:tr>
      <w:tr w14:paraId="454B93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4AF72AFD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村级财务管理</w:t>
            </w:r>
          </w:p>
        </w:tc>
        <w:tc>
          <w:tcPr>
            <w:tcW w:w="1276" w:type="dxa"/>
            <w:vAlign w:val="center"/>
          </w:tcPr>
          <w:p w14:paraId="7BD3785C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124305E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加强财务管理</w:t>
            </w:r>
          </w:p>
        </w:tc>
        <w:tc>
          <w:tcPr>
            <w:tcW w:w="2976" w:type="dxa"/>
            <w:vAlign w:val="center"/>
          </w:tcPr>
          <w:p w14:paraId="50A2520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确保财务工作正常运行。</w:t>
            </w:r>
          </w:p>
        </w:tc>
        <w:tc>
          <w:tcPr>
            <w:tcW w:w="1417" w:type="dxa"/>
            <w:vAlign w:val="center"/>
          </w:tcPr>
          <w:p w14:paraId="7B178870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0AC5576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798F0C8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0D52DBF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509469B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57AC6A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4B983ECB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村财乡管</w:t>
            </w:r>
          </w:p>
        </w:tc>
        <w:tc>
          <w:tcPr>
            <w:tcW w:w="1276" w:type="dxa"/>
            <w:vAlign w:val="center"/>
          </w:tcPr>
          <w:p w14:paraId="0A848786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37B842F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乡镇管理村级财务账务。</w:t>
            </w:r>
          </w:p>
        </w:tc>
        <w:tc>
          <w:tcPr>
            <w:tcW w:w="2976" w:type="dxa"/>
            <w:vAlign w:val="center"/>
          </w:tcPr>
          <w:p w14:paraId="1D30A55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村级财务规范化管理</w:t>
            </w:r>
          </w:p>
        </w:tc>
        <w:tc>
          <w:tcPr>
            <w:tcW w:w="1417" w:type="dxa"/>
            <w:vAlign w:val="center"/>
          </w:tcPr>
          <w:p w14:paraId="4B8C578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村财乡管</w:t>
            </w:r>
          </w:p>
        </w:tc>
        <w:tc>
          <w:tcPr>
            <w:tcW w:w="737" w:type="dxa"/>
            <w:vAlign w:val="center"/>
          </w:tcPr>
          <w:p w14:paraId="035E0A6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vAlign w:val="center"/>
          </w:tcPr>
          <w:p w14:paraId="7445FEB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vAlign w:val="center"/>
          </w:tcPr>
          <w:p w14:paraId="4252625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vAlign w:val="center"/>
          </w:tcPr>
          <w:p w14:paraId="33CF794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</w:t>
            </w:r>
          </w:p>
        </w:tc>
      </w:tr>
      <w:tr w14:paraId="545A2F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6C3B1FD0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党员和党组织建设</w:t>
            </w:r>
          </w:p>
        </w:tc>
        <w:tc>
          <w:tcPr>
            <w:tcW w:w="1276" w:type="dxa"/>
            <w:vAlign w:val="center"/>
          </w:tcPr>
          <w:p w14:paraId="5553CA76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25830DE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加强党的整体建设，壮大党员队伍，农村党组织建设及党员发展。</w:t>
            </w:r>
          </w:p>
        </w:tc>
        <w:tc>
          <w:tcPr>
            <w:tcW w:w="2976" w:type="dxa"/>
            <w:vAlign w:val="center"/>
          </w:tcPr>
          <w:p w14:paraId="0DB37C9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发展、壮大党员队伍，农村党组织建设工作。</w:t>
            </w:r>
          </w:p>
        </w:tc>
        <w:tc>
          <w:tcPr>
            <w:tcW w:w="1417" w:type="dxa"/>
            <w:vAlign w:val="center"/>
          </w:tcPr>
          <w:p w14:paraId="3F7E865D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537D224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35AE880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78A8B5D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48A8857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1142AB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3B2DA4BD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党组织建设及党员教育管理</w:t>
            </w:r>
          </w:p>
        </w:tc>
        <w:tc>
          <w:tcPr>
            <w:tcW w:w="1276" w:type="dxa"/>
            <w:vAlign w:val="center"/>
          </w:tcPr>
          <w:p w14:paraId="535E250A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29A01BE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负责党组织建设；负责基层组织建设联系会议党工作；指导党员教育工作。</w:t>
            </w:r>
          </w:p>
        </w:tc>
        <w:tc>
          <w:tcPr>
            <w:tcW w:w="2976" w:type="dxa"/>
            <w:vAlign w:val="center"/>
          </w:tcPr>
          <w:p w14:paraId="7A12BA6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加强党组织建设和党员管理</w:t>
            </w:r>
            <w:r>
              <w:rPr>
                <w:rFonts w:ascii="方正书宋_GBK" w:eastAsia="方正书宋_GBK"/>
              </w:rPr>
              <w:t>,</w:t>
            </w:r>
            <w:r>
              <w:rPr>
                <w:rFonts w:hint="eastAsia" w:ascii="方正书宋_GBK" w:eastAsia="方正书宋_GBK"/>
              </w:rPr>
              <w:t>不断提高执政能力和领导水平</w:t>
            </w:r>
          </w:p>
        </w:tc>
        <w:tc>
          <w:tcPr>
            <w:tcW w:w="1417" w:type="dxa"/>
            <w:vAlign w:val="center"/>
          </w:tcPr>
          <w:p w14:paraId="2DEA2FE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农村、社区党组织换届率</w:t>
            </w:r>
          </w:p>
        </w:tc>
        <w:tc>
          <w:tcPr>
            <w:tcW w:w="737" w:type="dxa"/>
            <w:vAlign w:val="center"/>
          </w:tcPr>
          <w:p w14:paraId="02573E7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vAlign w:val="center"/>
          </w:tcPr>
          <w:p w14:paraId="0A021B4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vAlign w:val="center"/>
          </w:tcPr>
          <w:p w14:paraId="2E32A40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vAlign w:val="center"/>
          </w:tcPr>
          <w:p w14:paraId="2AE30D6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</w:t>
            </w:r>
          </w:p>
        </w:tc>
      </w:tr>
      <w:tr w14:paraId="27F8FF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03E04BB6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安全生产综合监督管理</w:t>
            </w:r>
          </w:p>
        </w:tc>
        <w:tc>
          <w:tcPr>
            <w:tcW w:w="1276" w:type="dxa"/>
            <w:vAlign w:val="center"/>
          </w:tcPr>
          <w:p w14:paraId="58AD0934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71ACD06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根据《安全生产法》、《安全生产违法行为行政处罚办法》等法律法规，承担全镇安全生产综合监督管理责任。遏制重特大事故发生，确保全镇安全生产形势稳定。</w:t>
            </w:r>
          </w:p>
        </w:tc>
        <w:tc>
          <w:tcPr>
            <w:tcW w:w="2976" w:type="dxa"/>
            <w:vAlign w:val="center"/>
          </w:tcPr>
          <w:p w14:paraId="05CB4B7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遏制重特大事故发生，确保全镇安全生产形势稳定。</w:t>
            </w:r>
          </w:p>
        </w:tc>
        <w:tc>
          <w:tcPr>
            <w:tcW w:w="1417" w:type="dxa"/>
            <w:vAlign w:val="center"/>
          </w:tcPr>
          <w:p w14:paraId="722840DA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6404D6B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6F0982B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757C44B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239041B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2B4BD5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vAlign w:val="center"/>
          </w:tcPr>
          <w:p w14:paraId="2278E6CF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加强重大危险源安全管理</w:t>
            </w:r>
          </w:p>
        </w:tc>
        <w:tc>
          <w:tcPr>
            <w:tcW w:w="1276" w:type="dxa"/>
            <w:vMerge w:val="restart"/>
            <w:vAlign w:val="center"/>
          </w:tcPr>
          <w:p w14:paraId="20F2EE03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restart"/>
            <w:vAlign w:val="center"/>
          </w:tcPr>
          <w:p w14:paraId="7495CAE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加强重大危险源的监测、监控、辨识与评估及登记建档、备案与核销等安全管理；开展重大危险源执法检查工作。</w:t>
            </w:r>
          </w:p>
        </w:tc>
        <w:tc>
          <w:tcPr>
            <w:tcW w:w="2976" w:type="dxa"/>
            <w:vMerge w:val="restart"/>
            <w:vAlign w:val="center"/>
          </w:tcPr>
          <w:p w14:paraId="282BFBE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科学准确进行重大危险源等级界定；有效开展监测数据的综合分析、数据发布工作；督促企业切实加强危险源监控，有效治理隐患，落实监管责任</w:t>
            </w:r>
          </w:p>
        </w:tc>
        <w:tc>
          <w:tcPr>
            <w:tcW w:w="1417" w:type="dxa"/>
            <w:vAlign w:val="center"/>
          </w:tcPr>
          <w:p w14:paraId="072D8E3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专项检查次数</w:t>
            </w:r>
          </w:p>
        </w:tc>
        <w:tc>
          <w:tcPr>
            <w:tcW w:w="737" w:type="dxa"/>
            <w:vAlign w:val="center"/>
          </w:tcPr>
          <w:p w14:paraId="4312EEC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vAlign w:val="center"/>
          </w:tcPr>
          <w:p w14:paraId="68846FD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vAlign w:val="center"/>
          </w:tcPr>
          <w:p w14:paraId="07A61A4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vAlign w:val="center"/>
          </w:tcPr>
          <w:p w14:paraId="608FFD9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40</w:t>
            </w:r>
          </w:p>
        </w:tc>
      </w:tr>
      <w:tr w14:paraId="4756ED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vAlign w:val="center"/>
          </w:tcPr>
          <w:p w14:paraId="0EFCC7F2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5C4E1DFA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08FC16D7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6B93EFC2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vAlign w:val="center"/>
          </w:tcPr>
          <w:p w14:paraId="03DC1FB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监管企业数量</w:t>
            </w:r>
          </w:p>
        </w:tc>
        <w:tc>
          <w:tcPr>
            <w:tcW w:w="737" w:type="dxa"/>
            <w:vAlign w:val="center"/>
          </w:tcPr>
          <w:p w14:paraId="217328A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vAlign w:val="center"/>
          </w:tcPr>
          <w:p w14:paraId="21C906E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vAlign w:val="center"/>
          </w:tcPr>
          <w:p w14:paraId="37D53C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vAlign w:val="center"/>
          </w:tcPr>
          <w:p w14:paraId="771CCF5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40</w:t>
            </w:r>
          </w:p>
        </w:tc>
      </w:tr>
      <w:tr w14:paraId="175C88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48B55DC7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林业生态建设</w:t>
            </w:r>
          </w:p>
        </w:tc>
        <w:tc>
          <w:tcPr>
            <w:tcW w:w="1276" w:type="dxa"/>
            <w:vAlign w:val="center"/>
          </w:tcPr>
          <w:p w14:paraId="08FC9981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7B39174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贯彻执行国家、省、关于林业及其生态建设的方针、政策和法律法规；按照上级拟定林业及其生态环境建设、森林资源保护、国土绿化、荒漠化防治和林业产业发展的规定和方法，开展森林资源、承担林业生态文明建设的有关工作。</w:t>
            </w:r>
          </w:p>
        </w:tc>
        <w:tc>
          <w:tcPr>
            <w:tcW w:w="2976" w:type="dxa"/>
            <w:vAlign w:val="center"/>
          </w:tcPr>
          <w:p w14:paraId="5A3FFC9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完成上级制定、下达的造林任务及全镇林带覆盖率考核目标。有效改善生态环境。</w:t>
            </w:r>
          </w:p>
        </w:tc>
        <w:tc>
          <w:tcPr>
            <w:tcW w:w="1417" w:type="dxa"/>
            <w:vAlign w:val="center"/>
          </w:tcPr>
          <w:p w14:paraId="6B9A7FF7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1E5F1F4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43E9D72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34B970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4B89D8F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0772D8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6C630F2C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造林绿化</w:t>
            </w:r>
          </w:p>
        </w:tc>
        <w:tc>
          <w:tcPr>
            <w:tcW w:w="1276" w:type="dxa"/>
            <w:vAlign w:val="center"/>
          </w:tcPr>
          <w:p w14:paraId="2146D88D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6367D99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制定造林绿化的计划，贯彻落实国家、省有关标准和规程</w:t>
            </w:r>
          </w:p>
        </w:tc>
        <w:tc>
          <w:tcPr>
            <w:tcW w:w="2976" w:type="dxa"/>
            <w:vAlign w:val="center"/>
          </w:tcPr>
          <w:p w14:paraId="7ECADC4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增加有林地面积，提高全镇绿化水平和森林覆盖率，改善生态环境。</w:t>
            </w:r>
          </w:p>
        </w:tc>
        <w:tc>
          <w:tcPr>
            <w:tcW w:w="1417" w:type="dxa"/>
            <w:vAlign w:val="center"/>
          </w:tcPr>
          <w:p w14:paraId="645F18F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全镇完成造林绿化</w:t>
            </w:r>
            <w:r>
              <w:rPr>
                <w:rFonts w:ascii="方正书宋_GBK" w:eastAsia="方正书宋_GBK"/>
              </w:rPr>
              <w:t>600</w:t>
            </w:r>
            <w:r>
              <w:rPr>
                <w:rFonts w:hint="eastAsia" w:ascii="方正书宋_GBK" w:eastAsia="方正书宋_GBK"/>
              </w:rPr>
              <w:t>亩。</w:t>
            </w:r>
          </w:p>
        </w:tc>
        <w:tc>
          <w:tcPr>
            <w:tcW w:w="737" w:type="dxa"/>
            <w:vAlign w:val="center"/>
          </w:tcPr>
          <w:p w14:paraId="07C549F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vAlign w:val="center"/>
          </w:tcPr>
          <w:p w14:paraId="70DF696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vAlign w:val="center"/>
          </w:tcPr>
          <w:p w14:paraId="18009F1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vAlign w:val="center"/>
          </w:tcPr>
          <w:p w14:paraId="5840A6D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40</w:t>
            </w:r>
          </w:p>
        </w:tc>
      </w:tr>
      <w:tr w14:paraId="679589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1AA34AC8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交通运输基础设施养护、维护</w:t>
            </w:r>
          </w:p>
        </w:tc>
        <w:tc>
          <w:tcPr>
            <w:tcW w:w="1276" w:type="dxa"/>
            <w:vAlign w:val="center"/>
          </w:tcPr>
          <w:p w14:paraId="26D0B1DD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06E94C2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组织交通运输基础设施养护、维护</w:t>
            </w:r>
          </w:p>
        </w:tc>
        <w:tc>
          <w:tcPr>
            <w:tcW w:w="2976" w:type="dxa"/>
            <w:vAlign w:val="center"/>
          </w:tcPr>
          <w:p w14:paraId="75CB699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公路日常养护；路基路面大中修；加固桥梁，治理隐患；普通国省干线绿化，提升普通国省干线日常养护作业效率。</w:t>
            </w:r>
          </w:p>
        </w:tc>
        <w:tc>
          <w:tcPr>
            <w:tcW w:w="1417" w:type="dxa"/>
            <w:vAlign w:val="center"/>
          </w:tcPr>
          <w:p w14:paraId="6D0D2A23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60C0F48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408FFA8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2D71253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7403E43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0D7018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559F2CCC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公路管理</w:t>
            </w:r>
          </w:p>
        </w:tc>
        <w:tc>
          <w:tcPr>
            <w:tcW w:w="1276" w:type="dxa"/>
            <w:vAlign w:val="center"/>
          </w:tcPr>
          <w:p w14:paraId="05992571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349129D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对公路建设、养护进行管理。</w:t>
            </w:r>
          </w:p>
        </w:tc>
        <w:tc>
          <w:tcPr>
            <w:tcW w:w="2976" w:type="dxa"/>
            <w:vAlign w:val="center"/>
          </w:tcPr>
          <w:p w14:paraId="5C2E9FA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缓解繁忙路段交通压力；维护路产路权，保障通行能力，提高服务水平</w:t>
            </w:r>
          </w:p>
        </w:tc>
        <w:tc>
          <w:tcPr>
            <w:tcW w:w="1417" w:type="dxa"/>
            <w:vAlign w:val="center"/>
          </w:tcPr>
          <w:p w14:paraId="562A32A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安全生产维稳控制目标</w:t>
            </w:r>
          </w:p>
        </w:tc>
        <w:tc>
          <w:tcPr>
            <w:tcW w:w="737" w:type="dxa"/>
            <w:vAlign w:val="center"/>
          </w:tcPr>
          <w:p w14:paraId="531E0FE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vAlign w:val="center"/>
          </w:tcPr>
          <w:p w14:paraId="4C8B175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vAlign w:val="center"/>
          </w:tcPr>
          <w:p w14:paraId="3DB81EA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vAlign w:val="center"/>
          </w:tcPr>
          <w:p w14:paraId="63DDB91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40</w:t>
            </w:r>
          </w:p>
        </w:tc>
      </w:tr>
      <w:tr w14:paraId="4625F1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50EF8F80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政务管理</w:t>
            </w:r>
          </w:p>
        </w:tc>
        <w:tc>
          <w:tcPr>
            <w:tcW w:w="1276" w:type="dxa"/>
            <w:vAlign w:val="center"/>
          </w:tcPr>
          <w:p w14:paraId="50D3720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108.04</w:t>
            </w:r>
          </w:p>
        </w:tc>
        <w:tc>
          <w:tcPr>
            <w:tcW w:w="2976" w:type="dxa"/>
            <w:vAlign w:val="center"/>
          </w:tcPr>
          <w:p w14:paraId="315161D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承担系统综合业务管理和部门综合事务管理。</w:t>
            </w:r>
          </w:p>
        </w:tc>
        <w:tc>
          <w:tcPr>
            <w:tcW w:w="2976" w:type="dxa"/>
            <w:vAlign w:val="center"/>
          </w:tcPr>
          <w:p w14:paraId="067BB89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促进机关事务管理工作科学发展。</w:t>
            </w:r>
          </w:p>
        </w:tc>
        <w:tc>
          <w:tcPr>
            <w:tcW w:w="1417" w:type="dxa"/>
            <w:vAlign w:val="center"/>
          </w:tcPr>
          <w:p w14:paraId="0F8C96F1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7381C84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1395F3F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13B40AF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1AA526C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1E83AD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69488474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综合事务管理</w:t>
            </w:r>
          </w:p>
        </w:tc>
        <w:tc>
          <w:tcPr>
            <w:tcW w:w="1276" w:type="dxa"/>
            <w:vAlign w:val="center"/>
          </w:tcPr>
          <w:p w14:paraId="38B1B63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108.04</w:t>
            </w:r>
          </w:p>
        </w:tc>
        <w:tc>
          <w:tcPr>
            <w:tcW w:w="2976" w:type="dxa"/>
            <w:vAlign w:val="center"/>
          </w:tcPr>
          <w:p w14:paraId="66CB6C0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管理镇机关网络建设、运转维护和电子政务；机关标准化建设、保密、档案以及政务接待、会务。办公楼物业管理和机关食堂管理；机关办公楼修缮、供水、供电、供暖以及机关环境绿化美化、卫生保洁、安全保卫。离退休干部慰问。党组织活动。</w:t>
            </w:r>
          </w:p>
        </w:tc>
        <w:tc>
          <w:tcPr>
            <w:tcW w:w="2976" w:type="dxa"/>
            <w:vAlign w:val="center"/>
          </w:tcPr>
          <w:p w14:paraId="286540CA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vAlign w:val="center"/>
          </w:tcPr>
          <w:p w14:paraId="731805BF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36C1C25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67A4DE8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1F53D41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4F12BA4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</w:tbl>
    <w:p w14:paraId="2FD481E6">
      <w:pPr>
        <w:widowControl/>
        <w:numPr>
          <w:ilvl w:val="0"/>
          <w:numId w:val="2"/>
        </w:numPr>
        <w:spacing w:line="360" w:lineRule="auto"/>
        <w:ind w:firstLine="640"/>
        <w:jc w:val="left"/>
        <w:rPr>
          <w:rFonts w:ascii="Calibri" w:hAnsi="Calibri" w:eastAsia="仿宋_GB2312" w:cs="Calibri"/>
          <w:b/>
          <w:kern w:val="0"/>
          <w:sz w:val="32"/>
          <w:szCs w:val="32"/>
        </w:rPr>
        <w:sectPr>
          <w:pgSz w:w="16839" w:h="11907" w:orient="landscape"/>
          <w:pgMar w:top="1134" w:right="1020" w:bottom="1134" w:left="1020" w:header="851" w:footer="992" w:gutter="0"/>
          <w:cols w:space="0" w:num="1"/>
          <w:docGrid w:type="lines" w:linePitch="321" w:charSpace="0"/>
        </w:sectPr>
      </w:pPr>
    </w:p>
    <w:p w14:paraId="47679EB3">
      <w:pPr>
        <w:autoSpaceDE w:val="0"/>
        <w:autoSpaceDN w:val="0"/>
        <w:adjustRightInd w:val="0"/>
        <w:spacing w:line="560" w:lineRule="exact"/>
        <w:ind w:firstLine="640" w:firstLineChars="200"/>
        <w:jc w:val="left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六、政府采购预算情况</w:t>
      </w:r>
    </w:p>
    <w:p w14:paraId="0131CEFD">
      <w:pPr>
        <w:widowControl/>
        <w:spacing w:line="360" w:lineRule="auto"/>
        <w:ind w:firstLine="64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2017年，我单位安排政府采购预算21.5万元。具体内容见下表。</w:t>
      </w:r>
    </w:p>
    <w:p w14:paraId="0205CBF6">
      <w:pPr>
        <w:spacing w:line="560" w:lineRule="exact"/>
        <w:ind w:firstLine="640" w:firstLineChars="200"/>
        <w:outlineLvl w:val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部门政府采购预算</w:t>
      </w:r>
    </w:p>
    <w:tbl>
      <w:tblPr>
        <w:tblStyle w:val="7"/>
        <w:tblW w:w="9060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4"/>
        <w:gridCol w:w="667"/>
        <w:gridCol w:w="995"/>
        <w:gridCol w:w="427"/>
        <w:gridCol w:w="549"/>
        <w:gridCol w:w="549"/>
        <w:gridCol w:w="725"/>
        <w:gridCol w:w="630"/>
        <w:gridCol w:w="645"/>
        <w:gridCol w:w="630"/>
        <w:gridCol w:w="375"/>
        <w:gridCol w:w="510"/>
        <w:gridCol w:w="435"/>
        <w:gridCol w:w="429"/>
      </w:tblGrid>
      <w:tr w14:paraId="7C1300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5406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5FB9D8C">
            <w:pPr>
              <w:spacing w:line="560" w:lineRule="exact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小标宋_GBK"/>
                <w:sz w:val="24"/>
                <w:szCs w:val="24"/>
              </w:rPr>
              <w:t>部门（单位）名称：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成安县李家町镇政府</w:t>
            </w:r>
          </w:p>
        </w:tc>
        <w:tc>
          <w:tcPr>
            <w:tcW w:w="3654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9B8DC3D">
            <w:pPr>
              <w:spacing w:line="560" w:lineRule="exact"/>
              <w:jc w:val="righ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书宋_GBK"/>
                <w:sz w:val="24"/>
                <w:szCs w:val="24"/>
              </w:rPr>
              <w:t>单位：万元</w:t>
            </w:r>
          </w:p>
        </w:tc>
      </w:tr>
      <w:tr w14:paraId="05EB1D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161" w:type="dxa"/>
            <w:gridSpan w:val="2"/>
            <w:vAlign w:val="center"/>
          </w:tcPr>
          <w:p w14:paraId="1B576455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政府采购项目来源</w:t>
            </w:r>
          </w:p>
        </w:tc>
        <w:tc>
          <w:tcPr>
            <w:tcW w:w="995" w:type="dxa"/>
            <w:vMerge w:val="restart"/>
            <w:vAlign w:val="center"/>
          </w:tcPr>
          <w:p w14:paraId="51CCA3AC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采购物品名称</w:t>
            </w:r>
          </w:p>
        </w:tc>
        <w:tc>
          <w:tcPr>
            <w:tcW w:w="427" w:type="dxa"/>
            <w:vMerge w:val="restart"/>
            <w:vAlign w:val="center"/>
          </w:tcPr>
          <w:p w14:paraId="22655BFC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政府采购目录序号</w:t>
            </w:r>
          </w:p>
        </w:tc>
        <w:tc>
          <w:tcPr>
            <w:tcW w:w="549" w:type="dxa"/>
            <w:vMerge w:val="restart"/>
            <w:vAlign w:val="center"/>
          </w:tcPr>
          <w:p w14:paraId="103EEADC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数量</w:t>
            </w:r>
            <w:r>
              <w:rPr>
                <w:rFonts w:ascii="宋体" w:hAnsi="宋体" w:eastAsia="宋体" w:cs="方正书宋_GBK"/>
                <w:b/>
                <w:bCs/>
              </w:rPr>
              <w:t xml:space="preserve">  </w:t>
            </w:r>
            <w:r>
              <w:rPr>
                <w:rFonts w:hint="eastAsia" w:ascii="宋体" w:hAnsi="宋体" w:eastAsia="宋体" w:cs="方正书宋_GBK"/>
                <w:b/>
                <w:bCs/>
              </w:rPr>
              <w:t>单位</w:t>
            </w:r>
          </w:p>
        </w:tc>
        <w:tc>
          <w:tcPr>
            <w:tcW w:w="549" w:type="dxa"/>
            <w:vMerge w:val="restart"/>
            <w:vAlign w:val="center"/>
          </w:tcPr>
          <w:p w14:paraId="79A12F32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数量</w:t>
            </w:r>
          </w:p>
        </w:tc>
        <w:tc>
          <w:tcPr>
            <w:tcW w:w="725" w:type="dxa"/>
            <w:vMerge w:val="restart"/>
            <w:vAlign w:val="center"/>
          </w:tcPr>
          <w:p w14:paraId="1F22EBE9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单价</w:t>
            </w:r>
          </w:p>
        </w:tc>
        <w:tc>
          <w:tcPr>
            <w:tcW w:w="3654" w:type="dxa"/>
            <w:gridSpan w:val="7"/>
            <w:vAlign w:val="center"/>
          </w:tcPr>
          <w:p w14:paraId="7CFA4E13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政府采购金额</w:t>
            </w:r>
          </w:p>
        </w:tc>
      </w:tr>
      <w:tr w14:paraId="305C92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494" w:type="dxa"/>
            <w:vMerge w:val="restart"/>
            <w:vAlign w:val="center"/>
          </w:tcPr>
          <w:p w14:paraId="6A12C3CC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项目名称</w:t>
            </w:r>
          </w:p>
        </w:tc>
        <w:tc>
          <w:tcPr>
            <w:tcW w:w="667" w:type="dxa"/>
            <w:vMerge w:val="restart"/>
            <w:vAlign w:val="center"/>
          </w:tcPr>
          <w:p w14:paraId="4223060A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预算资金</w:t>
            </w:r>
          </w:p>
        </w:tc>
        <w:tc>
          <w:tcPr>
            <w:tcW w:w="995" w:type="dxa"/>
            <w:vMerge w:val="continue"/>
            <w:vAlign w:val="center"/>
          </w:tcPr>
          <w:p w14:paraId="6FB5E15F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DD0B83E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 w14:paraId="72B0AADB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 w14:paraId="05671E7F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725" w:type="dxa"/>
            <w:vMerge w:val="continue"/>
            <w:vAlign w:val="center"/>
          </w:tcPr>
          <w:p w14:paraId="7490F5E6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630" w:type="dxa"/>
            <w:vMerge w:val="restart"/>
            <w:vAlign w:val="center"/>
          </w:tcPr>
          <w:p w14:paraId="6B5F18A7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总计</w:t>
            </w:r>
          </w:p>
        </w:tc>
        <w:tc>
          <w:tcPr>
            <w:tcW w:w="2595" w:type="dxa"/>
            <w:gridSpan w:val="5"/>
            <w:vAlign w:val="center"/>
          </w:tcPr>
          <w:p w14:paraId="1FA6422D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当年部门预算安排资金</w:t>
            </w:r>
          </w:p>
        </w:tc>
        <w:tc>
          <w:tcPr>
            <w:tcW w:w="429" w:type="dxa"/>
            <w:vMerge w:val="restart"/>
            <w:vAlign w:val="center"/>
          </w:tcPr>
          <w:p w14:paraId="061D5282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其他渠道资金</w:t>
            </w:r>
          </w:p>
        </w:tc>
      </w:tr>
      <w:tr w14:paraId="111F01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494" w:type="dxa"/>
            <w:vMerge w:val="continue"/>
            <w:vAlign w:val="center"/>
          </w:tcPr>
          <w:p w14:paraId="514D5A02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Merge w:val="continue"/>
            <w:vAlign w:val="center"/>
          </w:tcPr>
          <w:p w14:paraId="7BB1369D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95" w:type="dxa"/>
            <w:vMerge w:val="continue"/>
            <w:vAlign w:val="center"/>
          </w:tcPr>
          <w:p w14:paraId="4BFFCE44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556EBA14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 w14:paraId="2C5B4404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 w14:paraId="29F7F2BD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725" w:type="dxa"/>
            <w:vMerge w:val="continue"/>
            <w:vAlign w:val="center"/>
          </w:tcPr>
          <w:p w14:paraId="64FFF014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630" w:type="dxa"/>
            <w:vMerge w:val="continue"/>
            <w:vAlign w:val="center"/>
          </w:tcPr>
          <w:p w14:paraId="14A92FBF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645" w:type="dxa"/>
            <w:vAlign w:val="center"/>
          </w:tcPr>
          <w:p w14:paraId="53954D18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合计</w:t>
            </w:r>
          </w:p>
        </w:tc>
        <w:tc>
          <w:tcPr>
            <w:tcW w:w="630" w:type="dxa"/>
            <w:vAlign w:val="center"/>
          </w:tcPr>
          <w:p w14:paraId="31C1272D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一般公共预算拨款</w:t>
            </w:r>
          </w:p>
        </w:tc>
        <w:tc>
          <w:tcPr>
            <w:tcW w:w="375" w:type="dxa"/>
            <w:vAlign w:val="center"/>
          </w:tcPr>
          <w:p w14:paraId="513D6397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基金预算拨款</w:t>
            </w:r>
          </w:p>
        </w:tc>
        <w:tc>
          <w:tcPr>
            <w:tcW w:w="510" w:type="dxa"/>
            <w:vAlign w:val="center"/>
          </w:tcPr>
          <w:p w14:paraId="74C4485A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财政专户核拨</w:t>
            </w:r>
          </w:p>
        </w:tc>
        <w:tc>
          <w:tcPr>
            <w:tcW w:w="435" w:type="dxa"/>
            <w:vAlign w:val="center"/>
          </w:tcPr>
          <w:p w14:paraId="7C5A205E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其他来源收入</w:t>
            </w:r>
          </w:p>
        </w:tc>
        <w:tc>
          <w:tcPr>
            <w:tcW w:w="429" w:type="dxa"/>
            <w:vMerge w:val="continue"/>
            <w:vAlign w:val="center"/>
          </w:tcPr>
          <w:p w14:paraId="733EB7FE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</w:tr>
      <w:tr w14:paraId="136E53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291A3AFF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合　计</w:t>
            </w:r>
          </w:p>
        </w:tc>
        <w:tc>
          <w:tcPr>
            <w:tcW w:w="667" w:type="dxa"/>
            <w:vAlign w:val="center"/>
          </w:tcPr>
          <w:p w14:paraId="594D845C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995" w:type="dxa"/>
            <w:vAlign w:val="center"/>
          </w:tcPr>
          <w:p w14:paraId="49A9D8CD"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427" w:type="dxa"/>
            <w:vAlign w:val="center"/>
          </w:tcPr>
          <w:p w14:paraId="395B7479"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14:paraId="66C9D410"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14:paraId="35FBE34B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725" w:type="dxa"/>
            <w:vAlign w:val="center"/>
          </w:tcPr>
          <w:p w14:paraId="1BBEDF64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630" w:type="dxa"/>
            <w:vAlign w:val="center"/>
          </w:tcPr>
          <w:p w14:paraId="4B82464D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645" w:type="dxa"/>
            <w:vAlign w:val="center"/>
          </w:tcPr>
          <w:p w14:paraId="783F03E4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630" w:type="dxa"/>
            <w:vAlign w:val="center"/>
          </w:tcPr>
          <w:p w14:paraId="3C7D2583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375" w:type="dxa"/>
            <w:vAlign w:val="center"/>
          </w:tcPr>
          <w:p w14:paraId="618485FD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10" w:type="dxa"/>
            <w:vAlign w:val="center"/>
          </w:tcPr>
          <w:p w14:paraId="693D3713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435" w:type="dxa"/>
            <w:vAlign w:val="center"/>
          </w:tcPr>
          <w:p w14:paraId="3A069C2D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429" w:type="dxa"/>
            <w:vAlign w:val="center"/>
          </w:tcPr>
          <w:p w14:paraId="12F0391E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</w:tr>
      <w:tr w14:paraId="45964A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17A9123B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硬化街道</w:t>
            </w:r>
          </w:p>
        </w:tc>
        <w:tc>
          <w:tcPr>
            <w:tcW w:w="667" w:type="dxa"/>
            <w:vAlign w:val="center"/>
          </w:tcPr>
          <w:p w14:paraId="31C8CBEF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20</w:t>
            </w:r>
          </w:p>
        </w:tc>
        <w:tc>
          <w:tcPr>
            <w:tcW w:w="995" w:type="dxa"/>
            <w:vAlign w:val="center"/>
          </w:tcPr>
          <w:p w14:paraId="53E2B569"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427" w:type="dxa"/>
            <w:vAlign w:val="center"/>
          </w:tcPr>
          <w:p w14:paraId="07C147BE"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14:paraId="77F21E2D"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 xml:space="preserve"> 条</w:t>
            </w:r>
          </w:p>
        </w:tc>
        <w:tc>
          <w:tcPr>
            <w:tcW w:w="549" w:type="dxa"/>
            <w:vAlign w:val="center"/>
          </w:tcPr>
          <w:p w14:paraId="3C79C99E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1</w:t>
            </w:r>
          </w:p>
        </w:tc>
        <w:tc>
          <w:tcPr>
            <w:tcW w:w="725" w:type="dxa"/>
            <w:vAlign w:val="center"/>
          </w:tcPr>
          <w:p w14:paraId="1A675841">
            <w:pPr>
              <w:spacing w:line="560" w:lineRule="exac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20</w:t>
            </w:r>
          </w:p>
        </w:tc>
        <w:tc>
          <w:tcPr>
            <w:tcW w:w="630" w:type="dxa"/>
            <w:vAlign w:val="center"/>
          </w:tcPr>
          <w:p w14:paraId="446B7E76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20</w:t>
            </w:r>
          </w:p>
        </w:tc>
        <w:tc>
          <w:tcPr>
            <w:tcW w:w="645" w:type="dxa"/>
            <w:vAlign w:val="center"/>
          </w:tcPr>
          <w:p w14:paraId="50077081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20</w:t>
            </w:r>
          </w:p>
        </w:tc>
        <w:tc>
          <w:tcPr>
            <w:tcW w:w="630" w:type="dxa"/>
            <w:vAlign w:val="center"/>
          </w:tcPr>
          <w:p w14:paraId="5672CE32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</w:rPr>
              <w:t>20</w:t>
            </w:r>
          </w:p>
        </w:tc>
        <w:tc>
          <w:tcPr>
            <w:tcW w:w="375" w:type="dxa"/>
            <w:vAlign w:val="center"/>
          </w:tcPr>
          <w:p w14:paraId="0E406696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10" w:type="dxa"/>
            <w:vAlign w:val="center"/>
          </w:tcPr>
          <w:p w14:paraId="06732CF8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435" w:type="dxa"/>
            <w:vAlign w:val="center"/>
          </w:tcPr>
          <w:p w14:paraId="6C37A20C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429" w:type="dxa"/>
            <w:vAlign w:val="center"/>
          </w:tcPr>
          <w:p w14:paraId="6584144C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</w:tr>
      <w:tr w14:paraId="2D1706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219F540B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计算机</w:t>
            </w:r>
          </w:p>
        </w:tc>
        <w:tc>
          <w:tcPr>
            <w:tcW w:w="667" w:type="dxa"/>
            <w:vAlign w:val="center"/>
          </w:tcPr>
          <w:p w14:paraId="32AE43BB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0.7</w:t>
            </w:r>
          </w:p>
        </w:tc>
        <w:tc>
          <w:tcPr>
            <w:tcW w:w="995" w:type="dxa"/>
            <w:vAlign w:val="center"/>
          </w:tcPr>
          <w:p w14:paraId="6460BAE9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计算机</w:t>
            </w:r>
          </w:p>
        </w:tc>
        <w:tc>
          <w:tcPr>
            <w:tcW w:w="427" w:type="dxa"/>
            <w:vAlign w:val="center"/>
          </w:tcPr>
          <w:p w14:paraId="7CC4FCC4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 w14:paraId="3F199204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台</w:t>
            </w:r>
          </w:p>
        </w:tc>
        <w:tc>
          <w:tcPr>
            <w:tcW w:w="549" w:type="dxa"/>
            <w:vAlign w:val="center"/>
          </w:tcPr>
          <w:p w14:paraId="4CB6D4B5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2</w:t>
            </w:r>
          </w:p>
        </w:tc>
        <w:tc>
          <w:tcPr>
            <w:tcW w:w="725" w:type="dxa"/>
            <w:vAlign w:val="center"/>
          </w:tcPr>
          <w:p w14:paraId="4E8AFC3D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0.35</w:t>
            </w:r>
          </w:p>
        </w:tc>
        <w:tc>
          <w:tcPr>
            <w:tcW w:w="630" w:type="dxa"/>
            <w:vAlign w:val="center"/>
          </w:tcPr>
          <w:p w14:paraId="23D3EAC5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0.7</w:t>
            </w:r>
          </w:p>
        </w:tc>
        <w:tc>
          <w:tcPr>
            <w:tcW w:w="645" w:type="dxa"/>
            <w:vAlign w:val="center"/>
          </w:tcPr>
          <w:p w14:paraId="6C7CCE7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0.7</w:t>
            </w:r>
          </w:p>
        </w:tc>
        <w:tc>
          <w:tcPr>
            <w:tcW w:w="630" w:type="dxa"/>
            <w:vAlign w:val="center"/>
          </w:tcPr>
          <w:p w14:paraId="38710979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0.7</w:t>
            </w:r>
          </w:p>
        </w:tc>
        <w:tc>
          <w:tcPr>
            <w:tcW w:w="375" w:type="dxa"/>
            <w:vAlign w:val="center"/>
          </w:tcPr>
          <w:p w14:paraId="3AFC9CD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0" w:type="dxa"/>
            <w:vAlign w:val="center"/>
          </w:tcPr>
          <w:p w14:paraId="10BD4265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435" w:type="dxa"/>
            <w:vAlign w:val="center"/>
          </w:tcPr>
          <w:p w14:paraId="2C103207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429" w:type="dxa"/>
            <w:vAlign w:val="center"/>
          </w:tcPr>
          <w:p w14:paraId="20CC155C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 w14:paraId="602404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08D5F1B0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空调</w:t>
            </w:r>
          </w:p>
        </w:tc>
        <w:tc>
          <w:tcPr>
            <w:tcW w:w="667" w:type="dxa"/>
            <w:vAlign w:val="center"/>
          </w:tcPr>
          <w:p w14:paraId="09F2CC62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0.8</w:t>
            </w:r>
          </w:p>
        </w:tc>
        <w:tc>
          <w:tcPr>
            <w:tcW w:w="995" w:type="dxa"/>
            <w:vAlign w:val="center"/>
          </w:tcPr>
          <w:p w14:paraId="253C93BC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空调</w:t>
            </w:r>
          </w:p>
        </w:tc>
        <w:tc>
          <w:tcPr>
            <w:tcW w:w="427" w:type="dxa"/>
            <w:vAlign w:val="center"/>
          </w:tcPr>
          <w:p w14:paraId="3F60FCE3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 w14:paraId="0D41AFAA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台</w:t>
            </w:r>
          </w:p>
        </w:tc>
        <w:tc>
          <w:tcPr>
            <w:tcW w:w="549" w:type="dxa"/>
            <w:vAlign w:val="center"/>
          </w:tcPr>
          <w:p w14:paraId="6DA1C35F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2</w:t>
            </w:r>
          </w:p>
        </w:tc>
        <w:tc>
          <w:tcPr>
            <w:tcW w:w="725" w:type="dxa"/>
            <w:vAlign w:val="center"/>
          </w:tcPr>
          <w:p w14:paraId="10DE52DB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0.4</w:t>
            </w:r>
          </w:p>
        </w:tc>
        <w:tc>
          <w:tcPr>
            <w:tcW w:w="630" w:type="dxa"/>
            <w:vAlign w:val="center"/>
          </w:tcPr>
          <w:p w14:paraId="6CE52166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0.8</w:t>
            </w:r>
          </w:p>
        </w:tc>
        <w:tc>
          <w:tcPr>
            <w:tcW w:w="645" w:type="dxa"/>
            <w:vAlign w:val="center"/>
          </w:tcPr>
          <w:p w14:paraId="72BE7E19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0.8</w:t>
            </w:r>
          </w:p>
        </w:tc>
        <w:tc>
          <w:tcPr>
            <w:tcW w:w="630" w:type="dxa"/>
            <w:vAlign w:val="center"/>
          </w:tcPr>
          <w:p w14:paraId="2BDFDA0D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0.8</w:t>
            </w:r>
          </w:p>
        </w:tc>
        <w:tc>
          <w:tcPr>
            <w:tcW w:w="375" w:type="dxa"/>
            <w:vAlign w:val="center"/>
          </w:tcPr>
          <w:p w14:paraId="082493FE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0" w:type="dxa"/>
            <w:vAlign w:val="center"/>
          </w:tcPr>
          <w:p w14:paraId="51FF30A9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435" w:type="dxa"/>
            <w:vAlign w:val="center"/>
          </w:tcPr>
          <w:p w14:paraId="48839EA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429" w:type="dxa"/>
            <w:vAlign w:val="center"/>
          </w:tcPr>
          <w:p w14:paraId="4A0B2A30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</w:tbl>
    <w:p w14:paraId="1CB45A38">
      <w:pPr>
        <w:pStyle w:val="11"/>
        <w:widowControl/>
        <w:spacing w:line="360" w:lineRule="auto"/>
        <w:ind w:left="643" w:firstLine="0" w:firstLineChars="0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七、国有资产信息</w:t>
      </w:r>
    </w:p>
    <w:p w14:paraId="6C2D34F8">
      <w:pPr>
        <w:spacing w:line="560" w:lineRule="exact"/>
        <w:ind w:firstLine="640"/>
        <w:rPr>
          <w:rFonts w:ascii="仿宋_GB2312" w:hAnsi="黑体" w:eastAsia="仿宋_GB2312" w:cs="Times New Roman"/>
          <w:sz w:val="32"/>
          <w:szCs w:val="32"/>
        </w:rPr>
      </w:pPr>
      <w:r>
        <w:rPr>
          <w:rFonts w:hint="eastAsia" w:ascii="仿宋_GB2312" w:hAnsi="黑体" w:eastAsia="仿宋_GB2312" w:cs="仿宋_GB2312"/>
          <w:sz w:val="32"/>
          <w:szCs w:val="32"/>
        </w:rPr>
        <w:t>李家疃镇人民政府（含所属单位）上年末固定资产金额为83.18万元，本年度拟购置固定资产主要为计算机设备、空调等，已列入政府采购预算。详见下表。</w:t>
      </w:r>
    </w:p>
    <w:tbl>
      <w:tblPr>
        <w:tblStyle w:val="7"/>
        <w:tblW w:w="9060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9"/>
        <w:gridCol w:w="855"/>
        <w:gridCol w:w="4066"/>
      </w:tblGrid>
      <w:tr w14:paraId="7785AA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D12FA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</w:p>
          <w:p w14:paraId="6036F003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</w:p>
          <w:p w14:paraId="72F83618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</w:p>
          <w:p w14:paraId="1C061104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</w:p>
          <w:p w14:paraId="01E6127A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部门固定资产占用情况表</w:t>
            </w:r>
          </w:p>
        </w:tc>
      </w:tr>
      <w:tr w14:paraId="75C0E1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54ADC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编制部门：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成安县李家町镇政府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1BF89">
            <w:pPr>
              <w:widowControl/>
              <w:ind w:firstLine="550" w:firstLineChars="250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截止时间：</w:t>
            </w:r>
            <w:r>
              <w:rPr>
                <w:rFonts w:ascii="宋体" w:hAnsi="宋体" w:eastAsia="宋体" w:cs="宋体"/>
                <w:kern w:val="0"/>
                <w:sz w:val="22"/>
              </w:rPr>
              <w:t>2016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年</w:t>
            </w:r>
            <w:r>
              <w:rPr>
                <w:rFonts w:ascii="宋体" w:hAnsi="宋体" w:eastAsia="宋体" w:cs="宋体"/>
                <w:kern w:val="0"/>
                <w:sz w:val="22"/>
              </w:rPr>
              <w:t>12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月</w:t>
            </w:r>
            <w:r>
              <w:rPr>
                <w:rFonts w:ascii="宋体" w:hAnsi="宋体" w:eastAsia="宋体" w:cs="宋体"/>
                <w:kern w:val="0"/>
                <w:sz w:val="22"/>
              </w:rPr>
              <w:t>31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日</w:t>
            </w:r>
            <w:r>
              <w:rPr>
                <w:rFonts w:ascii="宋体" w:hAnsi="宋体" w:eastAsia="宋体" w:cs="宋体"/>
                <w:kern w:val="0"/>
                <w:sz w:val="22"/>
              </w:rPr>
              <w:t xml:space="preserve">  </w:t>
            </w:r>
          </w:p>
        </w:tc>
      </w:tr>
      <w:tr w14:paraId="16E387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4060F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项</w:t>
            </w:r>
            <w:r>
              <w:rPr>
                <w:rFonts w:ascii="宋体" w:hAnsi="宋体" w:eastAsia="宋体" w:cs="宋体"/>
                <w:b/>
                <w:bCs/>
                <w:kern w:val="0"/>
                <w:sz w:val="22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目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649742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数量</w:t>
            </w:r>
          </w:p>
        </w:tc>
        <w:tc>
          <w:tcPr>
            <w:tcW w:w="40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3F31A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价值（金额单位：万元）</w:t>
            </w:r>
          </w:p>
        </w:tc>
      </w:tr>
      <w:tr w14:paraId="620EFE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0FAF2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资产总额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231E71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——</w:t>
            </w: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CC7DFE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</w:p>
        </w:tc>
      </w:tr>
      <w:tr w14:paraId="697980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AA06E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、房屋（平方米）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CA8AB4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4000</w:t>
            </w: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996162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56</w:t>
            </w:r>
          </w:p>
        </w:tc>
      </w:tr>
      <w:tr w14:paraId="18312A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B7EF68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其中：办公用房（平方米）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80C70B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4000</w:t>
            </w: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C2566A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56</w:t>
            </w:r>
          </w:p>
        </w:tc>
      </w:tr>
      <w:tr w14:paraId="2C946D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E41245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、车辆（台、辆）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EECAEE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1</w:t>
            </w: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8A8EC5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11.28</w:t>
            </w:r>
          </w:p>
        </w:tc>
      </w:tr>
      <w:tr w14:paraId="78E558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45504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、单价在</w:t>
            </w:r>
            <w:r>
              <w:rPr>
                <w:rFonts w:ascii="宋体" w:hAnsi="宋体" w:eastAsia="宋体" w:cs="宋体"/>
                <w:kern w:val="0"/>
                <w:sz w:val="22"/>
              </w:rPr>
              <w:t>50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万元以上的设备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A087CD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67CDC9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</w:tr>
      <w:tr w14:paraId="09BC1D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F622B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、其他固定资产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BC283F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C907BF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15.9</w:t>
            </w:r>
          </w:p>
        </w:tc>
      </w:tr>
    </w:tbl>
    <w:p w14:paraId="37BAFB3F">
      <w:pPr>
        <w:widowControl/>
        <w:spacing w:line="360" w:lineRule="auto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八、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</w:rPr>
        <w:t> </w:t>
      </w:r>
    </w:p>
    <w:p w14:paraId="37062587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1、财政拨款收入：指</w:t>
      </w:r>
      <w:r>
        <w:rPr>
          <w:rFonts w:hint="eastAsia" w:ascii="仿宋" w:hAnsi="仿宋" w:eastAsia="仿宋" w:cs="仿宋"/>
          <w:kern w:val="0"/>
          <w:sz w:val="32"/>
          <w:szCs w:val="32"/>
        </w:rPr>
        <w:t>财政当年拨付的资金。</w:t>
      </w:r>
    </w:p>
    <w:p w14:paraId="6C4F037C">
      <w:pPr>
        <w:widowControl/>
        <w:spacing w:line="360" w:lineRule="auto"/>
        <w:ind w:firstLine="640" w:firstLineChars="200"/>
        <w:jc w:val="left"/>
        <w:rPr>
          <w:rFonts w:ascii="微软雅黑" w:hAnsi="微软雅黑" w:eastAsia="微软雅黑" w:cs="微软雅黑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2、“三公”经费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、等支出，公务用车指用于履行公务的机动车辆，包括领导干部专车、一般公务用车和执法执勤等业务用车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</w:p>
    <w:p w14:paraId="65662D66">
      <w:pPr>
        <w:widowControl/>
        <w:spacing w:line="360" w:lineRule="auto"/>
        <w:ind w:firstLine="600" w:firstLineChars="250"/>
        <w:jc w:val="left"/>
        <w:rPr>
          <w:rFonts w:ascii="仿宋" w:hAnsi="仿宋" w:eastAsia="仿宋" w:cs="仿宋"/>
          <w:b/>
          <w:kern w:val="0"/>
          <w:sz w:val="32"/>
          <w:szCs w:val="32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>3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、年初结转和结余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</w:t>
      </w:r>
    </w:p>
    <w:p w14:paraId="1F86EE71">
      <w:pPr>
        <w:widowControl/>
        <w:spacing w:line="360" w:lineRule="auto"/>
        <w:ind w:firstLine="643" w:firstLineChars="200"/>
        <w:jc w:val="left"/>
        <w:rPr>
          <w:rFonts w:ascii="仿宋" w:hAnsi="仿宋" w:eastAsia="仿宋" w:cs="仿宋"/>
          <w:b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kern w:val="0"/>
          <w:sz w:val="32"/>
          <w:szCs w:val="32"/>
        </w:rPr>
        <w:t>4、基本支出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</w:t>
      </w:r>
    </w:p>
    <w:p w14:paraId="199D3E39">
      <w:pPr>
        <w:widowControl/>
        <w:spacing w:line="360" w:lineRule="auto"/>
        <w:ind w:firstLine="643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kern w:val="0"/>
          <w:sz w:val="32"/>
          <w:szCs w:val="32"/>
        </w:rPr>
        <w:t>5、项目支出：</w:t>
      </w:r>
      <w:r>
        <w:rPr>
          <w:rFonts w:hint="eastAsia" w:ascii="仿宋" w:hAnsi="仿宋" w:eastAsia="仿宋" w:cs="仿宋"/>
          <w:kern w:val="0"/>
          <w:sz w:val="32"/>
          <w:szCs w:val="32"/>
        </w:rPr>
        <w:t>指单位为了特定的工作任务和事业发展目标，在基本支出之外所发生的支出。</w:t>
      </w:r>
    </w:p>
    <w:p w14:paraId="5616EA96">
      <w:pPr>
        <w:widowControl/>
        <w:spacing w:line="360" w:lineRule="auto"/>
        <w:ind w:firstLine="640" w:firstLineChars="200"/>
        <w:jc w:val="left"/>
        <w:rPr>
          <w:rFonts w:ascii="黑体" w:hAnsi="黑体" w:eastAsia="黑体" w:cs="仿宋"/>
          <w:kern w:val="0"/>
          <w:sz w:val="32"/>
          <w:szCs w:val="32"/>
        </w:rPr>
      </w:pPr>
      <w:r>
        <w:rPr>
          <w:rFonts w:hint="eastAsia" w:ascii="黑体" w:hAnsi="黑体" w:eastAsia="黑体" w:cs="仿宋"/>
          <w:kern w:val="0"/>
          <w:sz w:val="32"/>
          <w:szCs w:val="32"/>
        </w:rPr>
        <w:t>九、其他需要说明的事项</w:t>
      </w:r>
    </w:p>
    <w:p w14:paraId="722D5AA2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无。</w:t>
      </w:r>
    </w:p>
    <w:p w14:paraId="46EBF8D4">
      <w:pPr>
        <w:widowControl/>
        <w:spacing w:line="360" w:lineRule="auto"/>
        <w:ind w:firstLine="420" w:firstLineChars="200"/>
        <w:jc w:val="left"/>
      </w:pPr>
    </w:p>
    <w:sectPr>
      <w:pgSz w:w="11907" w:h="16839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2DE9"/>
    <w:multiLevelType w:val="singleLevel"/>
    <w:tmpl w:val="58512DE9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8BCCBF5"/>
    <w:multiLevelType w:val="singleLevel"/>
    <w:tmpl w:val="58BCCBF5"/>
    <w:lvl w:ilvl="0" w:tentative="0">
      <w:start w:val="3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60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E810D6"/>
    <w:rsid w:val="002225A7"/>
    <w:rsid w:val="002E3A95"/>
    <w:rsid w:val="003E77C7"/>
    <w:rsid w:val="00464BB9"/>
    <w:rsid w:val="005D136A"/>
    <w:rsid w:val="0062621A"/>
    <w:rsid w:val="00685811"/>
    <w:rsid w:val="006D1C5B"/>
    <w:rsid w:val="0075357F"/>
    <w:rsid w:val="007A507B"/>
    <w:rsid w:val="007D6BF0"/>
    <w:rsid w:val="008058DC"/>
    <w:rsid w:val="008C7744"/>
    <w:rsid w:val="009853A7"/>
    <w:rsid w:val="00A07D70"/>
    <w:rsid w:val="00A16E33"/>
    <w:rsid w:val="00A244CE"/>
    <w:rsid w:val="00A9148C"/>
    <w:rsid w:val="00BA23C0"/>
    <w:rsid w:val="00BA3125"/>
    <w:rsid w:val="00C45C01"/>
    <w:rsid w:val="00C96DAF"/>
    <w:rsid w:val="00CB7E48"/>
    <w:rsid w:val="00CD481C"/>
    <w:rsid w:val="00E810D6"/>
    <w:rsid w:val="013B67CD"/>
    <w:rsid w:val="01CA412B"/>
    <w:rsid w:val="037D399A"/>
    <w:rsid w:val="03B213E5"/>
    <w:rsid w:val="06096D52"/>
    <w:rsid w:val="06550E5D"/>
    <w:rsid w:val="0726741C"/>
    <w:rsid w:val="075A4B9F"/>
    <w:rsid w:val="08D34D69"/>
    <w:rsid w:val="09E50DB9"/>
    <w:rsid w:val="0BB0089A"/>
    <w:rsid w:val="0BB759F9"/>
    <w:rsid w:val="0CBF7A43"/>
    <w:rsid w:val="0DD4180B"/>
    <w:rsid w:val="130B706D"/>
    <w:rsid w:val="139106CF"/>
    <w:rsid w:val="13DE0FA8"/>
    <w:rsid w:val="13F04E52"/>
    <w:rsid w:val="163506CD"/>
    <w:rsid w:val="17252863"/>
    <w:rsid w:val="175940C0"/>
    <w:rsid w:val="17C16AC9"/>
    <w:rsid w:val="180D78B9"/>
    <w:rsid w:val="1AEF7278"/>
    <w:rsid w:val="1B2A5EA4"/>
    <w:rsid w:val="1CC97251"/>
    <w:rsid w:val="1CEB0A1C"/>
    <w:rsid w:val="1E8167C1"/>
    <w:rsid w:val="1EAA0AE1"/>
    <w:rsid w:val="21B66276"/>
    <w:rsid w:val="228819EE"/>
    <w:rsid w:val="2716314B"/>
    <w:rsid w:val="288A4B30"/>
    <w:rsid w:val="28E516DB"/>
    <w:rsid w:val="299267B6"/>
    <w:rsid w:val="2AD57C75"/>
    <w:rsid w:val="2BAA47A7"/>
    <w:rsid w:val="2DCE40BA"/>
    <w:rsid w:val="2E066AE5"/>
    <w:rsid w:val="2E2777CE"/>
    <w:rsid w:val="2EE04A84"/>
    <w:rsid w:val="3066500A"/>
    <w:rsid w:val="31D059F4"/>
    <w:rsid w:val="332A0BBD"/>
    <w:rsid w:val="335B520F"/>
    <w:rsid w:val="3387759D"/>
    <w:rsid w:val="351C5D1D"/>
    <w:rsid w:val="36DF5EE5"/>
    <w:rsid w:val="38963AA1"/>
    <w:rsid w:val="39461E7C"/>
    <w:rsid w:val="39A75722"/>
    <w:rsid w:val="3B6E7B6E"/>
    <w:rsid w:val="3C712CD5"/>
    <w:rsid w:val="3CEC5D53"/>
    <w:rsid w:val="42F51A46"/>
    <w:rsid w:val="441C57E9"/>
    <w:rsid w:val="44240E6E"/>
    <w:rsid w:val="44986D47"/>
    <w:rsid w:val="456A5D0D"/>
    <w:rsid w:val="457C0C14"/>
    <w:rsid w:val="45B90BF3"/>
    <w:rsid w:val="460143F1"/>
    <w:rsid w:val="475B18CD"/>
    <w:rsid w:val="47733BCD"/>
    <w:rsid w:val="49A62A22"/>
    <w:rsid w:val="4A4F1F05"/>
    <w:rsid w:val="4AFB38A3"/>
    <w:rsid w:val="4B7040C7"/>
    <w:rsid w:val="4CA957E7"/>
    <w:rsid w:val="4D9730D4"/>
    <w:rsid w:val="4E4335D2"/>
    <w:rsid w:val="54D807C3"/>
    <w:rsid w:val="59AF56D7"/>
    <w:rsid w:val="59E039EB"/>
    <w:rsid w:val="5B2B3FCD"/>
    <w:rsid w:val="5BAE356C"/>
    <w:rsid w:val="5CB07A05"/>
    <w:rsid w:val="5DF51850"/>
    <w:rsid w:val="5ED17601"/>
    <w:rsid w:val="612F2391"/>
    <w:rsid w:val="61897173"/>
    <w:rsid w:val="63685550"/>
    <w:rsid w:val="63F21B1B"/>
    <w:rsid w:val="65493192"/>
    <w:rsid w:val="666C26EF"/>
    <w:rsid w:val="677A66E5"/>
    <w:rsid w:val="6B511389"/>
    <w:rsid w:val="6D5763C1"/>
    <w:rsid w:val="6D81148F"/>
    <w:rsid w:val="6E8006EE"/>
    <w:rsid w:val="6ECC4D84"/>
    <w:rsid w:val="6FB05C96"/>
    <w:rsid w:val="70BA2DA1"/>
    <w:rsid w:val="71B87B2B"/>
    <w:rsid w:val="729B4F6A"/>
    <w:rsid w:val="733E01F4"/>
    <w:rsid w:val="7424079F"/>
    <w:rsid w:val="74D4598A"/>
    <w:rsid w:val="76FD3FC3"/>
    <w:rsid w:val="7AA5545A"/>
    <w:rsid w:val="7BAA5900"/>
    <w:rsid w:val="7D9A3104"/>
    <w:rsid w:val="7DB94919"/>
    <w:rsid w:val="7E720F2A"/>
    <w:rsid w:val="7F4A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6">
    <w:name w:val="Normal (Web)"/>
    <w:basedOn w:val="1"/>
    <w:unhideWhenUsed/>
    <w:qFormat/>
    <w:uiPriority w:val="99"/>
    <w:rPr>
      <w:sz w:val="24"/>
    </w:rPr>
  </w:style>
  <w:style w:type="character" w:customStyle="1" w:styleId="9">
    <w:name w:val="页眉 Char"/>
    <w:basedOn w:val="8"/>
    <w:link w:val="3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2"/>
    <w:semiHidden/>
    <w:qFormat/>
    <w:uiPriority w:val="99"/>
    <w:rPr>
      <w:sz w:val="18"/>
      <w:szCs w:val="18"/>
    </w:rPr>
  </w:style>
  <w:style w:type="paragraph" w:customStyle="1" w:styleId="11">
    <w:name w:val="列出段落1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10</Pages>
  <Words>3419</Words>
  <Characters>3592</Characters>
  <Lines>28</Lines>
  <Paragraphs>8</Paragraphs>
  <TotalTime>3</TotalTime>
  <ScaleCrop>false</ScaleCrop>
  <LinksUpToDate>false</LinksUpToDate>
  <CharactersWithSpaces>3628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86156</cp:lastModifiedBy>
  <cp:lastPrinted>2016-04-01T02:44:00Z</cp:lastPrinted>
  <dcterms:modified xsi:type="dcterms:W3CDTF">2025-10-27T01:36:44Z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eyJoZGlkIjoiOWVkMTQ3NzcyODRmYmNkMDFkNWRjOTYxMTY5NmYxNWMifQ==</vt:lpwstr>
  </property>
  <property fmtid="{D5CDD505-2E9C-101B-9397-08002B2CF9AE}" pid="4" name="ICV">
    <vt:lpwstr>14401507C5C24BDEA3712385F0A49D6B_12</vt:lpwstr>
  </property>
</Properties>
</file>