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 w:bidi="ar"/>
        </w:rPr>
        <w:t>成安县质量技术监督局2016年预算公开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</w:pPr>
      <w:r>
        <w:rPr>
          <w:rFonts w:hint="eastAsia" w:ascii="仿宋" w:hAnsi="仿宋" w:eastAsia="仿宋" w:cs="仿宋"/>
          <w:b/>
          <w:kern w:val="0"/>
          <w:sz w:val="44"/>
          <w:szCs w:val="44"/>
          <w:lang w:val="en-US" w:eastAsia="zh-CN" w:bidi="ar"/>
        </w:rPr>
        <w:t>部门预算有关事项说明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我单位按照成安县2016年预算编制指导思想和原则编制了2016年部门预算，现将有关情况说明如下：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部门预算总体情况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2016年预算总收入312.5万元。其中：一般公共预算拨款为312.5万元，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政府性基金预算拨款0万元；国有资本经营预算拨款0万元。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本年部门支出预算总计312.5万元。其中：基本支出296 万元（人员经费179万元，正常公用经费117万元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，项目支出16.5万元。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成安县财政局2016年财政拨款收入312.5万元，其中一般公共预算财政拨款312.5万元。财政拨款支出312.5万元，其中基本支出296万元(其中人员经费179万元，公用经费117万元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，项目支出16.5万元。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机关运行费：是指我单位的日常公用经费，是为保障我单位正常运行用于购买货物和服务的各项资金，包括办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公费、印刷费、邮电费、差旅费、会议费、水费、电费、公务用车运行维护费。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“三公”经费：指财政拨款支出安排的出国（境）费、车辆购置及运行费、公务接待费这三项经费。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基本支出：为了保障我单位机关的正常运转、并且完成日常的工作，财政拨款给我单位的人员经费支出和公用经费支出。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项目支出：指我单位人员经费和公用经费之外的支出，项目支出有轴承产品监督抽查经费、质量监督专项经费。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五、其他需要说明事项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2016年度我单位无国有资本经营收支业务，也无国有资本经营收支预算。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2016年度我单位无基金收支情况。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55948"/>
    <w:rsid w:val="2EE515C8"/>
    <w:rsid w:val="32B677D3"/>
    <w:rsid w:val="33926DB6"/>
    <w:rsid w:val="4B7A7460"/>
    <w:rsid w:val="4EBB7D77"/>
    <w:rsid w:val="4FC31608"/>
    <w:rsid w:val="515F3C74"/>
    <w:rsid w:val="6D3D1271"/>
    <w:rsid w:val="75647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1F1F1F"/>
      <w:u w:val="none"/>
    </w:rPr>
  </w:style>
  <w:style w:type="character" w:styleId="5">
    <w:name w:val="Hyperlink"/>
    <w:basedOn w:val="3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2016-12-06T08:14:35Z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