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dashed" w:color="CCCCCC" w:sz="2" w:space="15"/>
          <w:right w:val="none" w:color="auto" w:sz="0" w:space="0"/>
        </w:pBdr>
        <w:kinsoku/>
        <w:wordWrap/>
        <w:overflowPunct/>
        <w:topLinePunct w:val="0"/>
        <w:autoSpaceDE w:val="0"/>
        <w:autoSpaceDN/>
        <w:bidi w:val="0"/>
        <w:adjustRightInd/>
        <w:snapToGrid/>
        <w:spacing w:beforeAutospacing="0" w:afterAutospacing="0" w:line="240" w:lineRule="auto"/>
        <w:ind w:left="0" w:right="0" w:rightChars="0"/>
        <w:jc w:val="center"/>
        <w:textAlignment w:val="auto"/>
        <w:outlineLvl w:val="9"/>
        <w:rPr>
          <w:rFonts w:ascii="微软雅黑" w:hAnsi="微软雅黑" w:eastAsia="微软雅黑" w:cs="微软雅黑"/>
          <w:b/>
          <w:sz w:val="30"/>
          <w:szCs w:val="30"/>
        </w:rPr>
      </w:pPr>
      <w:r>
        <w:rPr>
          <w:rFonts w:hint="eastAsia" w:ascii="微软雅黑" w:hAnsi="微软雅黑" w:eastAsia="微软雅黑" w:cs="微软雅黑"/>
          <w:b/>
          <w:kern w:val="0"/>
          <w:sz w:val="30"/>
          <w:szCs w:val="30"/>
          <w:lang w:val="en-US" w:eastAsia="zh-CN" w:bidi="ar"/>
        </w:rPr>
        <w:t>成安县水利局2016年度部门预算公开</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jc w:val="left"/>
        <w:textAlignment w:val="auto"/>
        <w:outlineLvl w:val="9"/>
      </w:pP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rightChars="0" w:firstLine="480"/>
        <w:textAlignment w:val="auto"/>
        <w:outlineLvl w:val="9"/>
      </w:pPr>
      <w:r>
        <w:rPr>
          <w:rStyle w:val="4"/>
          <w:rFonts w:hint="eastAsia" w:ascii="微软雅黑" w:hAnsi="微软雅黑" w:eastAsia="微软雅黑" w:cs="微软雅黑"/>
          <w:sz w:val="24"/>
          <w:szCs w:val="24"/>
          <w:lang w:eastAsia="zh-CN"/>
        </w:rPr>
        <w:t>成安</w:t>
      </w:r>
      <w:r>
        <w:rPr>
          <w:rStyle w:val="4"/>
          <w:rFonts w:hint="eastAsia" w:ascii="微软雅黑" w:hAnsi="微软雅黑" w:eastAsia="微软雅黑" w:cs="微软雅黑"/>
          <w:sz w:val="24"/>
          <w:szCs w:val="24"/>
        </w:rPr>
        <w:t>县水利局201</w:t>
      </w:r>
      <w:r>
        <w:rPr>
          <w:rStyle w:val="4"/>
          <w:rFonts w:hint="eastAsia" w:ascii="微软雅黑" w:hAnsi="微软雅黑" w:eastAsia="微软雅黑" w:cs="微软雅黑"/>
          <w:sz w:val="24"/>
          <w:szCs w:val="24"/>
          <w:lang w:val="en-US" w:eastAsia="zh-CN"/>
        </w:rPr>
        <w:t>6</w:t>
      </w:r>
      <w:r>
        <w:rPr>
          <w:rStyle w:val="4"/>
          <w:rFonts w:hint="eastAsia" w:ascii="微软雅黑" w:hAnsi="微软雅黑" w:eastAsia="微软雅黑" w:cs="微软雅黑"/>
          <w:sz w:val="24"/>
          <w:szCs w:val="24"/>
        </w:rPr>
        <w:t>年部门决算情况说明</w:t>
      </w:r>
      <w:r>
        <w:rPr>
          <w:rFonts w:hint="eastAsia" w:ascii="微软雅黑" w:hAnsi="微软雅黑" w:eastAsia="微软雅黑" w:cs="微软雅黑"/>
          <w:sz w:val="24"/>
          <w:szCs w:val="24"/>
        </w:rPr>
        <w:t xml:space="preserve">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 xml:space="preserve">1、收入支出决算总体情况说明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201</w:t>
      </w:r>
      <w:r>
        <w:rPr>
          <w:rFonts w:hint="eastAsia" w:ascii="微软雅黑" w:hAnsi="微软雅黑" w:eastAsia="微软雅黑" w:cs="微软雅黑"/>
          <w:sz w:val="24"/>
          <w:szCs w:val="24"/>
          <w:shd w:val="clear" w:fill="FFFFFF"/>
          <w:lang w:val="en-US" w:eastAsia="zh-CN"/>
        </w:rPr>
        <w:t>6</w:t>
      </w:r>
      <w:r>
        <w:rPr>
          <w:rFonts w:hint="eastAsia" w:ascii="微软雅黑" w:hAnsi="微软雅黑" w:eastAsia="微软雅黑" w:cs="微软雅黑"/>
          <w:sz w:val="24"/>
          <w:szCs w:val="24"/>
          <w:shd w:val="clear" w:fill="FFFFFF"/>
        </w:rPr>
        <w:t xml:space="preserve">年当年收入合计1394.34万元，其中:一般公共预算财政拨款1019.18万元，政府性基金预算财政拨款375.16万元。上年结转69万元。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201</w:t>
      </w:r>
      <w:r>
        <w:rPr>
          <w:rFonts w:hint="eastAsia" w:ascii="微软雅黑" w:hAnsi="微软雅黑" w:eastAsia="微软雅黑" w:cs="微软雅黑"/>
          <w:sz w:val="24"/>
          <w:szCs w:val="24"/>
          <w:shd w:val="clear" w:fill="FFFFFF"/>
          <w:lang w:val="en-US" w:eastAsia="zh-CN"/>
        </w:rPr>
        <w:t>6</w:t>
      </w:r>
      <w:r>
        <w:rPr>
          <w:rFonts w:hint="eastAsia" w:ascii="微软雅黑" w:hAnsi="微软雅黑" w:eastAsia="微软雅黑" w:cs="微软雅黑"/>
          <w:sz w:val="24"/>
          <w:szCs w:val="24"/>
          <w:shd w:val="clear" w:fill="FFFFFF"/>
        </w:rPr>
        <w:t xml:space="preserve">年当年总支出1440.03万元，其中：社会保障和就业支出103.70万元，城乡社区支出375.10万元，农林水支出961.23万元。结转下年23.31万元。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 xml:space="preserve">2、收入决算情况说明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201</w:t>
      </w:r>
      <w:r>
        <w:rPr>
          <w:rFonts w:hint="eastAsia" w:ascii="微软雅黑" w:hAnsi="微软雅黑" w:eastAsia="微软雅黑" w:cs="微软雅黑"/>
          <w:sz w:val="24"/>
          <w:szCs w:val="24"/>
          <w:shd w:val="clear" w:fill="FFFFFF"/>
          <w:lang w:val="en-US" w:eastAsia="zh-CN"/>
        </w:rPr>
        <w:t>6</w:t>
      </w:r>
      <w:r>
        <w:rPr>
          <w:rFonts w:hint="eastAsia" w:ascii="微软雅黑" w:hAnsi="微软雅黑" w:eastAsia="微软雅黑" w:cs="微软雅黑"/>
          <w:sz w:val="24"/>
          <w:szCs w:val="24"/>
          <w:shd w:val="clear" w:fill="FFFFFF"/>
        </w:rPr>
        <w:t xml:space="preserve">年财政拨款收入合计1394.34万元，其中：社会保障和就业支出103.76万元，城乡社区支出375.10万元，农林水支出915.49万元。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 xml:space="preserve">3、支出决算情况说明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201</w:t>
      </w:r>
      <w:r>
        <w:rPr>
          <w:rFonts w:hint="eastAsia" w:ascii="微软雅黑" w:hAnsi="微软雅黑" w:eastAsia="微软雅黑" w:cs="微软雅黑"/>
          <w:sz w:val="24"/>
          <w:szCs w:val="24"/>
          <w:shd w:val="clear" w:fill="FFFFFF"/>
          <w:lang w:val="en-US" w:eastAsia="zh-CN"/>
        </w:rPr>
        <w:t>6</w:t>
      </w:r>
      <w:r>
        <w:rPr>
          <w:rFonts w:hint="eastAsia" w:ascii="微软雅黑" w:hAnsi="微软雅黑" w:eastAsia="微软雅黑" w:cs="微软雅黑"/>
          <w:sz w:val="24"/>
          <w:szCs w:val="24"/>
          <w:shd w:val="clear" w:fill="FFFFFF"/>
        </w:rPr>
        <w:t xml:space="preserve">年当年总支出1440.03万元，其中：社会保障和就业支出103.70万元，城乡社区支出375.10万元，农林水支出961.23万元。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 xml:space="preserve">4、财政拨款收入支出决算总体情况说明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 xml:space="preserve">当年财政拨款收入1394.34万元，支出1440.03万元，其中：社会保障和就业支出103.70万元，城乡社区支出375.1万元，农林水支出961.24万元。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 xml:space="preserve">5、一般公共预算财政拨款“三公”经费支出决算情况说明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240" w:lineRule="auto"/>
        <w:ind w:left="0" w:right="0" w:rightChars="0" w:firstLine="600"/>
        <w:textAlignment w:val="auto"/>
        <w:outlineLvl w:val="9"/>
      </w:pPr>
      <w:r>
        <w:rPr>
          <w:rFonts w:hint="eastAsia" w:ascii="微软雅黑" w:hAnsi="微软雅黑" w:eastAsia="微软雅黑" w:cs="微软雅黑"/>
          <w:sz w:val="24"/>
          <w:szCs w:val="24"/>
          <w:shd w:val="clear" w:fill="FFFFFF"/>
        </w:rPr>
        <w:t>201</w:t>
      </w:r>
      <w:r>
        <w:rPr>
          <w:rFonts w:hint="eastAsia" w:ascii="微软雅黑" w:hAnsi="微软雅黑" w:eastAsia="微软雅黑" w:cs="微软雅黑"/>
          <w:sz w:val="24"/>
          <w:szCs w:val="24"/>
          <w:shd w:val="clear" w:fill="FFFFFF"/>
          <w:lang w:val="en-US" w:eastAsia="zh-CN"/>
        </w:rPr>
        <w:t>6</w:t>
      </w:r>
      <w:r>
        <w:rPr>
          <w:rFonts w:hint="eastAsia" w:ascii="微软雅黑" w:hAnsi="微软雅黑" w:eastAsia="微软雅黑" w:cs="微软雅黑"/>
          <w:sz w:val="24"/>
          <w:szCs w:val="24"/>
          <w:shd w:val="clear" w:fill="FFFFFF"/>
        </w:rPr>
        <w:t xml:space="preserve">年度“三公”经费决算支出数为7.80万元，其中交通费7.72万元，招待费0.08万元。“三公”经费支出总额及分项数额与年初预算数、上年支出数持平，基本没有变化。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00"/>
        <w:jc w:val="left"/>
        <w:textAlignment w:val="auto"/>
        <w:outlineLvl w:val="9"/>
      </w:pPr>
      <w:r>
        <w:rPr>
          <w:rFonts w:hint="eastAsia" w:ascii="微软雅黑" w:hAnsi="微软雅黑" w:eastAsia="微软雅黑" w:cs="微软雅黑"/>
          <w:kern w:val="0"/>
          <w:sz w:val="24"/>
          <w:szCs w:val="24"/>
          <w:lang w:val="en-US" w:eastAsia="zh-CN" w:bidi="ar"/>
        </w:rPr>
        <w:t xml:space="preserve">6、机关运行经费的支出情况说明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00"/>
        <w:jc w:val="left"/>
        <w:textAlignment w:val="auto"/>
        <w:outlineLvl w:val="9"/>
      </w:pPr>
      <w:r>
        <w:rPr>
          <w:rFonts w:hint="eastAsia" w:ascii="微软雅黑" w:hAnsi="微软雅黑" w:eastAsia="微软雅黑" w:cs="微软雅黑"/>
          <w:kern w:val="0"/>
          <w:sz w:val="24"/>
          <w:szCs w:val="24"/>
          <w:lang w:val="en-US" w:eastAsia="zh-CN" w:bidi="ar"/>
        </w:rPr>
        <w:t xml:space="preserve">一般公共预算财政拨款基本支出618.43万元，其中工资福利支出230.65万元（基本工资188.96万元、社会保障交费29.69万元、其他工资福利支出12万元。）；商品和服务支出257.93万元（办公费4.83万元、印刷费1.76万元，水费0.09万元，电费53.84万元，邮电费1.40万元，差旅费0.18万元，维修（护）费2.94万元，公务接待费0.08万元，专用材料费0.33万元，劳务费0.66万元，公务用车运行维护费7.72万元，其他商品和服务支出184.10万元）。对个人和家庭的补助129.86万元（离休费5.65万元，退休费98.04万元，抚恤金3.06万元，其他对个人和家庭的补助支出23.10万元）。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00"/>
        <w:jc w:val="left"/>
        <w:textAlignment w:val="auto"/>
        <w:outlineLvl w:val="9"/>
      </w:pPr>
      <w:r>
        <w:rPr>
          <w:rFonts w:hint="eastAsia" w:ascii="微软雅黑" w:hAnsi="微软雅黑" w:eastAsia="微软雅黑" w:cs="微软雅黑"/>
          <w:kern w:val="0"/>
          <w:sz w:val="24"/>
          <w:szCs w:val="24"/>
          <w:lang w:val="en-US" w:eastAsia="zh-CN" w:bidi="ar"/>
        </w:rPr>
        <w:t xml:space="preserve">7、政府采购情况说明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00"/>
        <w:jc w:val="left"/>
        <w:textAlignment w:val="auto"/>
        <w:outlineLvl w:val="9"/>
      </w:pPr>
      <w:r>
        <w:rPr>
          <w:rFonts w:hint="eastAsia" w:ascii="微软雅黑" w:hAnsi="微软雅黑" w:eastAsia="微软雅黑" w:cs="微软雅黑"/>
          <w:kern w:val="0"/>
          <w:sz w:val="24"/>
          <w:szCs w:val="24"/>
          <w:lang w:val="en-US" w:eastAsia="zh-CN" w:bidi="ar"/>
        </w:rPr>
        <w:t xml:space="preserve">2016年度公务用车运行维护费用7.72万元，其中5.40万元在政府采购定点消费。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00"/>
        <w:jc w:val="left"/>
        <w:textAlignment w:val="auto"/>
        <w:outlineLvl w:val="9"/>
      </w:pPr>
      <w:r>
        <w:rPr>
          <w:rFonts w:hint="eastAsia" w:ascii="微软雅黑" w:hAnsi="微软雅黑" w:eastAsia="微软雅黑" w:cs="微软雅黑"/>
          <w:kern w:val="0"/>
          <w:sz w:val="24"/>
          <w:szCs w:val="24"/>
          <w:lang w:val="en-US" w:eastAsia="zh-CN" w:bidi="ar"/>
        </w:rPr>
        <w:t xml:space="preserve">8、其他重要事项的情况说明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540"/>
        <w:jc w:val="left"/>
        <w:textAlignment w:val="auto"/>
        <w:outlineLvl w:val="9"/>
      </w:pPr>
      <w:r>
        <w:rPr>
          <w:rFonts w:hint="eastAsia" w:ascii="微软雅黑" w:hAnsi="微软雅黑" w:eastAsia="微软雅黑" w:cs="微软雅黑"/>
          <w:b/>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540"/>
        <w:jc w:val="left"/>
        <w:textAlignment w:val="auto"/>
        <w:outlineLvl w:val="9"/>
      </w:pPr>
      <w:r>
        <w:rPr>
          <w:rFonts w:hint="eastAsia" w:ascii="微软雅黑" w:hAnsi="微软雅黑" w:eastAsia="微软雅黑" w:cs="微软雅黑"/>
          <w:b/>
          <w:kern w:val="0"/>
          <w:sz w:val="24"/>
          <w:szCs w:val="24"/>
          <w:lang w:val="en-US" w:eastAsia="zh-CN" w:bidi="ar"/>
        </w:rPr>
        <w:t>名词解释</w:t>
      </w:r>
      <w:r>
        <w:rPr>
          <w:rFonts w:hint="eastAsia" w:ascii="微软雅黑" w:hAnsi="微软雅黑" w:eastAsia="微软雅黑" w:cs="微软雅黑"/>
          <w:kern w:val="0"/>
          <w:sz w:val="24"/>
          <w:szCs w:val="24"/>
          <w:lang w:val="en-US" w:eastAsia="zh-CN" w:bidi="ar"/>
        </w:rPr>
        <w:t xml:space="preserve"> </w:t>
      </w:r>
      <w:bookmarkStart w:id="0" w:name="_GoBack"/>
      <w:bookmarkEnd w:id="0"/>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538"/>
        <w:jc w:val="left"/>
        <w:textAlignment w:val="auto"/>
        <w:outlineLvl w:val="9"/>
      </w:pPr>
      <w:r>
        <w:rPr>
          <w:rFonts w:hint="eastAsia" w:ascii="微软雅黑" w:hAnsi="微软雅黑" w:eastAsia="微软雅黑" w:cs="微软雅黑"/>
          <w:b/>
          <w:kern w:val="0"/>
          <w:sz w:val="24"/>
          <w:szCs w:val="24"/>
          <w:lang w:val="en-US" w:eastAsia="zh-CN" w:bidi="ar"/>
        </w:rPr>
        <w:t>基本支出</w:t>
      </w:r>
      <w:r>
        <w:rPr>
          <w:rFonts w:hint="eastAsia" w:ascii="微软雅黑" w:hAnsi="微软雅黑" w:eastAsia="微软雅黑" w:cs="微软雅黑"/>
          <w:kern w:val="0"/>
          <w:sz w:val="24"/>
          <w:szCs w:val="24"/>
          <w:lang w:val="en-US" w:eastAsia="zh-CN" w:bidi="ar"/>
        </w:rPr>
        <w:t xml:space="preserve">：指行政事业单位为维护正常运转和完成日常工作任务而发生的各项支出，如基本工资、津贴、办公费、劳务费、交通费等。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482"/>
        <w:jc w:val="left"/>
        <w:textAlignment w:val="auto"/>
        <w:outlineLvl w:val="9"/>
      </w:pPr>
      <w:r>
        <w:rPr>
          <w:rFonts w:hint="eastAsia" w:ascii="微软雅黑" w:hAnsi="微软雅黑" w:eastAsia="微软雅黑" w:cs="微软雅黑"/>
          <w:b/>
          <w:kern w:val="0"/>
          <w:sz w:val="24"/>
          <w:szCs w:val="24"/>
          <w:lang w:val="en-US" w:eastAsia="zh-CN" w:bidi="ar"/>
        </w:rPr>
        <w:t>项目支出：</w:t>
      </w:r>
      <w:r>
        <w:rPr>
          <w:rFonts w:hint="eastAsia" w:ascii="微软雅黑" w:hAnsi="微软雅黑" w:eastAsia="微软雅黑" w:cs="微软雅黑"/>
          <w:kern w:val="0"/>
          <w:sz w:val="24"/>
          <w:szCs w:val="24"/>
          <w:lang w:val="en-US" w:eastAsia="zh-CN" w:bidi="ar"/>
        </w:rPr>
        <w:t xml:space="preserve">是行政单位为完成特定的工作任务或事业发展目标，在基本的预算支出以外，财政预算专项安排的支出。 </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rightChars="0"/>
        <w:textAlignment w:val="auto"/>
        <w:outlineLvl w:val="9"/>
      </w:pP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jc w:val="left"/>
        <w:textAlignment w:val="auto"/>
        <w:outlineLvl w:val="9"/>
      </w:pPr>
      <w:r>
        <w:rPr>
          <w:rFonts w:ascii="宋体" w:hAnsi="宋体" w:eastAsia="宋体" w:cs="宋体"/>
          <w:kern w:val="0"/>
          <w:sz w:val="24"/>
          <w:szCs w:val="24"/>
          <w:lang w:val="en-US" w:eastAsia="zh-CN" w:bidi="ar"/>
        </w:rPr>
        <w:t> </w:t>
      </w:r>
    </w:p>
    <w:p>
      <w:pPr>
        <w:keepNext w:val="0"/>
        <w:keepLines w:val="0"/>
        <w:pageBreakBefore w:val="0"/>
        <w:kinsoku/>
        <w:wordWrap/>
        <w:overflowPunct/>
        <w:topLinePunct w:val="0"/>
        <w:autoSpaceDE w:val="0"/>
        <w:autoSpaceDN/>
        <w:bidi w:val="0"/>
        <w:adjustRightInd/>
        <w:snapToGrid/>
        <w:spacing w:beforeAutospacing="0" w:afterAutospacing="0" w:line="240" w:lineRule="auto"/>
        <w:ind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7625C0"/>
    <w:rsid w:val="53D37B5E"/>
    <w:rsid w:val="7A181F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1F1F1F"/>
      <w:u w:val="none"/>
    </w:rPr>
  </w:style>
  <w:style w:type="character" w:styleId="6">
    <w:name w:val="Hyperlink"/>
    <w:basedOn w:val="3"/>
    <w:uiPriority w:val="0"/>
    <w:rPr>
      <w:color w:val="1F1F1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2016-12-06T08:02:47Z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