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 w:bidi="ar"/>
        </w:rPr>
        <w:t>成安县审计局2016年度预算公开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成安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县审计局2016年收入预算386.21万元。国有资本经营预算拨款0万元，其他来源收入0万元。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本年部门支出预算总计386.21万元。其中：基本支出158.21 万元（人员经费146.21万元，正常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公用经费11.8万元），项目支出228万元。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机关运行经费情况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2016年审计局机关正常公用经费预算收入11.8万元，其中：办公费2.17万元，印刷费0.20万元、邮电费0.40万元、差旅费0.90万元、会议费0.10万元、日常维修费0.60万元、水费0.11万元、电费0.40万元、办公用房取暖费0.70万元、公务用车运行维护费5.02万元、公务接待费0.56万元、工会经费0.04万元、离退休人员公用经费0.04万元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部门一般公共预算“三公”经费预算情况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2016年“三公”经费预算合计5.68万元，其中公务用车购置0万元，公务用车运行维护费5.02万元，公务接待费0.56万元，培训费0.1万元。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较上年增减变化情况为：按照上级文件规定完成了“三公”经费的递减。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主要原因是我局严格执行“八项规定”，严格控制，减少三公经费支出。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名词解释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基本支出：为维护正常运转和完成日常工作任务而发生的各项支出，如基本工资、津贴补贴、办公费、交通费、水电费等。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项目支出：是行政事业单位为完成特定的工作任务或使用发展目标，在基本的预算支出以外，财政预算专项安排的支出。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“三公”经费：指财政拨款支出安排的出国（境）费、车辆购置及运行费、公务接待费这三项经费。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其他需要说明事项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2016年度我单位无国有资本收支业务，也无国有资本收支预算。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452F2"/>
    <w:rsid w:val="609D3D1D"/>
    <w:rsid w:val="636139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1F1F1F"/>
      <w:u w:val="none"/>
    </w:rPr>
  </w:style>
  <w:style w:type="character" w:styleId="5">
    <w:name w:val="Hyperlink"/>
    <w:basedOn w:val="3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2016-12-06T07:45:43Z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