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2" w:space="15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 w:bidi="ar"/>
        </w:rPr>
        <w:t>成安县人民检察院2016年度预算公开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部门预算有关事项说明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我单位按照成安县2016年预算编制指导思想和原则编制了2016年部门预算，现将有关情况说明如下：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一、部门预算总体情况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2016年收入预算549.66万元，其中：公共预算拨款549.66万元，政府性基金预算拨款0万元；国有资本经营预算拨款0万元。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2016年支出预算549.66万元，其中：公共预算拨款支出549.66万元。按用途划分，基本支出预算378.06万元，其中：人员经费支出302.06万元，正常公用经费支出76万元，专项项目经费支出171.6万元。其中专项项目经费支出包括冀财行【2015】76号文政法转移支付业务装备费44万元，办案业务费35万元，冀财预【15】280号文政法转移支付业务装备费39万元，办案业务费39万元，检察干警加班补贴14.1万元，法警执勤津贴0.5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二、机关运行经费情况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2016年检察院机关运行经费预算收入55.9万元，其中：办公费6万元、印刷费3万元、邮电费1万元、差旅费10万元、会议费1.3万元、水费0.2万元、电费3.4万元、办公用房取暖费8万元、公务用车运行维护费23万元。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三、财政拨款“三公”经费预算情况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2016年，成安县人民检察院安排“三公”经费24.6万元，其中，公务招待费1.6万元，因公出国境经费 0万元，公务用车运行维护费23万元，公务用车购置费 0万元，较上年增减变化情况为:公务招待费减少0.1万元，因公出国境费不变仍为0，公务用车运行维护费不变，公务用车购置费不变仍为0,主要原因是严格按照2016年部门预算编制政策相关要求，进一步从严控制“三公经费”开支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四、名词解释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机关运行费：就是我单位的日常公用经费，是为保障我单位正常运行用于购买货物和服务的各项资金，包括办公费、印刷费、邮电费、差旅费、会议费、水费、电费、办公用房取暖费、公务用车运行维护费。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“三公”经费：指财政拨款支出安排的出国（境）费、车辆购置及运行费、公务接待费这三项经费。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 xml:space="preserve">基本支出：为保障我单位机构正常运转、完成日常工作任务而发生的各项支出，包括用于基本工资、津贴补贴等人员经费，以及办公费、印刷费等日常公用经费。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48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项目支出：是指我院为完成特定的工作任务或事业发展目标，在基本的预算支出以外，财政预算专项安排的支出。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48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五、其他需要说明事项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2016年度我单位无国有资本经营收支业务，也无国有资本经营收支预算。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2016年度我单位无基金收支情况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0396"/>
    <w:rsid w:val="08E51960"/>
    <w:rsid w:val="0C1B3A12"/>
    <w:rsid w:val="10691E10"/>
    <w:rsid w:val="11420686"/>
    <w:rsid w:val="13846BD9"/>
    <w:rsid w:val="1E2446D5"/>
    <w:rsid w:val="20D20A0D"/>
    <w:rsid w:val="2D6E7DB9"/>
    <w:rsid w:val="300153D7"/>
    <w:rsid w:val="34A37BEF"/>
    <w:rsid w:val="3D42423A"/>
    <w:rsid w:val="3DDB6832"/>
    <w:rsid w:val="3F1B4824"/>
    <w:rsid w:val="45422E4C"/>
    <w:rsid w:val="5BD772C7"/>
    <w:rsid w:val="5DF41F56"/>
    <w:rsid w:val="607B22B7"/>
    <w:rsid w:val="64ED22DB"/>
    <w:rsid w:val="65021C1D"/>
    <w:rsid w:val="6610566A"/>
    <w:rsid w:val="66861460"/>
    <w:rsid w:val="6FF10B91"/>
    <w:rsid w:val="72574BF4"/>
    <w:rsid w:val="77BC6D0D"/>
    <w:rsid w:val="7D2F13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1F1F1F"/>
      <w:u w:val="none"/>
    </w:rPr>
  </w:style>
  <w:style w:type="character" w:styleId="6">
    <w:name w:val="Hyperlink"/>
    <w:basedOn w:val="3"/>
    <w:qFormat/>
    <w:uiPriority w:val="0"/>
    <w:rPr>
      <w:color w:val="1F1F1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2016-12-06T07:42:20Z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