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kern w:val="0"/>
          <w:sz w:val="30"/>
          <w:szCs w:val="30"/>
          <w:lang w:val="en-US" w:eastAsia="zh-CN" w:bidi="ar"/>
        </w:rPr>
        <w:t>成安县人大办公室2016年度预算公开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center"/>
        <w:textAlignment w:val="auto"/>
        <w:outlineLvl w:val="9"/>
      </w:pPr>
      <w:r>
        <w:rPr>
          <w:rFonts w:hint="eastAsia" w:ascii="微软雅黑" w:hAnsi="微软雅黑" w:eastAsia="微软雅黑" w:cs="微软雅黑"/>
          <w:b/>
          <w:kern w:val="0"/>
          <w:sz w:val="27"/>
          <w:szCs w:val="27"/>
          <w:lang w:val="en-US" w:eastAsia="zh-CN" w:bidi="ar"/>
        </w:rPr>
        <w:t>部门预算有关事项说明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我单位按照成安县2016年预算编制指导思想和原则编制了2016年部门预算，现将有关情况说明如下：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Style w:val="3"/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一、部门预算总体情况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2016年预算总收入304.29万元。其中：一般公共预算拨款为304.29万元，政府性基金预算拨款0万元；国有资本经营预算拨款0万元。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本年部门支出预算总计304.29万元。其中：基本支出275.29万元（人员经费236.79万元，正常公用经费38.5万元），项目支出29万元。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成安县人大办公室2016年财政拨款收入304.29万元，其中一般公共预算财政拨款304.29万元。财政拨款支出304.29万元，其中基本支出275.29万元（人员经费236.79万元，正常公用经费38.5万元），项目支出29万元。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Style w:val="3"/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二、机关运行经费情况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县人大办公室运行经费预算收入38.5万元，其中：办公费5.55万元、邮电费3.50万元、差旅费4.60万元、维修（护）费1.5万元、会议费2.00万元、办公设备购置费2.00万元、公务用车运行维护费9.6万元、印刷费2.50万元、培训费3.50万元、公务接待费0.75万元、退休干部公用经费3.00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Style w:val="3"/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三、财政拨款“三公”经费预算情况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2016年“三公”经费预算合计10.35万元，其中一般公共预算政拨款10.35万元（因公出国（境）费0万元，公务用车购置及运维费9.6万元（公务用车购置0万元，公务用车运行维护费9.6万元），公务接待费0.75万元）。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48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与上年预算相比，本年“三公”经费预算中公务接待费减少0.23万元。主要原因是严格“三公”经费各项开支要求，压缩了“三公”经费各项开支。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Style w:val="3"/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四、名词解释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机关运行费：就是我单位的日常公用经费，是为保障我单位正常运行用于购买货物和服务的各项资金，包括办公费、印刷费、邮电费、差旅费、会议费、水费、电费、办公用房取暖费、公务用车运行维护费。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“三公”经费：指财政拨款支出安排的出国（境）费、车辆购置及运行费、公务接待费这三项经费。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基本支出：为了保障我单位机关的正常运转、并且完成日常的工作，财政拨款给我单位的人员经费支出和公用经费治安处。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项目支出：指我单位人员经费和公用经费之外的支出，我单位的项目支出有信息化建设、预算绩效管理、会计培训、国库改革、国有资产清查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Style w:val="3"/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五、其他需要说明事项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2016年度我单位无国有资本经营收支业务，也无国有资本经营收支预算。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2016年度我单位无政府采购预算。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2016年度我单位无基金收支情况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74023"/>
    <w:rsid w:val="227E1331"/>
    <w:rsid w:val="4AA923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1F1F1F"/>
      <w:u w:val="none"/>
    </w:rPr>
  </w:style>
  <w:style w:type="character" w:styleId="5">
    <w:name w:val="Hyperlink"/>
    <w:basedOn w:val="2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2016-12-06T07:40:16Z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