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r>
        <w:rPr>
          <w:rFonts w:hint="eastAsia" w:ascii="方正小标宋_GBK" w:hAnsi="方正小标宋_GBK" w:eastAsia="方正小标宋_GBK" w:cs="方正小标宋_GBK"/>
          <w:color w:val="000000"/>
          <w:sz w:val="44"/>
        </w:rPr>
        <w:t>成安县漳河店镇政府机关本级收支预算</w:t>
      </w:r>
    </w:p>
    <w:p>
      <w:pPr>
        <w:pStyle w:val="2"/>
        <w:tabs>
          <w:tab w:val="right" w:leader="dot" w:pos="14562"/>
        </w:tabs>
        <w:rPr>
          <w:lang w:eastAsia="zh-CN"/>
        </w:rPr>
      </w:pPr>
      <w:r>
        <w:rPr>
          <w:rFonts w:eastAsia="方正仿宋_GBK"/>
          <w:color w:val="000000"/>
          <w:sz w:val="28"/>
        </w:rPr>
        <w:fldChar w:fldCharType="begin"/>
      </w:r>
      <w:r>
        <w:instrText xml:space="preserve">TOC \o "2-2" \h \z \u</w:instrText>
      </w:r>
      <w:r>
        <w:rPr>
          <w:rFonts w:eastAsia="方正仿宋_GBK"/>
          <w:color w:val="000000"/>
          <w:sz w:val="28"/>
        </w:rPr>
        <w:fldChar w:fldCharType="separate"/>
      </w:r>
      <w:r>
        <w:rPr>
          <w:rFonts w:hint="eastAsia"/>
          <w:lang w:eastAsia="zh-CN"/>
        </w:rPr>
        <w:t>单位预算收支总表</w:t>
      </w:r>
      <w:r>
        <w:tab/>
      </w:r>
      <w:r>
        <w:rPr>
          <w:rFonts w:hint="eastAsia"/>
          <w:lang w:eastAsia="zh-CN"/>
        </w:rPr>
        <w:t>1</w:t>
      </w:r>
    </w:p>
    <w:p>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rPr>
          <w:rFonts w:hint="eastAsia"/>
        </w:rPr>
        <w:t>预算收入总表</w:t>
      </w:r>
      <w:r>
        <w:tab/>
      </w:r>
      <w:r>
        <w:rPr>
          <w:rFonts w:hint="eastAsia"/>
          <w:lang w:eastAsia="zh-CN"/>
        </w:rPr>
        <w:t>3</w:t>
      </w:r>
      <w:r>
        <w:rPr>
          <w:rFonts w:hint="eastAsia"/>
          <w:lang w:eastAsia="zh-CN"/>
        </w:rPr>
        <w:fldChar w:fldCharType="end"/>
      </w:r>
    </w:p>
    <w:p>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rPr>
          <w:rFonts w:hint="eastAsia"/>
        </w:rPr>
        <w:t>预算支出总表</w:t>
      </w:r>
      <w:r>
        <w:tab/>
      </w:r>
      <w:r>
        <w:rPr>
          <w:rFonts w:hint="eastAsia"/>
          <w:lang w:eastAsia="zh-CN"/>
        </w:rPr>
        <w:t>5</w:t>
      </w:r>
      <w:r>
        <w:rPr>
          <w:rFonts w:hint="eastAsia"/>
          <w:lang w:eastAsia="zh-CN"/>
        </w:rPr>
        <w:fldChar w:fldCharType="end"/>
      </w:r>
    </w:p>
    <w:p>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rPr>
          <w:rFonts w:hint="eastAsia"/>
        </w:rPr>
        <w:t>预算财政拨款收支总表</w:t>
      </w:r>
      <w:r>
        <w:tab/>
      </w:r>
      <w:r>
        <w:rPr>
          <w:rFonts w:hint="eastAsia"/>
          <w:lang w:eastAsia="zh-CN"/>
        </w:rPr>
        <w:t>7</w:t>
      </w:r>
      <w:r>
        <w:rPr>
          <w:rFonts w:hint="eastAsia"/>
          <w:lang w:eastAsia="zh-CN"/>
        </w:rPr>
        <w:fldChar w:fldCharType="end"/>
      </w:r>
    </w:p>
    <w:p>
      <w:pPr>
        <w:pStyle w:val="2"/>
        <w:tabs>
          <w:tab w:val="right" w:leader="dot" w:pos="14562"/>
        </w:tabs>
      </w:pPr>
      <w:r>
        <w:fldChar w:fldCharType="begin"/>
      </w:r>
      <w:r>
        <w:instrText xml:space="preserve"> HYPERLINK \l "_Toc_2_2_0000000005" </w:instrText>
      </w:r>
      <w:r>
        <w:fldChar w:fldCharType="separate"/>
      </w:r>
      <w:r>
        <w:rPr>
          <w:rFonts w:hint="eastAsia"/>
          <w:lang w:eastAsia="zh-CN"/>
        </w:rPr>
        <w:t>单位</w:t>
      </w:r>
      <w:r>
        <w:rPr>
          <w:rFonts w:hint="eastAsia"/>
        </w:rPr>
        <w:t>预算一般公共预算财政拨款支出表</w:t>
      </w:r>
      <w:r>
        <w:tab/>
      </w:r>
      <w:r>
        <w:rPr>
          <w:rFonts w:hint="eastAsia"/>
          <w:lang w:eastAsia="zh-CN"/>
        </w:rPr>
        <w:t>9</w:t>
      </w:r>
      <w:r>
        <w:rPr>
          <w:rFonts w:hint="eastAsia"/>
          <w:lang w:eastAsia="zh-CN"/>
        </w:rPr>
        <w:fldChar w:fldCharType="end"/>
      </w:r>
    </w:p>
    <w:p>
      <w:pPr>
        <w:pStyle w:val="2"/>
        <w:tabs>
          <w:tab w:val="right" w:leader="dot" w:pos="14562"/>
        </w:tabs>
        <w:rPr>
          <w:lang w:eastAsia="zh-CN"/>
        </w:rPr>
      </w:pPr>
      <w:r>
        <w:fldChar w:fldCharType="begin"/>
      </w:r>
      <w:r>
        <w:instrText xml:space="preserve"> HYPERLINK \l "_Toc_2_2_0000000006" </w:instrText>
      </w:r>
      <w:r>
        <w:fldChar w:fldCharType="separate"/>
      </w:r>
      <w:r>
        <w:rPr>
          <w:rFonts w:hint="eastAsia"/>
          <w:lang w:eastAsia="zh-CN"/>
        </w:rPr>
        <w:t>单位</w:t>
      </w:r>
      <w:r>
        <w:rPr>
          <w:rFonts w:hint="eastAsia"/>
        </w:rPr>
        <w:t>预算一般公共预算财政拨款基本支出表</w:t>
      </w:r>
      <w:r>
        <w:tab/>
      </w:r>
      <w:r>
        <w:rPr>
          <w:rFonts w:hint="eastAsia"/>
          <w:lang w:eastAsia="zh-CN"/>
        </w:rPr>
        <w:t>1</w:t>
      </w:r>
      <w:r>
        <w:rPr>
          <w:rFonts w:hint="eastAsia"/>
          <w:lang w:eastAsia="zh-CN"/>
        </w:rPr>
        <w:fldChar w:fldCharType="end"/>
      </w:r>
      <w:r>
        <w:rPr>
          <w:rFonts w:hint="eastAsia"/>
          <w:lang w:eastAsia="zh-CN"/>
        </w:rPr>
        <w:t>1</w:t>
      </w:r>
    </w:p>
    <w:p>
      <w:pPr>
        <w:pStyle w:val="2"/>
        <w:tabs>
          <w:tab w:val="right" w:leader="dot" w:pos="14562"/>
        </w:tabs>
        <w:rPr>
          <w:lang w:eastAsia="zh-CN"/>
        </w:rPr>
      </w:pPr>
      <w:r>
        <w:fldChar w:fldCharType="begin"/>
      </w:r>
      <w:r>
        <w:instrText xml:space="preserve"> HYPERLINK \l "_Toc_2_2_0000000007" </w:instrText>
      </w:r>
      <w:r>
        <w:fldChar w:fldCharType="separate"/>
      </w:r>
      <w:r>
        <w:rPr>
          <w:rFonts w:hint="eastAsia"/>
          <w:lang w:eastAsia="zh-CN"/>
        </w:rPr>
        <w:t>单位</w:t>
      </w:r>
      <w:r>
        <w:rPr>
          <w:rFonts w:hint="eastAsia"/>
        </w:rPr>
        <w:t>预算政府性基金预算财政拨款支出表</w:t>
      </w:r>
      <w:r>
        <w:tab/>
      </w:r>
      <w:r>
        <w:rPr>
          <w:rFonts w:hint="eastAsia"/>
          <w:lang w:eastAsia="zh-CN"/>
        </w:rPr>
        <w:t>1</w:t>
      </w:r>
      <w:r>
        <w:rPr>
          <w:rFonts w:hint="eastAsia"/>
          <w:lang w:eastAsia="zh-CN"/>
        </w:rPr>
        <w:fldChar w:fldCharType="end"/>
      </w:r>
      <w:r>
        <w:rPr>
          <w:rFonts w:hint="eastAsia"/>
          <w:lang w:eastAsia="zh-CN"/>
        </w:rPr>
        <w:t>2</w:t>
      </w:r>
    </w:p>
    <w:p>
      <w:pPr>
        <w:pStyle w:val="2"/>
        <w:tabs>
          <w:tab w:val="right" w:leader="dot" w:pos="14562"/>
        </w:tabs>
        <w:rPr>
          <w:lang w:eastAsia="zh-CN"/>
        </w:rPr>
      </w:pPr>
      <w:r>
        <w:fldChar w:fldCharType="begin"/>
      </w:r>
      <w:r>
        <w:instrText xml:space="preserve"> HYPERLINK \l "_Toc_2_2_0000000008" </w:instrText>
      </w:r>
      <w:r>
        <w:fldChar w:fldCharType="separate"/>
      </w:r>
      <w:r>
        <w:rPr>
          <w:rFonts w:hint="eastAsia"/>
          <w:lang w:eastAsia="zh-CN"/>
        </w:rPr>
        <w:t>单位</w:t>
      </w:r>
      <w:r>
        <w:rPr>
          <w:rFonts w:hint="eastAsia"/>
        </w:rPr>
        <w:t>预算国有资本经营预算财政拨款支出表</w:t>
      </w:r>
      <w:r>
        <w:tab/>
      </w:r>
      <w:r>
        <w:rPr>
          <w:rFonts w:hint="eastAsia"/>
          <w:lang w:eastAsia="zh-CN"/>
        </w:rPr>
        <w:t>1</w:t>
      </w:r>
      <w:r>
        <w:rPr>
          <w:rFonts w:hint="eastAsia"/>
          <w:lang w:eastAsia="zh-CN"/>
        </w:rPr>
        <w:fldChar w:fldCharType="end"/>
      </w:r>
      <w:r>
        <w:rPr>
          <w:rFonts w:hint="eastAsia"/>
          <w:lang w:eastAsia="zh-CN"/>
        </w:rPr>
        <w:t>3</w:t>
      </w:r>
    </w:p>
    <w:p>
      <w:pPr>
        <w:pStyle w:val="2"/>
        <w:tabs>
          <w:tab w:val="right" w:leader="dot" w:pos="14562"/>
        </w:tabs>
        <w:rPr>
          <w:lang w:eastAsia="zh-CN"/>
        </w:rPr>
      </w:pPr>
      <w:r>
        <w:fldChar w:fldCharType="begin"/>
      </w:r>
      <w:r>
        <w:instrText xml:space="preserve"> HYPERLINK \l "_Toc_2_2_0000000009" </w:instrText>
      </w:r>
      <w:r>
        <w:fldChar w:fldCharType="separate"/>
      </w:r>
      <w:r>
        <w:rPr>
          <w:rFonts w:hint="eastAsia"/>
          <w:lang w:eastAsia="zh-CN"/>
        </w:rPr>
        <w:t>单位</w:t>
      </w:r>
      <w:r>
        <w:rPr>
          <w:rFonts w:hint="eastAsia"/>
        </w:rPr>
        <w:t>预算财政拨款</w:t>
      </w:r>
      <w:r>
        <w:t>“</w:t>
      </w:r>
      <w:r>
        <w:rPr>
          <w:rFonts w:hint="eastAsia"/>
        </w:rPr>
        <w:t>三公</w:t>
      </w:r>
      <w:r>
        <w:t>”</w:t>
      </w:r>
      <w:r>
        <w:rPr>
          <w:rFonts w:hint="eastAsia"/>
        </w:rPr>
        <w:t>经费支出表</w:t>
      </w:r>
      <w:r>
        <w:tab/>
      </w:r>
      <w:r>
        <w:rPr>
          <w:rFonts w:hint="eastAsia"/>
          <w:lang w:eastAsia="zh-CN"/>
        </w:rPr>
        <w:t>1</w:t>
      </w:r>
      <w:r>
        <w:rPr>
          <w:rFonts w:hint="eastAsia"/>
          <w:lang w:eastAsia="zh-CN"/>
        </w:rPr>
        <w:fldChar w:fldCharType="end"/>
      </w:r>
      <w:r>
        <w:rPr>
          <w:rFonts w:hint="eastAsia"/>
          <w:lang w:eastAsia="zh-CN"/>
        </w:rPr>
        <w:t>4</w:t>
      </w:r>
    </w:p>
    <w:p>
      <w:pPr>
        <w:rPr>
          <w:sz w:val="48"/>
        </w:rPr>
      </w:pPr>
      <w:r>
        <w:fldChar w:fldCharType="end"/>
      </w:r>
    </w:p>
    <w:p>
      <w:pPr>
        <w:rPr>
          <w:sz w:val="40"/>
        </w:rPr>
      </w:pPr>
      <w:r>
        <w:rPr>
          <w:rFonts w:hint="eastAsia" w:ascii="方正楷体_GBK" w:hAnsi="方正楷体_GBK" w:eastAsia="方正楷体_GBK" w:cs="方正楷体_GBK"/>
          <w:color w:val="000000"/>
          <w:sz w:val="44"/>
          <w:lang w:eastAsia="zh-CN"/>
        </w:rPr>
        <w:t>单位</w:t>
      </w:r>
      <w:r>
        <w:rPr>
          <w:rFonts w:hint="eastAsia" w:ascii="方正楷体_GBK" w:hAnsi="方正楷体_GBK" w:eastAsia="方正楷体_GBK" w:cs="方正楷体_GBK"/>
          <w:color w:val="000000"/>
          <w:sz w:val="44"/>
        </w:rPr>
        <w:t>预算信息公开情况说明</w:t>
      </w:r>
    </w:p>
    <w:p>
      <w:pPr>
        <w:pStyle w:val="2"/>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rPr>
        <w:t>一、</w:t>
      </w:r>
      <w:r>
        <w:rPr>
          <w:rFonts w:hint="eastAsia"/>
          <w:lang w:eastAsia="zh-CN"/>
        </w:rPr>
        <w:t>单位</w:t>
      </w:r>
      <w:r>
        <w:rPr>
          <w:rFonts w:hint="eastAsia"/>
        </w:rPr>
        <w:t>职责及机构设置情况</w:t>
      </w:r>
      <w:r>
        <w:tab/>
      </w:r>
      <w:r>
        <w:rPr>
          <w:rFonts w:hint="eastAsia"/>
          <w:lang w:eastAsia="zh-CN"/>
        </w:rPr>
        <w:t>1</w:t>
      </w:r>
      <w:r>
        <w:rPr>
          <w:rFonts w:hint="eastAsia"/>
          <w:lang w:eastAsia="zh-CN"/>
        </w:rPr>
        <w:fldChar w:fldCharType="end"/>
      </w:r>
      <w:r>
        <w:rPr>
          <w:rFonts w:hint="eastAsia"/>
          <w:lang w:eastAsia="zh-CN"/>
        </w:rPr>
        <w:t>5</w:t>
      </w:r>
    </w:p>
    <w:p>
      <w:pPr>
        <w:pStyle w:val="2"/>
        <w:tabs>
          <w:tab w:val="right" w:leader="dot" w:pos="14562"/>
        </w:tabs>
        <w:rPr>
          <w:lang w:eastAsia="zh-CN"/>
        </w:rPr>
      </w:pPr>
      <w:r>
        <w:fldChar w:fldCharType="begin"/>
      </w:r>
      <w:r>
        <w:instrText xml:space="preserve"> HYPERLINK \l "_Toc_3_3_0000000011" </w:instrText>
      </w:r>
      <w:r>
        <w:fldChar w:fldCharType="separate"/>
      </w:r>
      <w:r>
        <w:rPr>
          <w:rFonts w:hint="eastAsia"/>
        </w:rPr>
        <w:t>二、</w:t>
      </w:r>
      <w:r>
        <w:rPr>
          <w:rFonts w:hint="eastAsia"/>
          <w:lang w:eastAsia="zh-CN"/>
        </w:rPr>
        <w:t>单位</w:t>
      </w:r>
      <w:r>
        <w:rPr>
          <w:rFonts w:hint="eastAsia"/>
        </w:rPr>
        <w:t>预算安排的总体情况</w:t>
      </w:r>
      <w:r>
        <w:tab/>
      </w:r>
      <w:r>
        <w:rPr>
          <w:rFonts w:hint="eastAsia"/>
          <w:lang w:eastAsia="zh-CN"/>
        </w:rPr>
        <w:t>1</w:t>
      </w:r>
      <w:r>
        <w:rPr>
          <w:rFonts w:hint="eastAsia"/>
          <w:lang w:eastAsia="zh-CN"/>
        </w:rPr>
        <w:fldChar w:fldCharType="end"/>
      </w:r>
      <w:r>
        <w:rPr>
          <w:rFonts w:hint="eastAsia"/>
          <w:lang w:eastAsia="zh-CN"/>
        </w:rPr>
        <w:t>6</w:t>
      </w:r>
    </w:p>
    <w:p>
      <w:pPr>
        <w:pStyle w:val="2"/>
        <w:tabs>
          <w:tab w:val="right" w:leader="dot" w:pos="14562"/>
        </w:tabs>
        <w:rPr>
          <w:lang w:eastAsia="zh-CN"/>
        </w:rPr>
      </w:pPr>
      <w:r>
        <w:fldChar w:fldCharType="begin"/>
      </w:r>
      <w:r>
        <w:instrText xml:space="preserve"> HYPERLINK \l "_Toc_3_3_0000000012" </w:instrText>
      </w:r>
      <w:r>
        <w:fldChar w:fldCharType="separate"/>
      </w:r>
      <w:r>
        <w:rPr>
          <w:rFonts w:hint="eastAsia"/>
        </w:rPr>
        <w:t>三、机关运行经费安排情况</w:t>
      </w:r>
      <w:r>
        <w:tab/>
      </w:r>
      <w:r>
        <w:rPr>
          <w:rFonts w:hint="eastAsia"/>
          <w:lang w:eastAsia="zh-CN"/>
        </w:rPr>
        <w:t>1</w:t>
      </w:r>
      <w:r>
        <w:rPr>
          <w:rFonts w:hint="eastAsia"/>
          <w:lang w:eastAsia="zh-CN"/>
        </w:rPr>
        <w:fldChar w:fldCharType="end"/>
      </w:r>
      <w:r>
        <w:rPr>
          <w:rFonts w:hint="eastAsia"/>
          <w:lang w:eastAsia="zh-CN"/>
        </w:rPr>
        <w:t>7</w:t>
      </w:r>
    </w:p>
    <w:p>
      <w:pPr>
        <w:pStyle w:val="2"/>
        <w:tabs>
          <w:tab w:val="right" w:leader="dot" w:pos="14562"/>
        </w:tabs>
        <w:rPr>
          <w:lang w:eastAsia="zh-CN"/>
        </w:rPr>
      </w:pPr>
      <w:r>
        <w:fldChar w:fldCharType="begin"/>
      </w:r>
      <w:r>
        <w:instrText xml:space="preserve"> HYPERLINK \l "_Toc_3_3_0000000013" </w:instrText>
      </w:r>
      <w:r>
        <w:fldChar w:fldCharType="separate"/>
      </w:r>
      <w:r>
        <w:rPr>
          <w:rFonts w:hint="eastAsia"/>
        </w:rPr>
        <w:t>四、财政拨款</w:t>
      </w:r>
      <w:r>
        <w:t>“</w:t>
      </w:r>
      <w:r>
        <w:rPr>
          <w:rFonts w:hint="eastAsia"/>
        </w:rPr>
        <w:t>三公</w:t>
      </w:r>
      <w:r>
        <w:t>”</w:t>
      </w:r>
      <w:r>
        <w:rPr>
          <w:rFonts w:hint="eastAsia"/>
        </w:rPr>
        <w:t>经费预算情况及增减变化原因</w:t>
      </w:r>
      <w:r>
        <w:tab/>
      </w:r>
      <w:r>
        <w:rPr>
          <w:rFonts w:hint="eastAsia"/>
          <w:lang w:eastAsia="zh-CN"/>
        </w:rPr>
        <w:t>1</w:t>
      </w:r>
      <w:r>
        <w:rPr>
          <w:rFonts w:hint="eastAsia"/>
          <w:lang w:eastAsia="zh-CN"/>
        </w:rPr>
        <w:fldChar w:fldCharType="end"/>
      </w:r>
      <w:r>
        <w:rPr>
          <w:rFonts w:hint="eastAsia"/>
          <w:lang w:eastAsia="zh-CN"/>
        </w:rPr>
        <w:t>7</w:t>
      </w:r>
    </w:p>
    <w:p>
      <w:pPr>
        <w:pStyle w:val="2"/>
        <w:tabs>
          <w:tab w:val="right" w:leader="dot" w:pos="14562"/>
        </w:tabs>
        <w:rPr>
          <w:lang w:eastAsia="zh-CN"/>
        </w:rPr>
      </w:pPr>
      <w:r>
        <w:fldChar w:fldCharType="begin"/>
      </w:r>
      <w:r>
        <w:instrText xml:space="preserve"> HYPERLINK \l "_Toc_3_3_0000000014" </w:instrText>
      </w:r>
      <w:r>
        <w:fldChar w:fldCharType="separate"/>
      </w:r>
      <w:r>
        <w:rPr>
          <w:rFonts w:hint="eastAsia"/>
        </w:rPr>
        <w:t>五、</w:t>
      </w:r>
      <w:r>
        <w:rPr>
          <w:rFonts w:hint="eastAsia"/>
          <w:lang w:eastAsia="zh-CN"/>
        </w:rPr>
        <w:t>单位项目预算安排情况及</w:t>
      </w:r>
      <w:r>
        <w:rPr>
          <w:rFonts w:hint="eastAsia"/>
        </w:rPr>
        <w:t>绩效目标</w:t>
      </w:r>
      <w:r>
        <w:tab/>
      </w:r>
      <w:r>
        <w:rPr>
          <w:rFonts w:hint="eastAsia"/>
          <w:lang w:eastAsia="zh-CN"/>
        </w:rPr>
        <w:t>1</w:t>
      </w:r>
      <w:r>
        <w:rPr>
          <w:rFonts w:hint="eastAsia"/>
          <w:lang w:eastAsia="zh-CN"/>
        </w:rPr>
        <w:fldChar w:fldCharType="end"/>
      </w:r>
      <w:r>
        <w:rPr>
          <w:rFonts w:hint="eastAsia"/>
          <w:lang w:eastAsia="zh-CN"/>
        </w:rPr>
        <w:t>7</w:t>
      </w:r>
    </w:p>
    <w:p>
      <w:pPr>
        <w:pStyle w:val="2"/>
        <w:tabs>
          <w:tab w:val="right" w:leader="dot" w:pos="14562"/>
        </w:tabs>
        <w:rPr>
          <w:lang w:eastAsia="zh-CN"/>
        </w:rPr>
      </w:pPr>
      <w:r>
        <w:fldChar w:fldCharType="begin"/>
      </w:r>
      <w:r>
        <w:instrText xml:space="preserve"> HYPERLINK \l "_Toc_3_3_0000000017" </w:instrText>
      </w:r>
      <w:r>
        <w:fldChar w:fldCharType="separate"/>
      </w:r>
      <w:r>
        <w:rPr>
          <w:rFonts w:hint="eastAsia"/>
          <w:lang w:eastAsia="zh-CN"/>
        </w:rPr>
        <w:t>六</w:t>
      </w:r>
      <w:r>
        <w:rPr>
          <w:rFonts w:hint="eastAsia"/>
        </w:rPr>
        <w:t>、政府采购预算情况</w:t>
      </w:r>
      <w:r>
        <w:tab/>
      </w:r>
      <w:r>
        <w:rPr>
          <w:rFonts w:hint="eastAsia"/>
          <w:lang w:eastAsia="zh-CN"/>
        </w:rPr>
        <w:t>2</w:t>
      </w:r>
      <w:r>
        <w:rPr>
          <w:rFonts w:hint="eastAsia"/>
          <w:lang w:eastAsia="zh-CN"/>
        </w:rPr>
        <w:fldChar w:fldCharType="end"/>
      </w:r>
      <w:r>
        <w:rPr>
          <w:rFonts w:hint="eastAsia"/>
          <w:lang w:eastAsia="zh-CN"/>
        </w:rPr>
        <w:t>8</w:t>
      </w:r>
    </w:p>
    <w:p>
      <w:pPr>
        <w:pStyle w:val="2"/>
        <w:tabs>
          <w:tab w:val="right" w:leader="dot" w:pos="14562"/>
        </w:tabs>
        <w:rPr>
          <w:lang w:eastAsia="zh-CN"/>
        </w:rPr>
      </w:pPr>
      <w:r>
        <w:fldChar w:fldCharType="begin"/>
      </w:r>
      <w:r>
        <w:instrText xml:space="preserve"> HYPERLINK \l "_Toc_3_3_0000000018" </w:instrText>
      </w:r>
      <w:r>
        <w:fldChar w:fldCharType="separate"/>
      </w:r>
      <w:r>
        <w:rPr>
          <w:rFonts w:hint="eastAsia"/>
          <w:lang w:eastAsia="zh-CN"/>
        </w:rPr>
        <w:t>七</w:t>
      </w:r>
      <w:r>
        <w:rPr>
          <w:rFonts w:hint="eastAsia"/>
        </w:rPr>
        <w:t>、国有资产信息</w:t>
      </w:r>
      <w:r>
        <w:tab/>
      </w:r>
      <w:r>
        <w:rPr>
          <w:rFonts w:hint="eastAsia"/>
          <w:lang w:eastAsia="zh-CN"/>
        </w:rPr>
        <w:t>2</w:t>
      </w:r>
      <w:r>
        <w:rPr>
          <w:rFonts w:hint="eastAsia"/>
          <w:lang w:eastAsia="zh-CN"/>
        </w:rPr>
        <w:fldChar w:fldCharType="end"/>
      </w:r>
      <w:r>
        <w:rPr>
          <w:rFonts w:hint="eastAsia"/>
          <w:lang w:eastAsia="zh-CN"/>
        </w:rPr>
        <w:t>8</w:t>
      </w:r>
    </w:p>
    <w:p>
      <w:pPr>
        <w:pStyle w:val="2"/>
        <w:tabs>
          <w:tab w:val="right" w:leader="dot" w:pos="14562"/>
        </w:tabs>
        <w:rPr>
          <w:lang w:eastAsia="zh-CN"/>
        </w:rPr>
      </w:pPr>
      <w:r>
        <w:fldChar w:fldCharType="begin"/>
      </w:r>
      <w:r>
        <w:instrText xml:space="preserve"> HYPERLINK \l "_Toc_3_3_0000000019" </w:instrText>
      </w:r>
      <w:r>
        <w:fldChar w:fldCharType="separate"/>
      </w:r>
      <w:r>
        <w:rPr>
          <w:rFonts w:hint="eastAsia"/>
          <w:lang w:eastAsia="zh-CN"/>
        </w:rPr>
        <w:t>八</w:t>
      </w:r>
      <w:r>
        <w:rPr>
          <w:rFonts w:hint="eastAsia"/>
        </w:rPr>
        <w:t>、名词解释</w:t>
      </w:r>
      <w:r>
        <w:tab/>
      </w:r>
      <w:r>
        <w:rPr>
          <w:rFonts w:hint="eastAsia"/>
          <w:lang w:eastAsia="zh-CN"/>
        </w:rPr>
        <w:t>2</w:t>
      </w:r>
      <w:r>
        <w:rPr>
          <w:rFonts w:hint="eastAsia"/>
          <w:lang w:eastAsia="zh-CN"/>
        </w:rPr>
        <w:fldChar w:fldCharType="end"/>
      </w:r>
      <w:r>
        <w:rPr>
          <w:rFonts w:hint="eastAsia"/>
          <w:lang w:eastAsia="zh-CN"/>
        </w:rPr>
        <w:t>9</w:t>
      </w:r>
    </w:p>
    <w:p>
      <w:pPr>
        <w:pStyle w:val="2"/>
        <w:tabs>
          <w:tab w:val="right" w:leader="dot" w:pos="14562"/>
        </w:tabs>
        <w:rPr>
          <w:lang w:eastAsia="zh-CN"/>
        </w:rPr>
      </w:pPr>
      <w:r>
        <w:fldChar w:fldCharType="begin"/>
      </w:r>
      <w:r>
        <w:instrText xml:space="preserve"> HYPERLINK \l "_Toc_3_3_0000000020" </w:instrText>
      </w:r>
      <w:r>
        <w:fldChar w:fldCharType="separate"/>
      </w:r>
      <w:r>
        <w:rPr>
          <w:rFonts w:hint="eastAsia"/>
          <w:lang w:eastAsia="zh-CN"/>
        </w:rPr>
        <w:t>九</w:t>
      </w:r>
      <w:r>
        <w:rPr>
          <w:rFonts w:hint="eastAsia"/>
        </w:rPr>
        <w:t>、其他需要说明的事项</w:t>
      </w:r>
      <w:r>
        <w:tab/>
      </w:r>
      <w:r>
        <w:rPr>
          <w:rFonts w:hint="eastAsia"/>
          <w:lang w:eastAsia="zh-CN"/>
        </w:rPr>
        <w:t>3</w:t>
      </w:r>
      <w:r>
        <w:rPr>
          <w:rFonts w:hint="eastAsia"/>
          <w:lang w:eastAsia="zh-CN"/>
        </w:rPr>
        <w:fldChar w:fldCharType="end"/>
      </w:r>
      <w:r>
        <w:rPr>
          <w:rFonts w:hint="eastAsia"/>
          <w:lang w:eastAsia="zh-CN"/>
        </w:rPr>
        <w:t>0</w:t>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一、成安县漳河店镇政府机关本级收支预算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804001成安县漳河店镇政府机关本级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694.37</w:t>
            </w:r>
          </w:p>
        </w:tc>
        <w:tc>
          <w:tcPr>
            <w:tcW w:w="4535" w:type="dxa"/>
            <w:vAlign w:val="center"/>
          </w:tcPr>
          <w:p>
            <w:pPr>
              <w:pStyle w:val="12"/>
            </w:pPr>
            <w:r>
              <w:t>一、一般公共服务支出</w:t>
            </w:r>
          </w:p>
        </w:tc>
        <w:tc>
          <w:tcPr>
            <w:tcW w:w="2126" w:type="dxa"/>
            <w:vAlign w:val="center"/>
          </w:tcPr>
          <w:p>
            <w:pPr>
              <w:pStyle w:val="11"/>
            </w:pPr>
            <w:r>
              <w:t>546.71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58.61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44.21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694.37</w:t>
            </w:r>
          </w:p>
        </w:tc>
        <w:tc>
          <w:tcPr>
            <w:tcW w:w="4535" w:type="dxa"/>
            <w:vAlign w:val="center"/>
          </w:tcPr>
          <w:p>
            <w:pPr>
              <w:pStyle w:val="14"/>
            </w:pPr>
            <w:r>
              <w:t>本年支出合计</w:t>
            </w:r>
          </w:p>
        </w:tc>
        <w:tc>
          <w:tcPr>
            <w:tcW w:w="2126" w:type="dxa"/>
            <w:vAlign w:val="center"/>
          </w:tcPr>
          <w:p>
            <w:pPr>
              <w:pStyle w:val="15"/>
            </w:pPr>
            <w:r>
              <w:t>824.37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130.00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824.37</w:t>
            </w:r>
          </w:p>
        </w:tc>
        <w:tc>
          <w:tcPr>
            <w:tcW w:w="4535" w:type="dxa"/>
            <w:vAlign w:val="center"/>
          </w:tcPr>
          <w:p>
            <w:pPr>
              <w:pStyle w:val="14"/>
            </w:pPr>
            <w:r>
              <w:t>支出总计</w:t>
            </w:r>
          </w:p>
        </w:tc>
        <w:tc>
          <w:tcPr>
            <w:tcW w:w="2126" w:type="dxa"/>
            <w:vAlign w:val="center"/>
          </w:tcPr>
          <w:p>
            <w:pPr>
              <w:pStyle w:val="15"/>
            </w:pPr>
            <w:r>
              <w:t>824.37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804001成安县漳河店镇政府机关本级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824.37</w:t>
            </w:r>
          </w:p>
        </w:tc>
        <w:tc>
          <w:tcPr>
            <w:tcW w:w="1134" w:type="dxa"/>
            <w:vAlign w:val="center"/>
          </w:tcPr>
          <w:p>
            <w:pPr>
              <w:pStyle w:val="15"/>
            </w:pPr>
            <w:r>
              <w:t>694.37</w:t>
            </w:r>
          </w:p>
        </w:tc>
        <w:tc>
          <w:tcPr>
            <w:tcW w:w="1134" w:type="dxa"/>
            <w:vAlign w:val="center"/>
          </w:tcPr>
          <w:p>
            <w:pPr>
              <w:pStyle w:val="15"/>
            </w:pPr>
            <w:r>
              <w:t>694.37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546.71</w:t>
            </w:r>
          </w:p>
        </w:tc>
        <w:tc>
          <w:tcPr>
            <w:tcW w:w="1134" w:type="dxa"/>
            <w:vAlign w:val="center"/>
          </w:tcPr>
          <w:p>
            <w:pPr>
              <w:pStyle w:val="11"/>
            </w:pPr>
            <w:r>
              <w:t>546.71</w:t>
            </w:r>
          </w:p>
        </w:tc>
        <w:tc>
          <w:tcPr>
            <w:tcW w:w="1134" w:type="dxa"/>
            <w:vAlign w:val="center"/>
          </w:tcPr>
          <w:p>
            <w:pPr>
              <w:pStyle w:val="11"/>
            </w:pPr>
            <w:r>
              <w:t>546.71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531.71</w:t>
            </w:r>
          </w:p>
        </w:tc>
        <w:tc>
          <w:tcPr>
            <w:tcW w:w="1134" w:type="dxa"/>
            <w:vAlign w:val="center"/>
          </w:tcPr>
          <w:p>
            <w:pPr>
              <w:pStyle w:val="11"/>
            </w:pPr>
            <w:r>
              <w:t>531.71</w:t>
            </w:r>
          </w:p>
        </w:tc>
        <w:tc>
          <w:tcPr>
            <w:tcW w:w="1134" w:type="dxa"/>
            <w:vAlign w:val="center"/>
          </w:tcPr>
          <w:p>
            <w:pPr>
              <w:pStyle w:val="11"/>
            </w:pPr>
            <w:r>
              <w:t>531.71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531.71</w:t>
            </w:r>
          </w:p>
        </w:tc>
        <w:tc>
          <w:tcPr>
            <w:tcW w:w="1134" w:type="dxa"/>
            <w:vAlign w:val="center"/>
          </w:tcPr>
          <w:p>
            <w:pPr>
              <w:pStyle w:val="11"/>
            </w:pPr>
            <w:r>
              <w:t>531.71</w:t>
            </w:r>
          </w:p>
        </w:tc>
        <w:tc>
          <w:tcPr>
            <w:tcW w:w="1134" w:type="dxa"/>
            <w:vAlign w:val="center"/>
          </w:tcPr>
          <w:p>
            <w:pPr>
              <w:pStyle w:val="11"/>
            </w:pPr>
            <w:r>
              <w:t>531.71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2014099</w:t>
            </w:r>
          </w:p>
        </w:tc>
        <w:tc>
          <w:tcPr>
            <w:tcW w:w="1559" w:type="dxa"/>
            <w:vAlign w:val="center"/>
          </w:tcPr>
          <w:p>
            <w:pPr>
              <w:pStyle w:val="12"/>
            </w:pPr>
            <w:r>
              <w:t>其他信访事务支出</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58.61</w:t>
            </w:r>
          </w:p>
        </w:tc>
        <w:tc>
          <w:tcPr>
            <w:tcW w:w="1134" w:type="dxa"/>
            <w:vAlign w:val="center"/>
          </w:tcPr>
          <w:p>
            <w:pPr>
              <w:pStyle w:val="11"/>
            </w:pPr>
            <w:r>
              <w:t>58.61</w:t>
            </w:r>
          </w:p>
        </w:tc>
        <w:tc>
          <w:tcPr>
            <w:tcW w:w="1134" w:type="dxa"/>
            <w:vAlign w:val="center"/>
          </w:tcPr>
          <w:p>
            <w:pPr>
              <w:pStyle w:val="11"/>
            </w:pPr>
            <w:r>
              <w:t>58.61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52.99</w:t>
            </w:r>
          </w:p>
        </w:tc>
        <w:tc>
          <w:tcPr>
            <w:tcW w:w="1134" w:type="dxa"/>
            <w:vAlign w:val="center"/>
          </w:tcPr>
          <w:p>
            <w:pPr>
              <w:pStyle w:val="11"/>
            </w:pPr>
            <w:r>
              <w:t>52.99</w:t>
            </w:r>
          </w:p>
        </w:tc>
        <w:tc>
          <w:tcPr>
            <w:tcW w:w="1134" w:type="dxa"/>
            <w:vAlign w:val="center"/>
          </w:tcPr>
          <w:p>
            <w:pPr>
              <w:pStyle w:val="11"/>
            </w:pPr>
            <w:r>
              <w:t>52.99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20.44</w:t>
            </w:r>
          </w:p>
        </w:tc>
        <w:tc>
          <w:tcPr>
            <w:tcW w:w="1134" w:type="dxa"/>
            <w:vAlign w:val="center"/>
          </w:tcPr>
          <w:p>
            <w:pPr>
              <w:pStyle w:val="11"/>
            </w:pPr>
            <w:r>
              <w:t>20.44</w:t>
            </w:r>
          </w:p>
        </w:tc>
        <w:tc>
          <w:tcPr>
            <w:tcW w:w="1134" w:type="dxa"/>
            <w:vAlign w:val="center"/>
          </w:tcPr>
          <w:p>
            <w:pPr>
              <w:pStyle w:val="11"/>
            </w:pPr>
            <w:r>
              <w:t>20.44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32.55</w:t>
            </w:r>
          </w:p>
        </w:tc>
        <w:tc>
          <w:tcPr>
            <w:tcW w:w="1134" w:type="dxa"/>
            <w:vAlign w:val="center"/>
          </w:tcPr>
          <w:p>
            <w:pPr>
              <w:pStyle w:val="11"/>
            </w:pPr>
            <w:r>
              <w:t>32.55</w:t>
            </w:r>
          </w:p>
        </w:tc>
        <w:tc>
          <w:tcPr>
            <w:tcW w:w="1134" w:type="dxa"/>
            <w:vAlign w:val="center"/>
          </w:tcPr>
          <w:p>
            <w:pPr>
              <w:pStyle w:val="11"/>
            </w:pPr>
            <w:r>
              <w:t>32.55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4.70</w:t>
            </w:r>
          </w:p>
        </w:tc>
        <w:tc>
          <w:tcPr>
            <w:tcW w:w="1134" w:type="dxa"/>
            <w:vAlign w:val="center"/>
          </w:tcPr>
          <w:p>
            <w:pPr>
              <w:pStyle w:val="11"/>
            </w:pPr>
            <w:r>
              <w:t>4.70</w:t>
            </w:r>
          </w:p>
        </w:tc>
        <w:tc>
          <w:tcPr>
            <w:tcW w:w="1134" w:type="dxa"/>
            <w:vAlign w:val="center"/>
          </w:tcPr>
          <w:p>
            <w:pPr>
              <w:pStyle w:val="11"/>
            </w:pPr>
            <w:r>
              <w:t>4.70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4.70</w:t>
            </w:r>
          </w:p>
        </w:tc>
        <w:tc>
          <w:tcPr>
            <w:tcW w:w="1134" w:type="dxa"/>
            <w:vAlign w:val="center"/>
          </w:tcPr>
          <w:p>
            <w:pPr>
              <w:pStyle w:val="11"/>
            </w:pPr>
            <w:r>
              <w:t>4.70</w:t>
            </w:r>
          </w:p>
        </w:tc>
        <w:tc>
          <w:tcPr>
            <w:tcW w:w="1134" w:type="dxa"/>
            <w:vAlign w:val="center"/>
          </w:tcPr>
          <w:p>
            <w:pPr>
              <w:pStyle w:val="11"/>
            </w:pPr>
            <w:r>
              <w:t>4.70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20827</w:t>
            </w:r>
          </w:p>
        </w:tc>
        <w:tc>
          <w:tcPr>
            <w:tcW w:w="1559" w:type="dxa"/>
            <w:vAlign w:val="center"/>
          </w:tcPr>
          <w:p>
            <w:pPr>
              <w:pStyle w:val="12"/>
            </w:pPr>
            <w:r>
              <w:t>财政对其他社会保险基金的补助</w:t>
            </w:r>
          </w:p>
        </w:tc>
        <w:tc>
          <w:tcPr>
            <w:tcW w:w="1134" w:type="dxa"/>
            <w:vAlign w:val="center"/>
          </w:tcPr>
          <w:p>
            <w:pPr>
              <w:pStyle w:val="11"/>
            </w:pPr>
            <w:r>
              <w:t>0.91</w:t>
            </w:r>
          </w:p>
        </w:tc>
        <w:tc>
          <w:tcPr>
            <w:tcW w:w="1134" w:type="dxa"/>
            <w:vAlign w:val="center"/>
          </w:tcPr>
          <w:p>
            <w:pPr>
              <w:pStyle w:val="11"/>
            </w:pPr>
            <w:r>
              <w:t>0.91</w:t>
            </w:r>
          </w:p>
        </w:tc>
        <w:tc>
          <w:tcPr>
            <w:tcW w:w="1134" w:type="dxa"/>
            <w:vAlign w:val="center"/>
          </w:tcPr>
          <w:p>
            <w:pPr>
              <w:pStyle w:val="11"/>
            </w:pPr>
            <w:r>
              <w:t>0.91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2082702</w:t>
            </w:r>
          </w:p>
        </w:tc>
        <w:tc>
          <w:tcPr>
            <w:tcW w:w="1559" w:type="dxa"/>
            <w:vAlign w:val="center"/>
          </w:tcPr>
          <w:p>
            <w:pPr>
              <w:pStyle w:val="12"/>
            </w:pPr>
            <w:r>
              <w:t>财政对工伤保险基金的补助</w:t>
            </w:r>
          </w:p>
        </w:tc>
        <w:tc>
          <w:tcPr>
            <w:tcW w:w="1134" w:type="dxa"/>
            <w:vAlign w:val="center"/>
          </w:tcPr>
          <w:p>
            <w:pPr>
              <w:pStyle w:val="11"/>
            </w:pPr>
            <w:r>
              <w:t>0.91</w:t>
            </w:r>
          </w:p>
        </w:tc>
        <w:tc>
          <w:tcPr>
            <w:tcW w:w="1134" w:type="dxa"/>
            <w:vAlign w:val="center"/>
          </w:tcPr>
          <w:p>
            <w:pPr>
              <w:pStyle w:val="11"/>
            </w:pPr>
            <w:r>
              <w:t>0.91</w:t>
            </w:r>
          </w:p>
        </w:tc>
        <w:tc>
          <w:tcPr>
            <w:tcW w:w="1134" w:type="dxa"/>
            <w:vAlign w:val="center"/>
          </w:tcPr>
          <w:p>
            <w:pPr>
              <w:pStyle w:val="11"/>
            </w:pPr>
            <w:r>
              <w:t>0.91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19.82</w:t>
            </w:r>
          </w:p>
        </w:tc>
        <w:tc>
          <w:tcPr>
            <w:tcW w:w="1134" w:type="dxa"/>
            <w:vAlign w:val="center"/>
          </w:tcPr>
          <w:p>
            <w:pPr>
              <w:pStyle w:val="11"/>
            </w:pPr>
            <w:r>
              <w:t>19.82</w:t>
            </w:r>
          </w:p>
        </w:tc>
        <w:tc>
          <w:tcPr>
            <w:tcW w:w="1134" w:type="dxa"/>
            <w:vAlign w:val="center"/>
          </w:tcPr>
          <w:p>
            <w:pPr>
              <w:pStyle w:val="11"/>
            </w:pPr>
            <w:r>
              <w:t>19.82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21012</w:t>
            </w:r>
          </w:p>
        </w:tc>
        <w:tc>
          <w:tcPr>
            <w:tcW w:w="1559" w:type="dxa"/>
            <w:vAlign w:val="center"/>
          </w:tcPr>
          <w:p>
            <w:pPr>
              <w:pStyle w:val="12"/>
            </w:pPr>
            <w:r>
              <w:t>财政对基本医疗保险基金的补助</w:t>
            </w:r>
          </w:p>
        </w:tc>
        <w:tc>
          <w:tcPr>
            <w:tcW w:w="1134" w:type="dxa"/>
            <w:vAlign w:val="center"/>
          </w:tcPr>
          <w:p>
            <w:pPr>
              <w:pStyle w:val="11"/>
            </w:pPr>
            <w:r>
              <w:t>19.82</w:t>
            </w:r>
          </w:p>
        </w:tc>
        <w:tc>
          <w:tcPr>
            <w:tcW w:w="1134" w:type="dxa"/>
            <w:vAlign w:val="center"/>
          </w:tcPr>
          <w:p>
            <w:pPr>
              <w:pStyle w:val="11"/>
            </w:pPr>
            <w:r>
              <w:t>19.82</w:t>
            </w:r>
          </w:p>
        </w:tc>
        <w:tc>
          <w:tcPr>
            <w:tcW w:w="1134" w:type="dxa"/>
            <w:vAlign w:val="center"/>
          </w:tcPr>
          <w:p>
            <w:pPr>
              <w:pStyle w:val="11"/>
            </w:pPr>
            <w:r>
              <w:t>19.82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2101201</w:t>
            </w:r>
          </w:p>
        </w:tc>
        <w:tc>
          <w:tcPr>
            <w:tcW w:w="1559" w:type="dxa"/>
            <w:vAlign w:val="center"/>
          </w:tcPr>
          <w:p>
            <w:pPr>
              <w:pStyle w:val="12"/>
            </w:pPr>
            <w:r>
              <w:t>财政对职工基本医疗保险基金的补助</w:t>
            </w:r>
          </w:p>
        </w:tc>
        <w:tc>
          <w:tcPr>
            <w:tcW w:w="1134" w:type="dxa"/>
            <w:vAlign w:val="center"/>
          </w:tcPr>
          <w:p>
            <w:pPr>
              <w:pStyle w:val="11"/>
            </w:pPr>
            <w:r>
              <w:t>19.82</w:t>
            </w:r>
          </w:p>
        </w:tc>
        <w:tc>
          <w:tcPr>
            <w:tcW w:w="1134" w:type="dxa"/>
            <w:vAlign w:val="center"/>
          </w:tcPr>
          <w:p>
            <w:pPr>
              <w:pStyle w:val="11"/>
            </w:pPr>
            <w:r>
              <w:t>19.82</w:t>
            </w:r>
          </w:p>
        </w:tc>
        <w:tc>
          <w:tcPr>
            <w:tcW w:w="1134" w:type="dxa"/>
            <w:vAlign w:val="center"/>
          </w:tcPr>
          <w:p>
            <w:pPr>
              <w:pStyle w:val="11"/>
            </w:pPr>
            <w:r>
              <w:t>19.82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44.21</w:t>
            </w:r>
          </w:p>
        </w:tc>
        <w:tc>
          <w:tcPr>
            <w:tcW w:w="1134" w:type="dxa"/>
            <w:vAlign w:val="center"/>
          </w:tcPr>
          <w:p>
            <w:pPr>
              <w:pStyle w:val="11"/>
            </w:pPr>
            <w:r>
              <w:t>44.21</w:t>
            </w:r>
          </w:p>
        </w:tc>
        <w:tc>
          <w:tcPr>
            <w:tcW w:w="1134" w:type="dxa"/>
            <w:vAlign w:val="center"/>
          </w:tcPr>
          <w:p>
            <w:pPr>
              <w:pStyle w:val="11"/>
            </w:pPr>
            <w:r>
              <w:t>44.21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44.21</w:t>
            </w:r>
          </w:p>
        </w:tc>
        <w:tc>
          <w:tcPr>
            <w:tcW w:w="1134" w:type="dxa"/>
            <w:vAlign w:val="center"/>
          </w:tcPr>
          <w:p>
            <w:pPr>
              <w:pStyle w:val="11"/>
            </w:pPr>
            <w:r>
              <w:t>44.21</w:t>
            </w:r>
          </w:p>
        </w:tc>
        <w:tc>
          <w:tcPr>
            <w:tcW w:w="1134" w:type="dxa"/>
            <w:vAlign w:val="center"/>
          </w:tcPr>
          <w:p>
            <w:pPr>
              <w:pStyle w:val="11"/>
            </w:pPr>
            <w:r>
              <w:t>44.21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44.21</w:t>
            </w:r>
          </w:p>
        </w:tc>
        <w:tc>
          <w:tcPr>
            <w:tcW w:w="1134" w:type="dxa"/>
            <w:vAlign w:val="center"/>
          </w:tcPr>
          <w:p>
            <w:pPr>
              <w:pStyle w:val="11"/>
            </w:pPr>
            <w:r>
              <w:t>44.21</w:t>
            </w:r>
          </w:p>
        </w:tc>
        <w:tc>
          <w:tcPr>
            <w:tcW w:w="1134" w:type="dxa"/>
            <w:vAlign w:val="center"/>
          </w:tcPr>
          <w:p>
            <w:pPr>
              <w:pStyle w:val="11"/>
            </w:pPr>
            <w:r>
              <w:t>44.21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25.02</w:t>
            </w:r>
          </w:p>
        </w:tc>
        <w:tc>
          <w:tcPr>
            <w:tcW w:w="1134" w:type="dxa"/>
            <w:vAlign w:val="center"/>
          </w:tcPr>
          <w:p>
            <w:pPr>
              <w:pStyle w:val="11"/>
            </w:pPr>
            <w:r>
              <w:t>25.02</w:t>
            </w:r>
          </w:p>
        </w:tc>
        <w:tc>
          <w:tcPr>
            <w:tcW w:w="1134" w:type="dxa"/>
            <w:vAlign w:val="center"/>
          </w:tcPr>
          <w:p>
            <w:pPr>
              <w:pStyle w:val="11"/>
            </w:pPr>
            <w:r>
              <w:t>25.02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25.02</w:t>
            </w:r>
          </w:p>
        </w:tc>
        <w:tc>
          <w:tcPr>
            <w:tcW w:w="1134" w:type="dxa"/>
            <w:vAlign w:val="center"/>
          </w:tcPr>
          <w:p>
            <w:pPr>
              <w:pStyle w:val="11"/>
            </w:pPr>
            <w:r>
              <w:t>25.02</w:t>
            </w:r>
          </w:p>
        </w:tc>
        <w:tc>
          <w:tcPr>
            <w:tcW w:w="1134" w:type="dxa"/>
            <w:vAlign w:val="center"/>
          </w:tcPr>
          <w:p>
            <w:pPr>
              <w:pStyle w:val="11"/>
            </w:pPr>
            <w:r>
              <w:t>25.02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25.02</w:t>
            </w:r>
          </w:p>
        </w:tc>
        <w:tc>
          <w:tcPr>
            <w:tcW w:w="1134" w:type="dxa"/>
            <w:vAlign w:val="center"/>
          </w:tcPr>
          <w:p>
            <w:pPr>
              <w:pStyle w:val="11"/>
            </w:pPr>
            <w:r>
              <w:t>25.02</w:t>
            </w:r>
          </w:p>
        </w:tc>
        <w:tc>
          <w:tcPr>
            <w:tcW w:w="1134" w:type="dxa"/>
            <w:vAlign w:val="center"/>
          </w:tcPr>
          <w:p>
            <w:pPr>
              <w:pStyle w:val="11"/>
            </w:pPr>
            <w:r>
              <w:t>25.02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130.00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22960</w:t>
            </w:r>
          </w:p>
        </w:tc>
        <w:tc>
          <w:tcPr>
            <w:tcW w:w="1559" w:type="dxa"/>
            <w:vAlign w:val="center"/>
          </w:tcPr>
          <w:p>
            <w:pPr>
              <w:pStyle w:val="12"/>
            </w:pPr>
            <w:r>
              <w:t>彩票公益金安排的支出</w:t>
            </w:r>
          </w:p>
        </w:tc>
        <w:tc>
          <w:tcPr>
            <w:tcW w:w="1134" w:type="dxa"/>
            <w:vAlign w:val="center"/>
          </w:tcPr>
          <w:p>
            <w:pPr>
              <w:pStyle w:val="11"/>
            </w:pPr>
            <w:r>
              <w:t>130.00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2296099</w:t>
            </w:r>
          </w:p>
        </w:tc>
        <w:tc>
          <w:tcPr>
            <w:tcW w:w="1559" w:type="dxa"/>
            <w:vAlign w:val="center"/>
          </w:tcPr>
          <w:p>
            <w:pPr>
              <w:pStyle w:val="12"/>
            </w:pPr>
            <w:r>
              <w:t>用于其他社会公益事业的彩票公益金支出</w:t>
            </w:r>
          </w:p>
        </w:tc>
        <w:tc>
          <w:tcPr>
            <w:tcW w:w="1134" w:type="dxa"/>
            <w:vAlign w:val="center"/>
          </w:tcPr>
          <w:p>
            <w:pPr>
              <w:pStyle w:val="11"/>
            </w:pPr>
            <w:r>
              <w:t>130.00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130.00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804001成安县漳河店镇政府机关本级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824.37</w:t>
            </w:r>
          </w:p>
        </w:tc>
        <w:tc>
          <w:tcPr>
            <w:tcW w:w="1361" w:type="dxa"/>
            <w:vAlign w:val="center"/>
          </w:tcPr>
          <w:p>
            <w:pPr>
              <w:pStyle w:val="15"/>
            </w:pPr>
            <w:r>
              <w:t>482.99</w:t>
            </w:r>
          </w:p>
        </w:tc>
        <w:tc>
          <w:tcPr>
            <w:tcW w:w="1361" w:type="dxa"/>
            <w:vAlign w:val="center"/>
          </w:tcPr>
          <w:p>
            <w:pPr>
              <w:pStyle w:val="15"/>
            </w:pPr>
            <w:r>
              <w:t>341.38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546.71</w:t>
            </w:r>
          </w:p>
        </w:tc>
        <w:tc>
          <w:tcPr>
            <w:tcW w:w="1361" w:type="dxa"/>
            <w:vAlign w:val="center"/>
          </w:tcPr>
          <w:p>
            <w:pPr>
              <w:pStyle w:val="11"/>
            </w:pPr>
            <w:r>
              <w:t>379.54</w:t>
            </w:r>
          </w:p>
        </w:tc>
        <w:tc>
          <w:tcPr>
            <w:tcW w:w="1361" w:type="dxa"/>
            <w:vAlign w:val="center"/>
          </w:tcPr>
          <w:p>
            <w:pPr>
              <w:pStyle w:val="11"/>
            </w:pPr>
            <w:r>
              <w:t>167.17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531.71</w:t>
            </w:r>
          </w:p>
        </w:tc>
        <w:tc>
          <w:tcPr>
            <w:tcW w:w="1361" w:type="dxa"/>
            <w:vAlign w:val="center"/>
          </w:tcPr>
          <w:p>
            <w:pPr>
              <w:pStyle w:val="11"/>
            </w:pPr>
            <w:r>
              <w:t>379.54</w:t>
            </w:r>
          </w:p>
        </w:tc>
        <w:tc>
          <w:tcPr>
            <w:tcW w:w="1361" w:type="dxa"/>
            <w:vAlign w:val="center"/>
          </w:tcPr>
          <w:p>
            <w:pPr>
              <w:pStyle w:val="11"/>
            </w:pPr>
            <w:r>
              <w:t>152.17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531.71</w:t>
            </w:r>
          </w:p>
        </w:tc>
        <w:tc>
          <w:tcPr>
            <w:tcW w:w="1361" w:type="dxa"/>
            <w:vAlign w:val="center"/>
          </w:tcPr>
          <w:p>
            <w:pPr>
              <w:pStyle w:val="11"/>
            </w:pPr>
            <w:r>
              <w:t>379.54</w:t>
            </w:r>
          </w:p>
        </w:tc>
        <w:tc>
          <w:tcPr>
            <w:tcW w:w="1361" w:type="dxa"/>
            <w:vAlign w:val="center"/>
          </w:tcPr>
          <w:p>
            <w:pPr>
              <w:pStyle w:val="11"/>
            </w:pPr>
            <w:r>
              <w:t>152.17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2014099</w:t>
            </w:r>
          </w:p>
        </w:tc>
        <w:tc>
          <w:tcPr>
            <w:tcW w:w="4535" w:type="dxa"/>
            <w:vAlign w:val="center"/>
          </w:tcPr>
          <w:p>
            <w:pPr>
              <w:pStyle w:val="12"/>
            </w:pPr>
            <w:r>
              <w:t>其他信访事务支出</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58.61</w:t>
            </w:r>
          </w:p>
        </w:tc>
        <w:tc>
          <w:tcPr>
            <w:tcW w:w="1361" w:type="dxa"/>
            <w:vAlign w:val="center"/>
          </w:tcPr>
          <w:p>
            <w:pPr>
              <w:pStyle w:val="11"/>
            </w:pPr>
            <w:r>
              <w:t>58.61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52.99</w:t>
            </w:r>
          </w:p>
        </w:tc>
        <w:tc>
          <w:tcPr>
            <w:tcW w:w="1361" w:type="dxa"/>
            <w:vAlign w:val="center"/>
          </w:tcPr>
          <w:p>
            <w:pPr>
              <w:pStyle w:val="11"/>
            </w:pPr>
            <w:r>
              <w:t>52.99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20.44</w:t>
            </w:r>
          </w:p>
        </w:tc>
        <w:tc>
          <w:tcPr>
            <w:tcW w:w="1361" w:type="dxa"/>
            <w:vAlign w:val="center"/>
          </w:tcPr>
          <w:p>
            <w:pPr>
              <w:pStyle w:val="11"/>
            </w:pPr>
            <w:r>
              <w:t>20.44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32.55</w:t>
            </w:r>
          </w:p>
        </w:tc>
        <w:tc>
          <w:tcPr>
            <w:tcW w:w="1361" w:type="dxa"/>
            <w:vAlign w:val="center"/>
          </w:tcPr>
          <w:p>
            <w:pPr>
              <w:pStyle w:val="11"/>
            </w:pPr>
            <w:r>
              <w:t>32.55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4.70</w:t>
            </w:r>
          </w:p>
        </w:tc>
        <w:tc>
          <w:tcPr>
            <w:tcW w:w="1361" w:type="dxa"/>
            <w:vAlign w:val="center"/>
          </w:tcPr>
          <w:p>
            <w:pPr>
              <w:pStyle w:val="11"/>
            </w:pPr>
            <w:r>
              <w:t>4.70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4.70</w:t>
            </w:r>
          </w:p>
        </w:tc>
        <w:tc>
          <w:tcPr>
            <w:tcW w:w="1361" w:type="dxa"/>
            <w:vAlign w:val="center"/>
          </w:tcPr>
          <w:p>
            <w:pPr>
              <w:pStyle w:val="11"/>
            </w:pPr>
            <w:r>
              <w:t>4.70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20827</w:t>
            </w:r>
          </w:p>
        </w:tc>
        <w:tc>
          <w:tcPr>
            <w:tcW w:w="4535" w:type="dxa"/>
            <w:vAlign w:val="center"/>
          </w:tcPr>
          <w:p>
            <w:pPr>
              <w:pStyle w:val="12"/>
            </w:pPr>
            <w:r>
              <w:t>财政对其他社会保险基金的补助</w:t>
            </w:r>
          </w:p>
        </w:tc>
        <w:tc>
          <w:tcPr>
            <w:tcW w:w="1361" w:type="dxa"/>
            <w:vAlign w:val="center"/>
          </w:tcPr>
          <w:p>
            <w:pPr>
              <w:pStyle w:val="11"/>
            </w:pPr>
            <w:r>
              <w:t>0.91</w:t>
            </w:r>
          </w:p>
        </w:tc>
        <w:tc>
          <w:tcPr>
            <w:tcW w:w="1361" w:type="dxa"/>
            <w:vAlign w:val="center"/>
          </w:tcPr>
          <w:p>
            <w:pPr>
              <w:pStyle w:val="11"/>
            </w:pPr>
            <w:r>
              <w:t>0.91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2082702</w:t>
            </w:r>
          </w:p>
        </w:tc>
        <w:tc>
          <w:tcPr>
            <w:tcW w:w="4535" w:type="dxa"/>
            <w:vAlign w:val="center"/>
          </w:tcPr>
          <w:p>
            <w:pPr>
              <w:pStyle w:val="12"/>
            </w:pPr>
            <w:r>
              <w:t>财政对工伤保险基金的补助</w:t>
            </w:r>
          </w:p>
        </w:tc>
        <w:tc>
          <w:tcPr>
            <w:tcW w:w="1361" w:type="dxa"/>
            <w:vAlign w:val="center"/>
          </w:tcPr>
          <w:p>
            <w:pPr>
              <w:pStyle w:val="11"/>
            </w:pPr>
            <w:r>
              <w:t>0.91</w:t>
            </w:r>
          </w:p>
        </w:tc>
        <w:tc>
          <w:tcPr>
            <w:tcW w:w="1361" w:type="dxa"/>
            <w:vAlign w:val="center"/>
          </w:tcPr>
          <w:p>
            <w:pPr>
              <w:pStyle w:val="11"/>
            </w:pPr>
            <w:r>
              <w:t>0.91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19.82</w:t>
            </w:r>
          </w:p>
        </w:tc>
        <w:tc>
          <w:tcPr>
            <w:tcW w:w="1361" w:type="dxa"/>
            <w:vAlign w:val="center"/>
          </w:tcPr>
          <w:p>
            <w:pPr>
              <w:pStyle w:val="11"/>
            </w:pPr>
            <w:r>
              <w:t>19.82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21012</w:t>
            </w:r>
          </w:p>
        </w:tc>
        <w:tc>
          <w:tcPr>
            <w:tcW w:w="4535" w:type="dxa"/>
            <w:vAlign w:val="center"/>
          </w:tcPr>
          <w:p>
            <w:pPr>
              <w:pStyle w:val="12"/>
            </w:pPr>
            <w:r>
              <w:t>财政对基本医疗保险基金的补助</w:t>
            </w:r>
          </w:p>
        </w:tc>
        <w:tc>
          <w:tcPr>
            <w:tcW w:w="1361" w:type="dxa"/>
            <w:vAlign w:val="center"/>
          </w:tcPr>
          <w:p>
            <w:pPr>
              <w:pStyle w:val="11"/>
            </w:pPr>
            <w:r>
              <w:t>19.82</w:t>
            </w:r>
          </w:p>
        </w:tc>
        <w:tc>
          <w:tcPr>
            <w:tcW w:w="1361" w:type="dxa"/>
            <w:vAlign w:val="center"/>
          </w:tcPr>
          <w:p>
            <w:pPr>
              <w:pStyle w:val="11"/>
            </w:pPr>
            <w:r>
              <w:t>19.82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2101201</w:t>
            </w:r>
          </w:p>
        </w:tc>
        <w:tc>
          <w:tcPr>
            <w:tcW w:w="4535" w:type="dxa"/>
            <w:vAlign w:val="center"/>
          </w:tcPr>
          <w:p>
            <w:pPr>
              <w:pStyle w:val="12"/>
            </w:pPr>
            <w:r>
              <w:t>财政对职工基本医疗保险基金的补助</w:t>
            </w:r>
          </w:p>
        </w:tc>
        <w:tc>
          <w:tcPr>
            <w:tcW w:w="1361" w:type="dxa"/>
            <w:vAlign w:val="center"/>
          </w:tcPr>
          <w:p>
            <w:pPr>
              <w:pStyle w:val="11"/>
            </w:pPr>
            <w:r>
              <w:t>19.82</w:t>
            </w:r>
          </w:p>
        </w:tc>
        <w:tc>
          <w:tcPr>
            <w:tcW w:w="1361" w:type="dxa"/>
            <w:vAlign w:val="center"/>
          </w:tcPr>
          <w:p>
            <w:pPr>
              <w:pStyle w:val="11"/>
            </w:pPr>
            <w:r>
              <w:t>19.82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44.21</w:t>
            </w:r>
          </w:p>
        </w:tc>
        <w:tc>
          <w:tcPr>
            <w:tcW w:w="1361" w:type="dxa"/>
            <w:vAlign w:val="center"/>
          </w:tcPr>
          <w:p>
            <w:pPr>
              <w:pStyle w:val="11"/>
            </w:pPr>
          </w:p>
        </w:tc>
        <w:tc>
          <w:tcPr>
            <w:tcW w:w="1361" w:type="dxa"/>
            <w:vAlign w:val="center"/>
          </w:tcPr>
          <w:p>
            <w:pPr>
              <w:pStyle w:val="11"/>
            </w:pPr>
            <w:r>
              <w:t>44.21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44.21</w:t>
            </w:r>
          </w:p>
        </w:tc>
        <w:tc>
          <w:tcPr>
            <w:tcW w:w="1361" w:type="dxa"/>
            <w:vAlign w:val="center"/>
          </w:tcPr>
          <w:p>
            <w:pPr>
              <w:pStyle w:val="11"/>
            </w:pPr>
          </w:p>
        </w:tc>
        <w:tc>
          <w:tcPr>
            <w:tcW w:w="1361" w:type="dxa"/>
            <w:vAlign w:val="center"/>
          </w:tcPr>
          <w:p>
            <w:pPr>
              <w:pStyle w:val="11"/>
            </w:pPr>
            <w:r>
              <w:t>44.21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44.21</w:t>
            </w:r>
          </w:p>
        </w:tc>
        <w:tc>
          <w:tcPr>
            <w:tcW w:w="1361" w:type="dxa"/>
            <w:vAlign w:val="center"/>
          </w:tcPr>
          <w:p>
            <w:pPr>
              <w:pStyle w:val="11"/>
            </w:pPr>
          </w:p>
        </w:tc>
        <w:tc>
          <w:tcPr>
            <w:tcW w:w="1361" w:type="dxa"/>
            <w:vAlign w:val="center"/>
          </w:tcPr>
          <w:p>
            <w:pPr>
              <w:pStyle w:val="11"/>
            </w:pPr>
            <w:r>
              <w:t>44.21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25.02</w:t>
            </w:r>
          </w:p>
        </w:tc>
        <w:tc>
          <w:tcPr>
            <w:tcW w:w="1361" w:type="dxa"/>
            <w:vAlign w:val="center"/>
          </w:tcPr>
          <w:p>
            <w:pPr>
              <w:pStyle w:val="11"/>
            </w:pPr>
            <w:r>
              <w:t>25.02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25.02</w:t>
            </w:r>
          </w:p>
        </w:tc>
        <w:tc>
          <w:tcPr>
            <w:tcW w:w="1361" w:type="dxa"/>
            <w:vAlign w:val="center"/>
          </w:tcPr>
          <w:p>
            <w:pPr>
              <w:pStyle w:val="11"/>
            </w:pPr>
            <w:r>
              <w:t>25.02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25.02</w:t>
            </w:r>
          </w:p>
        </w:tc>
        <w:tc>
          <w:tcPr>
            <w:tcW w:w="1361" w:type="dxa"/>
            <w:vAlign w:val="center"/>
          </w:tcPr>
          <w:p>
            <w:pPr>
              <w:pStyle w:val="11"/>
            </w:pPr>
            <w:r>
              <w:t>25.02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130.00</w:t>
            </w:r>
          </w:p>
        </w:tc>
        <w:tc>
          <w:tcPr>
            <w:tcW w:w="1361" w:type="dxa"/>
            <w:vAlign w:val="center"/>
          </w:tcPr>
          <w:p>
            <w:pPr>
              <w:pStyle w:val="11"/>
            </w:pPr>
          </w:p>
        </w:tc>
        <w:tc>
          <w:tcPr>
            <w:tcW w:w="1361" w:type="dxa"/>
            <w:vAlign w:val="center"/>
          </w:tcPr>
          <w:p>
            <w:pPr>
              <w:pStyle w:val="11"/>
            </w:pPr>
            <w:r>
              <w:t>130.00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22960</w:t>
            </w:r>
          </w:p>
        </w:tc>
        <w:tc>
          <w:tcPr>
            <w:tcW w:w="4535" w:type="dxa"/>
            <w:vAlign w:val="center"/>
          </w:tcPr>
          <w:p>
            <w:pPr>
              <w:pStyle w:val="12"/>
            </w:pPr>
            <w:r>
              <w:t>彩票公益金安排的支出</w:t>
            </w:r>
          </w:p>
        </w:tc>
        <w:tc>
          <w:tcPr>
            <w:tcW w:w="1361" w:type="dxa"/>
            <w:vAlign w:val="center"/>
          </w:tcPr>
          <w:p>
            <w:pPr>
              <w:pStyle w:val="11"/>
            </w:pPr>
            <w:r>
              <w:t>130.00</w:t>
            </w:r>
          </w:p>
        </w:tc>
        <w:tc>
          <w:tcPr>
            <w:tcW w:w="1361" w:type="dxa"/>
            <w:vAlign w:val="center"/>
          </w:tcPr>
          <w:p>
            <w:pPr>
              <w:pStyle w:val="11"/>
            </w:pPr>
          </w:p>
        </w:tc>
        <w:tc>
          <w:tcPr>
            <w:tcW w:w="1361" w:type="dxa"/>
            <w:vAlign w:val="center"/>
          </w:tcPr>
          <w:p>
            <w:pPr>
              <w:pStyle w:val="11"/>
            </w:pPr>
            <w:r>
              <w:t>130.00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2296099</w:t>
            </w:r>
          </w:p>
        </w:tc>
        <w:tc>
          <w:tcPr>
            <w:tcW w:w="4535" w:type="dxa"/>
            <w:vAlign w:val="center"/>
          </w:tcPr>
          <w:p>
            <w:pPr>
              <w:pStyle w:val="12"/>
            </w:pPr>
            <w:r>
              <w:t>用于其他社会公益事业的彩票公益金支出</w:t>
            </w:r>
          </w:p>
        </w:tc>
        <w:tc>
          <w:tcPr>
            <w:tcW w:w="1361" w:type="dxa"/>
            <w:vAlign w:val="center"/>
          </w:tcPr>
          <w:p>
            <w:pPr>
              <w:pStyle w:val="11"/>
            </w:pPr>
            <w:r>
              <w:t>130.00</w:t>
            </w:r>
          </w:p>
        </w:tc>
        <w:tc>
          <w:tcPr>
            <w:tcW w:w="1361" w:type="dxa"/>
            <w:vAlign w:val="center"/>
          </w:tcPr>
          <w:p>
            <w:pPr>
              <w:pStyle w:val="11"/>
            </w:pPr>
          </w:p>
        </w:tc>
        <w:tc>
          <w:tcPr>
            <w:tcW w:w="1361" w:type="dxa"/>
            <w:vAlign w:val="center"/>
          </w:tcPr>
          <w:p>
            <w:pPr>
              <w:pStyle w:val="11"/>
            </w:pPr>
            <w:r>
              <w:t>130.00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804001成安县漳河店镇政府机关本级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694.37</w:t>
            </w:r>
          </w:p>
        </w:tc>
        <w:tc>
          <w:tcPr>
            <w:tcW w:w="3402" w:type="dxa"/>
            <w:vAlign w:val="center"/>
          </w:tcPr>
          <w:p>
            <w:pPr>
              <w:pStyle w:val="12"/>
            </w:pPr>
            <w:r>
              <w:t>一、一般公共服务支出</w:t>
            </w:r>
          </w:p>
        </w:tc>
        <w:tc>
          <w:tcPr>
            <w:tcW w:w="1474" w:type="dxa"/>
            <w:vAlign w:val="center"/>
          </w:tcPr>
          <w:p>
            <w:pPr>
              <w:pStyle w:val="11"/>
            </w:pPr>
            <w:r>
              <w:t>546.71</w:t>
            </w:r>
          </w:p>
        </w:tc>
        <w:tc>
          <w:tcPr>
            <w:tcW w:w="1474" w:type="dxa"/>
            <w:vAlign w:val="center"/>
          </w:tcPr>
          <w:p>
            <w:pPr>
              <w:pStyle w:val="11"/>
            </w:pPr>
            <w:r>
              <w:t>546.71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58.61</w:t>
            </w:r>
          </w:p>
        </w:tc>
        <w:tc>
          <w:tcPr>
            <w:tcW w:w="1474" w:type="dxa"/>
            <w:vAlign w:val="center"/>
          </w:tcPr>
          <w:p>
            <w:pPr>
              <w:pStyle w:val="11"/>
            </w:pPr>
            <w:r>
              <w:t>58.61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19.82</w:t>
            </w:r>
          </w:p>
        </w:tc>
        <w:tc>
          <w:tcPr>
            <w:tcW w:w="1474" w:type="dxa"/>
            <w:vAlign w:val="center"/>
          </w:tcPr>
          <w:p>
            <w:pPr>
              <w:pStyle w:val="11"/>
            </w:pPr>
            <w:r>
              <w:t>19.82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44.21</w:t>
            </w:r>
          </w:p>
        </w:tc>
        <w:tc>
          <w:tcPr>
            <w:tcW w:w="1474" w:type="dxa"/>
            <w:vAlign w:val="center"/>
          </w:tcPr>
          <w:p>
            <w:pPr>
              <w:pStyle w:val="11"/>
            </w:pPr>
            <w:r>
              <w:t>44.21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25.02</w:t>
            </w:r>
          </w:p>
        </w:tc>
        <w:tc>
          <w:tcPr>
            <w:tcW w:w="1474" w:type="dxa"/>
            <w:vAlign w:val="center"/>
          </w:tcPr>
          <w:p>
            <w:pPr>
              <w:pStyle w:val="11"/>
            </w:pPr>
            <w:r>
              <w:t>25.02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130.00</w:t>
            </w:r>
          </w:p>
        </w:tc>
        <w:tc>
          <w:tcPr>
            <w:tcW w:w="1474" w:type="dxa"/>
            <w:vAlign w:val="center"/>
          </w:tcPr>
          <w:p>
            <w:pPr>
              <w:pStyle w:val="11"/>
            </w:pPr>
          </w:p>
        </w:tc>
        <w:tc>
          <w:tcPr>
            <w:tcW w:w="1474" w:type="dxa"/>
            <w:vAlign w:val="center"/>
          </w:tcPr>
          <w:p>
            <w:pPr>
              <w:pStyle w:val="11"/>
            </w:pPr>
            <w:r>
              <w:t>130.00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694.37</w:t>
            </w:r>
          </w:p>
        </w:tc>
        <w:tc>
          <w:tcPr>
            <w:tcW w:w="3402" w:type="dxa"/>
            <w:vAlign w:val="center"/>
          </w:tcPr>
          <w:p>
            <w:pPr>
              <w:pStyle w:val="14"/>
            </w:pPr>
            <w:r>
              <w:t>本年支出合计</w:t>
            </w:r>
          </w:p>
        </w:tc>
        <w:tc>
          <w:tcPr>
            <w:tcW w:w="1474" w:type="dxa"/>
            <w:vAlign w:val="center"/>
          </w:tcPr>
          <w:p>
            <w:pPr>
              <w:pStyle w:val="15"/>
            </w:pPr>
            <w:r>
              <w:t>824.37</w:t>
            </w:r>
          </w:p>
        </w:tc>
        <w:tc>
          <w:tcPr>
            <w:tcW w:w="1474" w:type="dxa"/>
            <w:vAlign w:val="center"/>
          </w:tcPr>
          <w:p>
            <w:pPr>
              <w:pStyle w:val="15"/>
            </w:pPr>
            <w:r>
              <w:t>694.37</w:t>
            </w:r>
          </w:p>
        </w:tc>
        <w:tc>
          <w:tcPr>
            <w:tcW w:w="1474" w:type="dxa"/>
            <w:vAlign w:val="center"/>
          </w:tcPr>
          <w:p>
            <w:pPr>
              <w:pStyle w:val="15"/>
            </w:pPr>
            <w:r>
              <w:t>130.00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130.00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130.00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824.37</w:t>
            </w:r>
          </w:p>
        </w:tc>
        <w:tc>
          <w:tcPr>
            <w:tcW w:w="3402" w:type="dxa"/>
            <w:vAlign w:val="center"/>
          </w:tcPr>
          <w:p>
            <w:pPr>
              <w:pStyle w:val="14"/>
            </w:pPr>
            <w:r>
              <w:t>支出总计</w:t>
            </w:r>
          </w:p>
        </w:tc>
        <w:tc>
          <w:tcPr>
            <w:tcW w:w="1474" w:type="dxa"/>
            <w:vAlign w:val="center"/>
          </w:tcPr>
          <w:p>
            <w:pPr>
              <w:pStyle w:val="15"/>
            </w:pPr>
            <w:r>
              <w:t>824.37</w:t>
            </w:r>
          </w:p>
        </w:tc>
        <w:tc>
          <w:tcPr>
            <w:tcW w:w="1474" w:type="dxa"/>
            <w:vAlign w:val="center"/>
          </w:tcPr>
          <w:p>
            <w:pPr>
              <w:pStyle w:val="15"/>
            </w:pPr>
            <w:r>
              <w:t>694.37</w:t>
            </w:r>
          </w:p>
        </w:tc>
        <w:tc>
          <w:tcPr>
            <w:tcW w:w="1474" w:type="dxa"/>
            <w:vAlign w:val="center"/>
          </w:tcPr>
          <w:p>
            <w:pPr>
              <w:pStyle w:val="15"/>
            </w:pPr>
            <w:r>
              <w:t>130.00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804001成安县漳河店镇政府机关本级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694.37</w:t>
            </w:r>
          </w:p>
        </w:tc>
        <w:tc>
          <w:tcPr>
            <w:tcW w:w="2551" w:type="dxa"/>
            <w:vAlign w:val="center"/>
          </w:tcPr>
          <w:p>
            <w:pPr>
              <w:pStyle w:val="15"/>
            </w:pPr>
            <w:r>
              <w:t>482.99</w:t>
            </w:r>
          </w:p>
        </w:tc>
        <w:tc>
          <w:tcPr>
            <w:tcW w:w="2551" w:type="dxa"/>
            <w:vAlign w:val="center"/>
          </w:tcPr>
          <w:p>
            <w:pPr>
              <w:pStyle w:val="15"/>
            </w:pPr>
            <w:r>
              <w:t>211.38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546.71</w:t>
            </w:r>
          </w:p>
        </w:tc>
        <w:tc>
          <w:tcPr>
            <w:tcW w:w="2551" w:type="dxa"/>
            <w:vAlign w:val="center"/>
          </w:tcPr>
          <w:p>
            <w:pPr>
              <w:pStyle w:val="11"/>
            </w:pPr>
            <w:r>
              <w:t>379.54</w:t>
            </w:r>
          </w:p>
        </w:tc>
        <w:tc>
          <w:tcPr>
            <w:tcW w:w="2551" w:type="dxa"/>
            <w:vAlign w:val="center"/>
          </w:tcPr>
          <w:p>
            <w:pPr>
              <w:pStyle w:val="11"/>
            </w:pPr>
            <w:r>
              <w:t>167.17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531.71</w:t>
            </w:r>
          </w:p>
        </w:tc>
        <w:tc>
          <w:tcPr>
            <w:tcW w:w="2551" w:type="dxa"/>
            <w:vAlign w:val="center"/>
          </w:tcPr>
          <w:p>
            <w:pPr>
              <w:pStyle w:val="11"/>
            </w:pPr>
            <w:r>
              <w:t>379.54</w:t>
            </w:r>
          </w:p>
        </w:tc>
        <w:tc>
          <w:tcPr>
            <w:tcW w:w="2551" w:type="dxa"/>
            <w:vAlign w:val="center"/>
          </w:tcPr>
          <w:p>
            <w:pPr>
              <w:pStyle w:val="11"/>
            </w:pPr>
            <w:r>
              <w:t>152.17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531.71</w:t>
            </w:r>
          </w:p>
        </w:tc>
        <w:tc>
          <w:tcPr>
            <w:tcW w:w="2551" w:type="dxa"/>
            <w:vAlign w:val="center"/>
          </w:tcPr>
          <w:p>
            <w:pPr>
              <w:pStyle w:val="11"/>
            </w:pPr>
            <w:r>
              <w:t>379.54</w:t>
            </w:r>
          </w:p>
        </w:tc>
        <w:tc>
          <w:tcPr>
            <w:tcW w:w="2551" w:type="dxa"/>
            <w:vAlign w:val="center"/>
          </w:tcPr>
          <w:p>
            <w:pPr>
              <w:pStyle w:val="11"/>
            </w:pPr>
            <w:r>
              <w:t>152.17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2014099</w:t>
            </w:r>
          </w:p>
        </w:tc>
        <w:tc>
          <w:tcPr>
            <w:tcW w:w="4535" w:type="dxa"/>
            <w:vAlign w:val="center"/>
          </w:tcPr>
          <w:p>
            <w:pPr>
              <w:pStyle w:val="12"/>
            </w:pPr>
            <w:r>
              <w:t>其他信访事务支出</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58.61</w:t>
            </w:r>
          </w:p>
        </w:tc>
        <w:tc>
          <w:tcPr>
            <w:tcW w:w="2551" w:type="dxa"/>
            <w:vAlign w:val="center"/>
          </w:tcPr>
          <w:p>
            <w:pPr>
              <w:pStyle w:val="11"/>
            </w:pPr>
            <w:r>
              <w:t>58.61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52.99</w:t>
            </w:r>
          </w:p>
        </w:tc>
        <w:tc>
          <w:tcPr>
            <w:tcW w:w="2551" w:type="dxa"/>
            <w:vAlign w:val="center"/>
          </w:tcPr>
          <w:p>
            <w:pPr>
              <w:pStyle w:val="11"/>
            </w:pPr>
            <w:r>
              <w:t>52.99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20.44</w:t>
            </w:r>
          </w:p>
        </w:tc>
        <w:tc>
          <w:tcPr>
            <w:tcW w:w="2551" w:type="dxa"/>
            <w:vAlign w:val="center"/>
          </w:tcPr>
          <w:p>
            <w:pPr>
              <w:pStyle w:val="11"/>
            </w:pPr>
            <w:r>
              <w:t>20.44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32.55</w:t>
            </w:r>
          </w:p>
        </w:tc>
        <w:tc>
          <w:tcPr>
            <w:tcW w:w="2551" w:type="dxa"/>
            <w:vAlign w:val="center"/>
          </w:tcPr>
          <w:p>
            <w:pPr>
              <w:pStyle w:val="11"/>
            </w:pPr>
            <w:r>
              <w:t>32.55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4.70</w:t>
            </w:r>
          </w:p>
        </w:tc>
        <w:tc>
          <w:tcPr>
            <w:tcW w:w="2551" w:type="dxa"/>
            <w:vAlign w:val="center"/>
          </w:tcPr>
          <w:p>
            <w:pPr>
              <w:pStyle w:val="11"/>
            </w:pPr>
            <w:r>
              <w:t>4.70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4.70</w:t>
            </w:r>
          </w:p>
        </w:tc>
        <w:tc>
          <w:tcPr>
            <w:tcW w:w="2551" w:type="dxa"/>
            <w:vAlign w:val="center"/>
          </w:tcPr>
          <w:p>
            <w:pPr>
              <w:pStyle w:val="11"/>
            </w:pPr>
            <w:r>
              <w:t>4.70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20827</w:t>
            </w:r>
          </w:p>
        </w:tc>
        <w:tc>
          <w:tcPr>
            <w:tcW w:w="4535" w:type="dxa"/>
            <w:vAlign w:val="center"/>
          </w:tcPr>
          <w:p>
            <w:pPr>
              <w:pStyle w:val="12"/>
            </w:pPr>
            <w:r>
              <w:t>财政对其他社会保险基金的补助</w:t>
            </w:r>
          </w:p>
        </w:tc>
        <w:tc>
          <w:tcPr>
            <w:tcW w:w="2551" w:type="dxa"/>
            <w:vAlign w:val="center"/>
          </w:tcPr>
          <w:p>
            <w:pPr>
              <w:pStyle w:val="11"/>
            </w:pPr>
            <w:r>
              <w:t>0.91</w:t>
            </w:r>
          </w:p>
        </w:tc>
        <w:tc>
          <w:tcPr>
            <w:tcW w:w="2551" w:type="dxa"/>
            <w:vAlign w:val="center"/>
          </w:tcPr>
          <w:p>
            <w:pPr>
              <w:pStyle w:val="11"/>
            </w:pPr>
            <w:r>
              <w:t>0.91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2082702</w:t>
            </w:r>
          </w:p>
        </w:tc>
        <w:tc>
          <w:tcPr>
            <w:tcW w:w="4535" w:type="dxa"/>
            <w:vAlign w:val="center"/>
          </w:tcPr>
          <w:p>
            <w:pPr>
              <w:pStyle w:val="12"/>
            </w:pPr>
            <w:r>
              <w:t>财政对工伤保险基金的补助</w:t>
            </w:r>
          </w:p>
        </w:tc>
        <w:tc>
          <w:tcPr>
            <w:tcW w:w="2551" w:type="dxa"/>
            <w:vAlign w:val="center"/>
          </w:tcPr>
          <w:p>
            <w:pPr>
              <w:pStyle w:val="11"/>
            </w:pPr>
            <w:r>
              <w:t>0.91</w:t>
            </w:r>
          </w:p>
        </w:tc>
        <w:tc>
          <w:tcPr>
            <w:tcW w:w="2551" w:type="dxa"/>
            <w:vAlign w:val="center"/>
          </w:tcPr>
          <w:p>
            <w:pPr>
              <w:pStyle w:val="11"/>
            </w:pPr>
            <w:r>
              <w:t>0.91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19.82</w:t>
            </w:r>
          </w:p>
        </w:tc>
        <w:tc>
          <w:tcPr>
            <w:tcW w:w="2551" w:type="dxa"/>
            <w:vAlign w:val="center"/>
          </w:tcPr>
          <w:p>
            <w:pPr>
              <w:pStyle w:val="11"/>
            </w:pPr>
            <w:r>
              <w:t>19.82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21012</w:t>
            </w:r>
          </w:p>
        </w:tc>
        <w:tc>
          <w:tcPr>
            <w:tcW w:w="4535" w:type="dxa"/>
            <w:vAlign w:val="center"/>
          </w:tcPr>
          <w:p>
            <w:pPr>
              <w:pStyle w:val="12"/>
            </w:pPr>
            <w:r>
              <w:t>财政对基本医疗保险基金的补助</w:t>
            </w:r>
          </w:p>
        </w:tc>
        <w:tc>
          <w:tcPr>
            <w:tcW w:w="2551" w:type="dxa"/>
            <w:vAlign w:val="center"/>
          </w:tcPr>
          <w:p>
            <w:pPr>
              <w:pStyle w:val="11"/>
            </w:pPr>
            <w:r>
              <w:t>19.82</w:t>
            </w:r>
          </w:p>
        </w:tc>
        <w:tc>
          <w:tcPr>
            <w:tcW w:w="2551" w:type="dxa"/>
            <w:vAlign w:val="center"/>
          </w:tcPr>
          <w:p>
            <w:pPr>
              <w:pStyle w:val="11"/>
            </w:pPr>
            <w:r>
              <w:t>19.82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2101201</w:t>
            </w:r>
          </w:p>
        </w:tc>
        <w:tc>
          <w:tcPr>
            <w:tcW w:w="4535" w:type="dxa"/>
            <w:vAlign w:val="center"/>
          </w:tcPr>
          <w:p>
            <w:pPr>
              <w:pStyle w:val="12"/>
            </w:pPr>
            <w:r>
              <w:t>财政对职工基本医疗保险基金的补助</w:t>
            </w:r>
          </w:p>
        </w:tc>
        <w:tc>
          <w:tcPr>
            <w:tcW w:w="2551" w:type="dxa"/>
            <w:vAlign w:val="center"/>
          </w:tcPr>
          <w:p>
            <w:pPr>
              <w:pStyle w:val="11"/>
            </w:pPr>
            <w:r>
              <w:t>19.82</w:t>
            </w:r>
          </w:p>
        </w:tc>
        <w:tc>
          <w:tcPr>
            <w:tcW w:w="2551" w:type="dxa"/>
            <w:vAlign w:val="center"/>
          </w:tcPr>
          <w:p>
            <w:pPr>
              <w:pStyle w:val="11"/>
            </w:pPr>
            <w:r>
              <w:t>19.82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44.21</w:t>
            </w:r>
          </w:p>
        </w:tc>
        <w:tc>
          <w:tcPr>
            <w:tcW w:w="2551" w:type="dxa"/>
            <w:vAlign w:val="center"/>
          </w:tcPr>
          <w:p>
            <w:pPr>
              <w:pStyle w:val="11"/>
            </w:pPr>
          </w:p>
        </w:tc>
        <w:tc>
          <w:tcPr>
            <w:tcW w:w="2551" w:type="dxa"/>
            <w:vAlign w:val="center"/>
          </w:tcPr>
          <w:p>
            <w:pPr>
              <w:pStyle w:val="11"/>
            </w:pPr>
            <w:r>
              <w:t>44.21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44.21</w:t>
            </w:r>
          </w:p>
        </w:tc>
        <w:tc>
          <w:tcPr>
            <w:tcW w:w="2551" w:type="dxa"/>
            <w:vAlign w:val="center"/>
          </w:tcPr>
          <w:p>
            <w:pPr>
              <w:pStyle w:val="11"/>
            </w:pPr>
          </w:p>
        </w:tc>
        <w:tc>
          <w:tcPr>
            <w:tcW w:w="2551" w:type="dxa"/>
            <w:vAlign w:val="center"/>
          </w:tcPr>
          <w:p>
            <w:pPr>
              <w:pStyle w:val="11"/>
            </w:pPr>
            <w:r>
              <w:t>44.21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44.21</w:t>
            </w:r>
          </w:p>
        </w:tc>
        <w:tc>
          <w:tcPr>
            <w:tcW w:w="2551" w:type="dxa"/>
            <w:vAlign w:val="center"/>
          </w:tcPr>
          <w:p>
            <w:pPr>
              <w:pStyle w:val="11"/>
            </w:pPr>
          </w:p>
        </w:tc>
        <w:tc>
          <w:tcPr>
            <w:tcW w:w="2551" w:type="dxa"/>
            <w:vAlign w:val="center"/>
          </w:tcPr>
          <w:p>
            <w:pPr>
              <w:pStyle w:val="11"/>
            </w:pPr>
            <w:r>
              <w:t>44.21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25.02</w:t>
            </w:r>
          </w:p>
        </w:tc>
        <w:tc>
          <w:tcPr>
            <w:tcW w:w="2551" w:type="dxa"/>
            <w:vAlign w:val="center"/>
          </w:tcPr>
          <w:p>
            <w:pPr>
              <w:pStyle w:val="11"/>
            </w:pPr>
            <w:r>
              <w:t>25.02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25.02</w:t>
            </w:r>
          </w:p>
        </w:tc>
        <w:tc>
          <w:tcPr>
            <w:tcW w:w="2551" w:type="dxa"/>
            <w:vAlign w:val="center"/>
          </w:tcPr>
          <w:p>
            <w:pPr>
              <w:pStyle w:val="11"/>
            </w:pPr>
            <w:r>
              <w:t>25.02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25.02</w:t>
            </w:r>
          </w:p>
        </w:tc>
        <w:tc>
          <w:tcPr>
            <w:tcW w:w="2551" w:type="dxa"/>
            <w:vAlign w:val="center"/>
          </w:tcPr>
          <w:p>
            <w:pPr>
              <w:pStyle w:val="11"/>
            </w:pPr>
            <w:r>
              <w:t>25.02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804001成安县漳河店镇政府机关本级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482.99</w:t>
            </w:r>
          </w:p>
        </w:tc>
        <w:tc>
          <w:tcPr>
            <w:tcW w:w="2551" w:type="dxa"/>
            <w:vAlign w:val="center"/>
          </w:tcPr>
          <w:p>
            <w:pPr>
              <w:pStyle w:val="15"/>
            </w:pPr>
            <w:r>
              <w:t>447.65</w:t>
            </w:r>
          </w:p>
        </w:tc>
        <w:tc>
          <w:tcPr>
            <w:tcW w:w="2551" w:type="dxa"/>
            <w:vAlign w:val="center"/>
          </w:tcPr>
          <w:p>
            <w:pPr>
              <w:pStyle w:val="15"/>
            </w:pPr>
            <w:r>
              <w:t>35.34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422.50</w:t>
            </w:r>
          </w:p>
        </w:tc>
        <w:tc>
          <w:tcPr>
            <w:tcW w:w="2551" w:type="dxa"/>
            <w:vAlign w:val="center"/>
          </w:tcPr>
          <w:p>
            <w:pPr>
              <w:pStyle w:val="11"/>
            </w:pPr>
            <w:r>
              <w:t>422.50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149.89</w:t>
            </w:r>
          </w:p>
        </w:tc>
        <w:tc>
          <w:tcPr>
            <w:tcW w:w="2551" w:type="dxa"/>
            <w:vAlign w:val="center"/>
          </w:tcPr>
          <w:p>
            <w:pPr>
              <w:pStyle w:val="11"/>
            </w:pPr>
            <w:r>
              <w:t>149.89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109.67</w:t>
            </w:r>
          </w:p>
        </w:tc>
        <w:tc>
          <w:tcPr>
            <w:tcW w:w="2551" w:type="dxa"/>
            <w:vAlign w:val="center"/>
          </w:tcPr>
          <w:p>
            <w:pPr>
              <w:pStyle w:val="11"/>
            </w:pPr>
            <w:r>
              <w:t>109.67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52.36</w:t>
            </w:r>
          </w:p>
        </w:tc>
        <w:tc>
          <w:tcPr>
            <w:tcW w:w="2551" w:type="dxa"/>
            <w:vAlign w:val="center"/>
          </w:tcPr>
          <w:p>
            <w:pPr>
              <w:pStyle w:val="11"/>
            </w:pPr>
            <w:r>
              <w:t>52.36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17.78</w:t>
            </w:r>
          </w:p>
        </w:tc>
        <w:tc>
          <w:tcPr>
            <w:tcW w:w="2551" w:type="dxa"/>
            <w:vAlign w:val="center"/>
          </w:tcPr>
          <w:p>
            <w:pPr>
              <w:pStyle w:val="11"/>
            </w:pPr>
            <w:r>
              <w:t>17.78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46.27</w:t>
            </w:r>
          </w:p>
        </w:tc>
        <w:tc>
          <w:tcPr>
            <w:tcW w:w="2551" w:type="dxa"/>
            <w:vAlign w:val="center"/>
          </w:tcPr>
          <w:p>
            <w:pPr>
              <w:pStyle w:val="11"/>
            </w:pPr>
            <w:r>
              <w:t>46.27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19.82</w:t>
            </w:r>
          </w:p>
        </w:tc>
        <w:tc>
          <w:tcPr>
            <w:tcW w:w="2551" w:type="dxa"/>
            <w:vAlign w:val="center"/>
          </w:tcPr>
          <w:p>
            <w:pPr>
              <w:pStyle w:val="11"/>
            </w:pPr>
            <w:r>
              <w:t>19.82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1.69</w:t>
            </w:r>
          </w:p>
        </w:tc>
        <w:tc>
          <w:tcPr>
            <w:tcW w:w="2551" w:type="dxa"/>
            <w:vAlign w:val="center"/>
          </w:tcPr>
          <w:p>
            <w:pPr>
              <w:pStyle w:val="11"/>
            </w:pPr>
            <w:r>
              <w:t>1.69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25.02</w:t>
            </w:r>
          </w:p>
        </w:tc>
        <w:tc>
          <w:tcPr>
            <w:tcW w:w="2551" w:type="dxa"/>
            <w:vAlign w:val="center"/>
          </w:tcPr>
          <w:p>
            <w:pPr>
              <w:pStyle w:val="11"/>
            </w:pPr>
            <w:r>
              <w:t>25.02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35.34</w:t>
            </w:r>
          </w:p>
        </w:tc>
        <w:tc>
          <w:tcPr>
            <w:tcW w:w="2551" w:type="dxa"/>
            <w:vAlign w:val="center"/>
          </w:tcPr>
          <w:p>
            <w:pPr>
              <w:pStyle w:val="11"/>
            </w:pPr>
          </w:p>
        </w:tc>
        <w:tc>
          <w:tcPr>
            <w:tcW w:w="2551" w:type="dxa"/>
            <w:vAlign w:val="center"/>
          </w:tcPr>
          <w:p>
            <w:pPr>
              <w:pStyle w:val="11"/>
            </w:pPr>
            <w:r>
              <w:t>35.34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20.34</w:t>
            </w:r>
          </w:p>
        </w:tc>
        <w:tc>
          <w:tcPr>
            <w:tcW w:w="2551" w:type="dxa"/>
            <w:vAlign w:val="center"/>
          </w:tcPr>
          <w:p>
            <w:pPr>
              <w:pStyle w:val="11"/>
            </w:pPr>
          </w:p>
        </w:tc>
        <w:tc>
          <w:tcPr>
            <w:tcW w:w="2551" w:type="dxa"/>
            <w:vAlign w:val="center"/>
          </w:tcPr>
          <w:p>
            <w:pPr>
              <w:pStyle w:val="11"/>
            </w:pPr>
            <w:r>
              <w:t>20.34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25.15</w:t>
            </w:r>
          </w:p>
        </w:tc>
        <w:tc>
          <w:tcPr>
            <w:tcW w:w="2551" w:type="dxa"/>
            <w:vAlign w:val="center"/>
          </w:tcPr>
          <w:p>
            <w:pPr>
              <w:pStyle w:val="11"/>
            </w:pPr>
            <w:r>
              <w:t>25.15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20.44</w:t>
            </w:r>
          </w:p>
        </w:tc>
        <w:tc>
          <w:tcPr>
            <w:tcW w:w="2551" w:type="dxa"/>
            <w:vAlign w:val="center"/>
          </w:tcPr>
          <w:p>
            <w:pPr>
              <w:pStyle w:val="11"/>
            </w:pPr>
            <w:r>
              <w:t>20.44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4.70</w:t>
            </w:r>
          </w:p>
        </w:tc>
        <w:tc>
          <w:tcPr>
            <w:tcW w:w="2551" w:type="dxa"/>
            <w:vAlign w:val="center"/>
          </w:tcPr>
          <w:p>
            <w:pPr>
              <w:pStyle w:val="11"/>
            </w:pPr>
            <w:r>
              <w:t>4.70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804001成安县漳河店镇政府机关本级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130.00</w:t>
            </w:r>
          </w:p>
        </w:tc>
        <w:tc>
          <w:tcPr>
            <w:tcW w:w="2551" w:type="dxa"/>
            <w:vAlign w:val="center"/>
          </w:tcPr>
          <w:p>
            <w:pPr>
              <w:pStyle w:val="15"/>
            </w:pPr>
          </w:p>
        </w:tc>
        <w:tc>
          <w:tcPr>
            <w:tcW w:w="2551" w:type="dxa"/>
            <w:vAlign w:val="center"/>
          </w:tcPr>
          <w:p>
            <w:pPr>
              <w:pStyle w:val="15"/>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130.00</w:t>
            </w:r>
          </w:p>
        </w:tc>
        <w:tc>
          <w:tcPr>
            <w:tcW w:w="2551" w:type="dxa"/>
            <w:vAlign w:val="center"/>
          </w:tcPr>
          <w:p>
            <w:pPr>
              <w:pStyle w:val="11"/>
            </w:pPr>
          </w:p>
        </w:tc>
        <w:tc>
          <w:tcPr>
            <w:tcW w:w="2551" w:type="dxa"/>
            <w:vAlign w:val="center"/>
          </w:tcPr>
          <w:p>
            <w:pPr>
              <w:pStyle w:val="11"/>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22960</w:t>
            </w:r>
          </w:p>
        </w:tc>
        <w:tc>
          <w:tcPr>
            <w:tcW w:w="4535" w:type="dxa"/>
            <w:vAlign w:val="center"/>
          </w:tcPr>
          <w:p>
            <w:pPr>
              <w:pStyle w:val="12"/>
            </w:pPr>
            <w:r>
              <w:t>彩票公益金安排的支出</w:t>
            </w:r>
          </w:p>
        </w:tc>
        <w:tc>
          <w:tcPr>
            <w:tcW w:w="2551" w:type="dxa"/>
            <w:vAlign w:val="center"/>
          </w:tcPr>
          <w:p>
            <w:pPr>
              <w:pStyle w:val="11"/>
            </w:pPr>
            <w:r>
              <w:t>130.00</w:t>
            </w:r>
          </w:p>
        </w:tc>
        <w:tc>
          <w:tcPr>
            <w:tcW w:w="2551" w:type="dxa"/>
            <w:vAlign w:val="center"/>
          </w:tcPr>
          <w:p>
            <w:pPr>
              <w:pStyle w:val="11"/>
            </w:pPr>
          </w:p>
        </w:tc>
        <w:tc>
          <w:tcPr>
            <w:tcW w:w="2551" w:type="dxa"/>
            <w:vAlign w:val="center"/>
          </w:tcPr>
          <w:p>
            <w:pPr>
              <w:pStyle w:val="11"/>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2296099</w:t>
            </w:r>
          </w:p>
        </w:tc>
        <w:tc>
          <w:tcPr>
            <w:tcW w:w="4535" w:type="dxa"/>
            <w:vAlign w:val="center"/>
          </w:tcPr>
          <w:p>
            <w:pPr>
              <w:pStyle w:val="12"/>
            </w:pPr>
            <w:r>
              <w:t>用于其他社会公益事业的彩票公益金支出</w:t>
            </w:r>
          </w:p>
        </w:tc>
        <w:tc>
          <w:tcPr>
            <w:tcW w:w="2551" w:type="dxa"/>
            <w:vAlign w:val="center"/>
          </w:tcPr>
          <w:p>
            <w:pPr>
              <w:pStyle w:val="11"/>
            </w:pPr>
            <w:r>
              <w:t>130.00</w:t>
            </w:r>
          </w:p>
        </w:tc>
        <w:tc>
          <w:tcPr>
            <w:tcW w:w="2551" w:type="dxa"/>
            <w:vAlign w:val="center"/>
          </w:tcPr>
          <w:p>
            <w:pPr>
              <w:pStyle w:val="11"/>
            </w:pPr>
          </w:p>
        </w:tc>
        <w:tc>
          <w:tcPr>
            <w:tcW w:w="2551" w:type="dxa"/>
            <w:vAlign w:val="center"/>
          </w:tcPr>
          <w:p>
            <w:pPr>
              <w:pStyle w:val="11"/>
            </w:pPr>
            <w:r>
              <w:t>130.00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804001成安县漳河店镇政府机关本级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804001成安县漳河店镇政府机关本级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rPr>
                <w:rFonts w:hint="default" w:eastAsia="方正书宋_GBK"/>
                <w:lang w:val="en-US" w:eastAsia="zh-CN"/>
              </w:rPr>
            </w:pPr>
            <w:r>
              <w:rPr>
                <w:rFonts w:hint="eastAsia"/>
                <w:lang w:val="en-US" w:eastAsia="zh-CN"/>
              </w:rPr>
              <w:t>694.37</w:t>
            </w:r>
          </w:p>
        </w:tc>
        <w:tc>
          <w:tcPr>
            <w:tcW w:w="2381" w:type="dxa"/>
            <w:vAlign w:val="center"/>
          </w:tcPr>
          <w:p>
            <w:pPr>
              <w:pStyle w:val="11"/>
              <w:rPr>
                <w:rFonts w:hint="default" w:eastAsia="方正书宋_GBK"/>
                <w:lang w:val="en-US" w:eastAsia="zh-CN"/>
              </w:rPr>
            </w:pPr>
            <w:r>
              <w:rPr>
                <w:rFonts w:hint="eastAsia"/>
                <w:lang w:val="en-US" w:eastAsia="zh-CN"/>
              </w:rPr>
              <w:t>694.37</w:t>
            </w:r>
          </w:p>
        </w:tc>
        <w:tc>
          <w:tcPr>
            <w:tcW w:w="2381" w:type="dxa"/>
            <w:vAlign w:val="center"/>
          </w:tcPr>
          <w:p>
            <w:pPr>
              <w:pStyle w:val="11"/>
              <w:rPr>
                <w:rFonts w:hint="eastAsia" w:eastAsia="方正书宋_GBK"/>
                <w:lang w:val="en-US" w:eastAsia="zh-CN"/>
              </w:rPr>
            </w:pPr>
            <w:r>
              <w:rPr>
                <w:rFonts w:hint="eastAsia"/>
                <w:lang w:val="en-US" w:eastAsia="zh-CN"/>
              </w:rPr>
              <w:t>0</w:t>
            </w:r>
          </w:p>
        </w:tc>
        <w:tc>
          <w:tcPr>
            <w:tcW w:w="2381" w:type="dxa"/>
            <w:vAlign w:val="center"/>
          </w:tcPr>
          <w:p>
            <w:pPr>
              <w:pStyle w:val="11"/>
              <w:rPr>
                <w:rFonts w:hint="eastAsia" w:eastAsia="方正书宋_GBK"/>
                <w:lang w:val="en-US" w:eastAsia="zh-CN"/>
              </w:rPr>
            </w:pPr>
            <w:r>
              <w:rPr>
                <w:rFonts w:hint="eastAsia"/>
                <w:lang w:val="en-US" w:eastAsia="zh-CN"/>
              </w:rPr>
              <w:t>0</w:t>
            </w: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成安县漳河店镇政府机关本级2026年单位预算信息公开情况说明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按照《中华人民共和国预算法》、《地方预决算公开操作规程》和《关于进一步推进预算公开工作的实施意见》规定，现将成安县漳河店镇政府机关本级2026年单位预算公开如下：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ind w:firstLine="600" w:firstLineChars="200"/>
        <w:rPr>
          <w:rFonts w:ascii="仿宋_GB2312" w:hAnsi="楷体" w:eastAsia="仿宋_GB2312"/>
          <w:sz w:val="32"/>
          <w:szCs w:val="32"/>
        </w:rPr>
      </w:pPr>
      <w:r>
        <w:rPr>
          <w:rFonts w:ascii="宋体" w:cs="宋体"/>
          <w:color w:val="000000"/>
          <w:sz w:val="30"/>
          <w:szCs w:val="30"/>
        </w:rPr>
        <w:t>1</w:t>
      </w:r>
      <w:r>
        <w:rPr>
          <w:rFonts w:hint="eastAsia" w:ascii="仿宋_GB2312" w:hAnsi="楷体" w:eastAsia="仿宋_GB2312"/>
          <w:sz w:val="32"/>
          <w:szCs w:val="32"/>
        </w:rPr>
        <w:t>、贯彻党的路线、方针、政策和上级党组织的指示、决定，执行镇党员代表大会党员大会决议，讨论决定本乡的重大问题。</w:t>
      </w:r>
    </w:p>
    <w:p>
      <w:pPr>
        <w:ind w:firstLine="640" w:firstLineChars="200"/>
        <w:rPr>
          <w:rFonts w:hint="eastAsia" w:ascii="仿宋_GB2312" w:hAnsi="楷体" w:eastAsia="仿宋_GB2312"/>
          <w:sz w:val="32"/>
          <w:szCs w:val="32"/>
          <w:lang w:eastAsia="zh-CN"/>
        </w:rPr>
      </w:pPr>
      <w:r>
        <w:rPr>
          <w:rFonts w:ascii="仿宋_GB2312" w:hAnsi="楷体" w:eastAsia="仿宋_GB2312"/>
          <w:sz w:val="32"/>
          <w:szCs w:val="32"/>
        </w:rPr>
        <w:t>2</w:t>
      </w:r>
      <w:r>
        <w:rPr>
          <w:rFonts w:hint="eastAsia" w:ascii="仿宋_GB2312" w:hAnsi="楷体" w:eastAsia="仿宋_GB2312"/>
          <w:sz w:val="32"/>
          <w:szCs w:val="32"/>
        </w:rPr>
        <w:t>、抓好镇党委和村级党组织的思想、组织和作风建设</w:t>
      </w:r>
      <w:r>
        <w:rPr>
          <w:rFonts w:hint="eastAsia" w:ascii="仿宋_GB2312" w:hAnsi="楷体" w:eastAsia="仿宋_GB2312"/>
          <w:sz w:val="32"/>
          <w:szCs w:val="32"/>
          <w:lang w:eastAsia="zh-CN"/>
        </w:rPr>
        <w:t>。</w:t>
      </w:r>
    </w:p>
    <w:p>
      <w:pPr>
        <w:ind w:firstLine="640" w:firstLineChars="200"/>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、领导镇经济建设，引导农村富余劳动力向小城镇转移，促进农村的现代化建设。制定本镇经济和社会发展规划并组织实施。</w:t>
      </w:r>
    </w:p>
    <w:p>
      <w:pPr>
        <w:ind w:firstLine="640" w:firstLineChars="200"/>
        <w:rPr>
          <w:rFonts w:ascii="仿宋_GB2312" w:hAnsi="楷体" w:eastAsia="仿宋_GB2312"/>
          <w:sz w:val="32"/>
          <w:szCs w:val="32"/>
        </w:rPr>
      </w:pPr>
      <w:r>
        <w:rPr>
          <w:rFonts w:ascii="仿宋_GB2312" w:hAnsi="楷体" w:eastAsia="仿宋_GB2312"/>
          <w:sz w:val="32"/>
          <w:szCs w:val="32"/>
        </w:rPr>
        <w:t>4</w:t>
      </w:r>
      <w:r>
        <w:rPr>
          <w:rFonts w:hint="eastAsia" w:ascii="仿宋_GB2312" w:hAnsi="楷体" w:eastAsia="仿宋_GB2312"/>
          <w:sz w:val="32"/>
          <w:szCs w:val="32"/>
        </w:rPr>
        <w:t>、加强农村社会主义民主政治和法治建设，依法行政，规范管理。加强农村社会治安综合治理。贯彻执行党和国家的计划生育政策。</w:t>
      </w:r>
    </w:p>
    <w:p>
      <w:pPr>
        <w:ind w:firstLine="640" w:firstLineChars="200"/>
        <w:rPr>
          <w:rFonts w:ascii="仿宋_GB2312" w:hAnsi="楷体" w:eastAsia="仿宋_GB2312"/>
          <w:sz w:val="32"/>
          <w:szCs w:val="32"/>
        </w:rPr>
      </w:pPr>
      <w:r>
        <w:rPr>
          <w:rFonts w:ascii="仿宋_GB2312" w:hAnsi="楷体" w:eastAsia="仿宋_GB2312"/>
          <w:sz w:val="32"/>
          <w:szCs w:val="32"/>
        </w:rPr>
        <w:t>5</w:t>
      </w:r>
      <w:r>
        <w:rPr>
          <w:rFonts w:hint="eastAsia" w:ascii="仿宋_GB2312" w:hAnsi="楷体" w:eastAsia="仿宋_GB2312"/>
          <w:sz w:val="32"/>
          <w:szCs w:val="32"/>
        </w:rPr>
        <w:t>、领导并支持镇政府依法行使各项行政管理职权。</w:t>
      </w:r>
    </w:p>
    <w:p>
      <w:pPr>
        <w:ind w:firstLine="640" w:firstLineChars="200"/>
        <w:rPr>
          <w:rFonts w:ascii="仿宋_GB2312" w:hAnsi="楷体" w:eastAsia="仿宋_GB2312"/>
          <w:sz w:val="32"/>
          <w:szCs w:val="32"/>
        </w:rPr>
      </w:pPr>
      <w:r>
        <w:rPr>
          <w:rFonts w:ascii="仿宋_GB2312" w:hAnsi="楷体" w:eastAsia="仿宋_GB2312"/>
          <w:sz w:val="32"/>
          <w:szCs w:val="32"/>
        </w:rPr>
        <w:t>6</w:t>
      </w:r>
      <w:r>
        <w:rPr>
          <w:rFonts w:hint="eastAsia" w:ascii="仿宋_GB2312" w:hAnsi="楷体" w:eastAsia="仿宋_GB2312"/>
          <w:sz w:val="32"/>
          <w:szCs w:val="32"/>
        </w:rPr>
        <w:t>、领导人大主席团及经济组织、人民武装和共青团、妇联等人民团体的工作。</w:t>
      </w:r>
    </w:p>
    <w:p>
      <w:pPr>
        <w:ind w:firstLine="640" w:firstLineChars="200"/>
        <w:rPr>
          <w:rFonts w:ascii="仿宋_GB2312" w:hAnsi="楷体" w:eastAsia="仿宋_GB2312"/>
          <w:sz w:val="32"/>
          <w:szCs w:val="32"/>
        </w:rPr>
      </w:pPr>
      <w:r>
        <w:rPr>
          <w:rFonts w:ascii="仿宋_GB2312" w:hAnsi="楷体" w:eastAsia="仿宋_GB2312"/>
          <w:sz w:val="32"/>
          <w:szCs w:val="32"/>
        </w:rPr>
        <w:t>7</w:t>
      </w:r>
      <w:r>
        <w:rPr>
          <w:rFonts w:hint="eastAsia" w:ascii="仿宋_GB2312" w:hAnsi="楷体" w:eastAsia="仿宋_GB2312"/>
          <w:sz w:val="32"/>
          <w:szCs w:val="32"/>
        </w:rPr>
        <w:t>、抓好上级有关部门派驻</w:t>
      </w:r>
      <w:r>
        <w:rPr>
          <w:rFonts w:hint="eastAsia" w:ascii="仿宋_GB2312" w:hAnsi="楷体" w:eastAsia="仿宋_GB2312"/>
          <w:sz w:val="32"/>
          <w:szCs w:val="32"/>
          <w:lang w:eastAsia="zh-CN"/>
        </w:rPr>
        <w:t>镇</w:t>
      </w:r>
      <w:r>
        <w:rPr>
          <w:rFonts w:hint="eastAsia" w:ascii="仿宋_GB2312" w:hAnsi="楷体" w:eastAsia="仿宋_GB2312"/>
          <w:sz w:val="32"/>
          <w:szCs w:val="32"/>
        </w:rPr>
        <w:t>里的工作</w:t>
      </w:r>
      <w:r>
        <w:rPr>
          <w:rFonts w:hint="eastAsia" w:ascii="仿宋_GB2312" w:hAnsi="楷体" w:eastAsia="仿宋_GB2312"/>
          <w:sz w:val="32"/>
          <w:szCs w:val="32"/>
          <w:lang w:eastAsia="zh-CN"/>
        </w:rPr>
        <w:t>，</w:t>
      </w:r>
      <w:r>
        <w:rPr>
          <w:rFonts w:hint="eastAsia" w:ascii="仿宋_GB2312" w:hAnsi="楷体" w:eastAsia="仿宋_GB2312"/>
          <w:sz w:val="32"/>
          <w:szCs w:val="32"/>
        </w:rPr>
        <w:t>承办上级人民政府交办的其他事项</w:t>
      </w:r>
      <w:r>
        <w:rPr>
          <w:rFonts w:hint="eastAsia" w:ascii="仿宋_GB2312" w:hAnsi="楷体" w:eastAsia="仿宋_GB2312"/>
          <w:sz w:val="32"/>
          <w:szCs w:val="32"/>
          <w:lang w:eastAsia="zh-CN"/>
        </w:rPr>
        <w:t>，</w:t>
      </w:r>
      <w:r>
        <w:rPr>
          <w:rFonts w:hint="eastAsia" w:ascii="仿宋_GB2312" w:hAnsi="楷体" w:eastAsia="仿宋_GB2312"/>
          <w:sz w:val="32"/>
          <w:szCs w:val="32"/>
        </w:rPr>
        <w:t>完成上级党组织交办的其他任务。</w:t>
      </w:r>
    </w:p>
    <w:p>
      <w:pPr>
        <w:ind w:firstLine="640" w:firstLineChars="200"/>
        <w:rPr>
          <w:rFonts w:ascii="仿宋_GB2312" w:hAnsi="楷体" w:eastAsia="仿宋_GB2312"/>
          <w:sz w:val="32"/>
          <w:szCs w:val="32"/>
        </w:rPr>
      </w:pPr>
      <w:r>
        <w:rPr>
          <w:rFonts w:ascii="仿宋_GB2312" w:hAnsi="楷体" w:eastAsia="仿宋_GB2312"/>
          <w:sz w:val="32"/>
          <w:szCs w:val="32"/>
        </w:rPr>
        <w:t>8</w:t>
      </w:r>
      <w:r>
        <w:rPr>
          <w:rFonts w:hint="eastAsia" w:ascii="仿宋_GB2312" w:hAnsi="楷体" w:eastAsia="仿宋_GB2312"/>
          <w:sz w:val="32"/>
          <w:szCs w:val="32"/>
        </w:rPr>
        <w:t>、依法管理镇财政，负责本级财政预决算。</w:t>
      </w:r>
    </w:p>
    <w:p>
      <w:pPr>
        <w:ind w:firstLine="640" w:firstLineChars="200"/>
        <w:rPr>
          <w:rFonts w:ascii="仿宋_GB2312" w:hAnsi="楷体" w:eastAsia="仿宋_GB2312"/>
          <w:sz w:val="32"/>
          <w:szCs w:val="32"/>
        </w:rPr>
      </w:pPr>
      <w:r>
        <w:rPr>
          <w:rFonts w:ascii="仿宋_GB2312" w:hAnsi="楷体" w:eastAsia="仿宋_GB2312"/>
          <w:sz w:val="32"/>
          <w:szCs w:val="32"/>
        </w:rPr>
        <w:t>9</w:t>
      </w:r>
      <w:r>
        <w:rPr>
          <w:rFonts w:hint="eastAsia" w:ascii="仿宋_GB2312" w:hAnsi="楷体" w:eastAsia="仿宋_GB2312"/>
          <w:sz w:val="32"/>
          <w:szCs w:val="32"/>
        </w:rPr>
        <w:t>、制定本行政和区域内的经济和社会发展计划，大力培育、发展各类经济服务实体和社会中介组织，推动农村社会化服务体系的发展与完善。</w:t>
      </w:r>
    </w:p>
    <w:p>
      <w:pPr>
        <w:ind w:firstLine="640" w:firstLineChars="200"/>
        <w:rPr>
          <w:rFonts w:ascii="仿宋_GB2312" w:hAnsi="楷体" w:eastAsia="仿宋_GB2312"/>
          <w:sz w:val="32"/>
          <w:szCs w:val="32"/>
        </w:rPr>
      </w:pPr>
      <w:r>
        <w:rPr>
          <w:rFonts w:ascii="仿宋_GB2312" w:hAnsi="楷体" w:eastAsia="仿宋_GB2312"/>
          <w:sz w:val="32"/>
          <w:szCs w:val="32"/>
        </w:rPr>
        <w:t>10</w:t>
      </w:r>
      <w:r>
        <w:rPr>
          <w:rFonts w:hint="eastAsia" w:ascii="仿宋_GB2312" w:hAnsi="楷体" w:eastAsia="仿宋_GB2312"/>
          <w:sz w:val="32"/>
          <w:szCs w:val="32"/>
        </w:rPr>
        <w:t>、加强土地管理、镇村规划建设、生态和生活环境管理与保护。</w:t>
      </w:r>
    </w:p>
    <w:p>
      <w:pPr>
        <w:ind w:firstLine="640" w:firstLineChars="200"/>
        <w:rPr>
          <w:rFonts w:ascii="仿宋_GB2312" w:hAnsi="楷体" w:eastAsia="仿宋_GB2312"/>
          <w:sz w:val="32"/>
          <w:szCs w:val="32"/>
        </w:rPr>
      </w:pPr>
      <w:r>
        <w:rPr>
          <w:rFonts w:ascii="仿宋_GB2312" w:hAnsi="楷体" w:eastAsia="仿宋_GB2312"/>
          <w:sz w:val="32"/>
          <w:szCs w:val="32"/>
        </w:rPr>
        <w:t>11</w:t>
      </w:r>
      <w:r>
        <w:rPr>
          <w:rFonts w:hint="eastAsia" w:ascii="仿宋_GB2312" w:hAnsi="楷体" w:eastAsia="仿宋_GB2312"/>
          <w:sz w:val="32"/>
          <w:szCs w:val="32"/>
        </w:rPr>
        <w:t>、管理民政工作，搞好社会福利事业，推行农村社会养老保险工作。</w:t>
      </w:r>
    </w:p>
    <w:p>
      <w:pPr>
        <w:ind w:firstLine="640" w:firstLineChars="200"/>
        <w:rPr>
          <w:rFonts w:ascii="仿宋_GB2312" w:hAnsi="楷体" w:eastAsia="仿宋_GB2312"/>
          <w:sz w:val="32"/>
          <w:szCs w:val="32"/>
        </w:rPr>
      </w:pPr>
      <w:r>
        <w:rPr>
          <w:rFonts w:ascii="仿宋_GB2312" w:hAnsi="楷体" w:eastAsia="仿宋_GB2312"/>
          <w:sz w:val="32"/>
          <w:szCs w:val="32"/>
        </w:rPr>
        <w:t>12</w:t>
      </w:r>
      <w:r>
        <w:rPr>
          <w:rFonts w:hint="eastAsia" w:ascii="仿宋_GB2312" w:hAnsi="楷体" w:eastAsia="仿宋_GB2312"/>
          <w:sz w:val="32"/>
          <w:szCs w:val="32"/>
        </w:rPr>
        <w:t>、管理和发展文化教育、农业技术、广播、文化、体育、卫生等事业。</w:t>
      </w:r>
    </w:p>
    <w:p>
      <w:pPr>
        <w:ind w:firstLine="640" w:firstLineChars="200"/>
        <w:rPr>
          <w:rFonts w:ascii="仿宋_GB2312" w:hAnsi="楷体" w:eastAsia="仿宋_GB2312"/>
          <w:sz w:val="32"/>
          <w:szCs w:val="32"/>
        </w:rPr>
      </w:pPr>
      <w:r>
        <w:rPr>
          <w:rFonts w:ascii="仿宋_GB2312" w:hAnsi="楷体" w:eastAsia="仿宋_GB2312"/>
          <w:sz w:val="32"/>
          <w:szCs w:val="32"/>
        </w:rPr>
        <w:t>13</w:t>
      </w:r>
      <w:r>
        <w:rPr>
          <w:rFonts w:hint="eastAsia" w:ascii="仿宋_GB2312" w:hAnsi="楷体" w:eastAsia="仿宋_GB2312"/>
          <w:sz w:val="32"/>
          <w:szCs w:val="32"/>
        </w:rPr>
        <w:t>、加强社会治安，调解民事纠纷</w:t>
      </w:r>
      <w:r>
        <w:rPr>
          <w:rFonts w:hint="eastAsia" w:ascii="仿宋_GB2312" w:hAnsi="楷体" w:eastAsia="仿宋_GB2312"/>
          <w:sz w:val="32"/>
          <w:szCs w:val="32"/>
          <w:lang w:eastAsia="zh-CN"/>
        </w:rPr>
        <w:t>，</w:t>
      </w:r>
      <w:r>
        <w:rPr>
          <w:rFonts w:hint="eastAsia" w:ascii="仿宋_GB2312" w:hAnsi="楷体" w:eastAsia="仿宋_GB2312"/>
          <w:sz w:val="32"/>
          <w:szCs w:val="32"/>
        </w:rPr>
        <w:t>保护妇女、儿童和老年人的合法权益。</w:t>
      </w:r>
    </w:p>
    <w:p>
      <w:pPr>
        <w:ind w:firstLine="640" w:firstLineChars="200"/>
        <w:rPr>
          <w:rFonts w:ascii="仿宋_GB2312" w:hAnsi="楷体" w:eastAsia="仿宋_GB2312"/>
          <w:sz w:val="32"/>
          <w:szCs w:val="32"/>
        </w:rPr>
      </w:pPr>
      <w:r>
        <w:rPr>
          <w:rFonts w:ascii="仿宋_GB2312" w:hAnsi="楷体" w:eastAsia="仿宋_GB2312"/>
          <w:sz w:val="32"/>
          <w:szCs w:val="32"/>
        </w:rPr>
        <w:t>14</w:t>
      </w:r>
      <w:r>
        <w:rPr>
          <w:rFonts w:hint="eastAsia" w:ascii="仿宋_GB2312" w:hAnsi="楷体" w:eastAsia="仿宋_GB2312"/>
          <w:sz w:val="32"/>
          <w:szCs w:val="32"/>
        </w:rPr>
        <w:t>、开展社会主义民主法制教育，协调管理本区域内的司法、公安、工商、税务、交通、邮电和电力排灌、金融等部门的工作。</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autoSpaceDE w:val="0"/>
        <w:autoSpaceDN w:val="0"/>
        <w:adjustRightInd w:val="0"/>
        <w:ind w:firstLine="642"/>
        <w:rPr>
          <w:rFonts w:ascii="仿宋" w:hAnsi="仿宋" w:eastAsia="仿宋" w:cs="仿宋_GB2312"/>
          <w:bCs/>
          <w:sz w:val="32"/>
          <w:szCs w:val="32"/>
        </w:rPr>
      </w:pPr>
      <w:r>
        <w:rPr>
          <w:rFonts w:hint="eastAsia" w:ascii="仿宋" w:hAnsi="仿宋" w:eastAsia="仿宋" w:cs="仿宋_GB2312"/>
          <w:bCs/>
          <w:sz w:val="32"/>
          <w:szCs w:val="32"/>
        </w:rPr>
        <w:t>成安县</w:t>
      </w:r>
      <w:r>
        <w:rPr>
          <w:rFonts w:hint="eastAsia" w:ascii="仿宋" w:hAnsi="仿宋" w:eastAsia="仿宋" w:cs="仿宋_GB2312"/>
          <w:bCs/>
          <w:sz w:val="32"/>
          <w:szCs w:val="32"/>
          <w:lang w:eastAsia="zh-CN"/>
        </w:rPr>
        <w:t>漳河店</w:t>
      </w:r>
      <w:r>
        <w:rPr>
          <w:rFonts w:hint="eastAsia" w:ascii="仿宋" w:hAnsi="仿宋" w:eastAsia="仿宋" w:cs="仿宋_GB2312"/>
          <w:bCs/>
          <w:sz w:val="32"/>
          <w:szCs w:val="32"/>
        </w:rPr>
        <w:t>镇人民政府，预算编码是</w:t>
      </w:r>
      <w:r>
        <w:rPr>
          <w:rFonts w:hint="eastAsia" w:ascii="仿宋" w:hAnsi="仿宋" w:eastAsia="仿宋" w:cs="仿宋_GB2312"/>
          <w:bCs/>
          <w:sz w:val="32"/>
          <w:szCs w:val="32"/>
          <w:lang w:eastAsia="zh-CN"/>
        </w:rPr>
        <w:t>804002</w:t>
      </w:r>
      <w:r>
        <w:rPr>
          <w:rFonts w:hint="eastAsia" w:ascii="仿宋" w:hAnsi="仿宋" w:eastAsia="仿宋" w:cs="仿宋_GB2312"/>
          <w:bCs/>
          <w:sz w:val="32"/>
          <w:szCs w:val="32"/>
        </w:rPr>
        <w:t>，内设</w:t>
      </w:r>
      <w:r>
        <w:rPr>
          <w:rFonts w:hint="eastAsia" w:ascii="仿宋" w:hAnsi="仿宋" w:eastAsia="仿宋" w:cs="仿宋_GB2312"/>
          <w:bCs/>
          <w:sz w:val="32"/>
          <w:szCs w:val="32"/>
          <w:lang w:eastAsia="zh-CN"/>
        </w:rPr>
        <w:t>9</w:t>
      </w:r>
      <w:r>
        <w:rPr>
          <w:rFonts w:hint="eastAsia" w:ascii="仿宋" w:hAnsi="仿宋" w:eastAsia="仿宋" w:cs="仿宋_GB2312"/>
          <w:bCs/>
          <w:sz w:val="32"/>
          <w:szCs w:val="32"/>
        </w:rPr>
        <w:t>个内部机构.</w:t>
      </w:r>
    </w:p>
    <w:tbl>
      <w:tblPr>
        <w:tblStyle w:val="4"/>
        <w:tblW w:w="86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17"/>
        <w:gridCol w:w="1134"/>
        <w:gridCol w:w="1276"/>
        <w:gridCol w:w="29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3317" w:type="dxa"/>
            <w:vMerge w:val="restart"/>
            <w:vAlign w:val="center"/>
          </w:tcPr>
          <w:p>
            <w:pPr>
              <w:jc w:val="center"/>
              <w:rPr>
                <w:b/>
                <w:bCs/>
              </w:rPr>
            </w:pPr>
            <w:r>
              <w:rPr>
                <w:rFonts w:hint="eastAsia" w:ascii="宋体" w:hAnsi="宋体" w:cs="宋体"/>
                <w:b/>
                <w:bCs/>
              </w:rPr>
              <w:t>单位名称</w:t>
            </w:r>
          </w:p>
        </w:tc>
        <w:tc>
          <w:tcPr>
            <w:tcW w:w="1134" w:type="dxa"/>
            <w:vMerge w:val="restart"/>
            <w:vAlign w:val="center"/>
          </w:tcPr>
          <w:p>
            <w:pPr>
              <w:rPr>
                <w:b/>
                <w:bCs/>
              </w:rPr>
            </w:pPr>
            <w:r>
              <w:rPr>
                <w:rFonts w:hint="eastAsia"/>
                <w:b/>
                <w:bCs/>
              </w:rPr>
              <w:t>单位性质</w:t>
            </w:r>
          </w:p>
        </w:tc>
        <w:tc>
          <w:tcPr>
            <w:tcW w:w="1276" w:type="dxa"/>
            <w:vMerge w:val="restart"/>
            <w:vAlign w:val="center"/>
          </w:tcPr>
          <w:p>
            <w:pPr>
              <w:jc w:val="center"/>
              <w:rPr>
                <w:b/>
                <w:bCs/>
              </w:rPr>
            </w:pPr>
            <w:r>
              <w:rPr>
                <w:rFonts w:hint="eastAsia" w:ascii="宋体" w:hAnsi="宋体" w:cs="宋体"/>
                <w:b/>
                <w:bCs/>
              </w:rPr>
              <w:t>单位规格</w:t>
            </w:r>
          </w:p>
        </w:tc>
        <w:tc>
          <w:tcPr>
            <w:tcW w:w="2902" w:type="dxa"/>
            <w:vMerge w:val="restart"/>
            <w:vAlign w:val="center"/>
          </w:tcPr>
          <w:p>
            <w:pPr>
              <w:jc w:val="center"/>
              <w:rPr>
                <w:b/>
                <w:bCs/>
              </w:rPr>
            </w:pPr>
            <w:r>
              <w:rPr>
                <w:rFonts w:hint="eastAsia" w:ascii="宋体" w:hAnsi="宋体" w:cs="宋体"/>
                <w:b/>
                <w:bCs/>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3317" w:type="dxa"/>
            <w:vMerge w:val="continue"/>
            <w:vAlign w:val="center"/>
          </w:tcPr>
          <w:p>
            <w:pPr>
              <w:spacing w:line="300" w:lineRule="exact"/>
              <w:jc w:val="center"/>
              <w:outlineLvl w:val="0"/>
              <w:rPr>
                <w:rFonts w:ascii="宋体" w:cs="宋体"/>
                <w:szCs w:val="21"/>
              </w:rPr>
            </w:pPr>
          </w:p>
        </w:tc>
        <w:tc>
          <w:tcPr>
            <w:tcW w:w="1134" w:type="dxa"/>
            <w:vMerge w:val="continue"/>
            <w:vAlign w:val="center"/>
          </w:tcPr>
          <w:p>
            <w:pPr>
              <w:spacing w:line="300" w:lineRule="exact"/>
              <w:jc w:val="center"/>
              <w:outlineLvl w:val="0"/>
              <w:rPr>
                <w:rFonts w:ascii="宋体" w:cs="宋体"/>
                <w:szCs w:val="21"/>
              </w:rPr>
            </w:pPr>
          </w:p>
        </w:tc>
        <w:tc>
          <w:tcPr>
            <w:tcW w:w="1276" w:type="dxa"/>
            <w:vMerge w:val="continue"/>
            <w:vAlign w:val="center"/>
          </w:tcPr>
          <w:p>
            <w:pPr>
              <w:spacing w:line="300" w:lineRule="exact"/>
              <w:jc w:val="center"/>
              <w:outlineLvl w:val="0"/>
              <w:rPr>
                <w:rFonts w:ascii="宋体" w:cs="宋体"/>
                <w:szCs w:val="21"/>
              </w:rPr>
            </w:pPr>
          </w:p>
        </w:tc>
        <w:tc>
          <w:tcPr>
            <w:tcW w:w="2902" w:type="dxa"/>
            <w:vMerge w:val="continue"/>
            <w:vAlign w:val="center"/>
          </w:tcPr>
          <w:p>
            <w:pPr>
              <w:spacing w:line="300" w:lineRule="exact"/>
              <w:jc w:val="center"/>
              <w:outlineLvl w:val="0"/>
              <w:rPr>
                <w:rFonts w:asci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6" w:hRule="atLeast"/>
          <w:jc w:val="center"/>
        </w:trPr>
        <w:tc>
          <w:tcPr>
            <w:tcW w:w="3317" w:type="dxa"/>
            <w:vAlign w:val="center"/>
          </w:tcPr>
          <w:p>
            <w:pPr>
              <w:spacing w:line="300" w:lineRule="exact"/>
              <w:jc w:val="center"/>
              <w:rPr>
                <w:rFonts w:ascii="宋体" w:cs="宋体"/>
                <w:szCs w:val="21"/>
              </w:rPr>
            </w:pPr>
            <w:r>
              <w:rPr>
                <w:rFonts w:hint="eastAsia" w:ascii="宋体" w:hAnsi="宋体" w:cs="宋体"/>
                <w:szCs w:val="21"/>
                <w:lang w:eastAsia="zh-CN"/>
              </w:rPr>
              <w:t>漳河店</w:t>
            </w:r>
            <w:r>
              <w:rPr>
                <w:rFonts w:hint="eastAsia" w:ascii="宋体" w:hAnsi="宋体" w:cs="宋体"/>
                <w:szCs w:val="21"/>
              </w:rPr>
              <w:t>镇政府机关</w:t>
            </w:r>
          </w:p>
        </w:tc>
        <w:tc>
          <w:tcPr>
            <w:tcW w:w="1134" w:type="dxa"/>
            <w:vAlign w:val="center"/>
          </w:tcPr>
          <w:p>
            <w:pPr>
              <w:spacing w:line="300" w:lineRule="exact"/>
              <w:jc w:val="center"/>
              <w:rPr>
                <w:rFonts w:ascii="宋体" w:cs="宋体"/>
                <w:szCs w:val="21"/>
              </w:rPr>
            </w:pPr>
            <w:r>
              <w:rPr>
                <w:rFonts w:hint="eastAsia" w:ascii="宋体" w:hAnsi="宋体" w:cs="宋体"/>
                <w:szCs w:val="21"/>
              </w:rPr>
              <w:t>行政</w:t>
            </w:r>
          </w:p>
        </w:tc>
        <w:tc>
          <w:tcPr>
            <w:tcW w:w="1276" w:type="dxa"/>
            <w:vAlign w:val="center"/>
          </w:tcPr>
          <w:p>
            <w:pPr>
              <w:spacing w:line="300" w:lineRule="exact"/>
              <w:jc w:val="center"/>
              <w:rPr>
                <w:rFonts w:ascii="宋体" w:cs="宋体"/>
                <w:szCs w:val="21"/>
              </w:rPr>
            </w:pPr>
            <w:r>
              <w:rPr>
                <w:rFonts w:hint="eastAsia" w:ascii="宋体" w:hAnsi="宋体" w:cs="宋体"/>
                <w:szCs w:val="21"/>
              </w:rPr>
              <w:t>正科级</w:t>
            </w:r>
          </w:p>
        </w:tc>
        <w:tc>
          <w:tcPr>
            <w:tcW w:w="2902" w:type="dxa"/>
            <w:vAlign w:val="center"/>
          </w:tcPr>
          <w:p>
            <w:pPr>
              <w:spacing w:line="300" w:lineRule="exact"/>
              <w:jc w:val="center"/>
              <w:rPr>
                <w:rFonts w:ascii="宋体" w:cs="宋体"/>
                <w:szCs w:val="21"/>
              </w:rPr>
            </w:pPr>
            <w:r>
              <w:rPr>
                <w:rFonts w:hint="eastAsia" w:ascii="宋体" w:hAnsi="宋体" w:cs="宋体"/>
                <w:szCs w:val="21"/>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jc w:val="center"/>
        </w:trPr>
        <w:tc>
          <w:tcPr>
            <w:tcW w:w="3317" w:type="dxa"/>
            <w:vAlign w:val="center"/>
          </w:tcPr>
          <w:p>
            <w:pPr>
              <w:spacing w:line="300" w:lineRule="exact"/>
              <w:jc w:val="center"/>
              <w:rPr>
                <w:rFonts w:ascii="宋体" w:cs="宋体"/>
                <w:szCs w:val="21"/>
                <w:lang w:eastAsia="zh-CN"/>
              </w:rPr>
            </w:pPr>
            <w:r>
              <w:rPr>
                <w:rFonts w:hint="eastAsia" w:ascii="宋体" w:hAnsi="宋体" w:cs="宋体"/>
                <w:color w:val="000000"/>
                <w:szCs w:val="21"/>
                <w:lang w:eastAsia="zh-CN"/>
              </w:rPr>
              <w:t>党政</w:t>
            </w:r>
            <w:r>
              <w:rPr>
                <w:rFonts w:hint="eastAsia" w:ascii="宋体" w:hAnsi="宋体" w:cs="宋体"/>
                <w:color w:val="000000"/>
                <w:szCs w:val="21"/>
              </w:rPr>
              <w:t>综合</w:t>
            </w:r>
            <w:r>
              <w:rPr>
                <w:rFonts w:hint="eastAsia" w:ascii="宋体" w:hAnsi="宋体" w:cs="宋体"/>
                <w:color w:val="000000"/>
                <w:szCs w:val="21"/>
                <w:lang w:eastAsia="zh-CN"/>
              </w:rPr>
              <w:t>办公室</w:t>
            </w:r>
          </w:p>
        </w:tc>
        <w:tc>
          <w:tcPr>
            <w:tcW w:w="1134" w:type="dxa"/>
            <w:vAlign w:val="center"/>
          </w:tcPr>
          <w:p>
            <w:pPr>
              <w:spacing w:line="300" w:lineRule="exact"/>
              <w:jc w:val="center"/>
              <w:rPr>
                <w:rFonts w:ascii="宋体" w:cs="宋体"/>
                <w:szCs w:val="21"/>
              </w:rPr>
            </w:pPr>
            <w:r>
              <w:rPr>
                <w:rFonts w:hint="eastAsia" w:ascii="宋体" w:hAnsi="宋体" w:cs="宋体"/>
                <w:szCs w:val="21"/>
              </w:rPr>
              <w:t>事业</w:t>
            </w:r>
          </w:p>
        </w:tc>
        <w:tc>
          <w:tcPr>
            <w:tcW w:w="1276" w:type="dxa"/>
            <w:vAlign w:val="center"/>
          </w:tcPr>
          <w:p>
            <w:pPr>
              <w:spacing w:line="300" w:lineRule="exact"/>
              <w:jc w:val="center"/>
              <w:rPr>
                <w:rFonts w:ascii="宋体" w:cs="宋体"/>
                <w:szCs w:val="21"/>
              </w:rPr>
            </w:pPr>
            <w:r>
              <w:rPr>
                <w:rFonts w:hint="eastAsia" w:ascii="宋体" w:hAnsi="宋体" w:cs="宋体"/>
                <w:szCs w:val="21"/>
              </w:rPr>
              <w:t>股级</w:t>
            </w:r>
          </w:p>
        </w:tc>
        <w:tc>
          <w:tcPr>
            <w:tcW w:w="2902" w:type="dxa"/>
            <w:vAlign w:val="center"/>
          </w:tcPr>
          <w:p>
            <w:pPr>
              <w:spacing w:line="300" w:lineRule="exact"/>
              <w:jc w:val="center"/>
              <w:rPr>
                <w:rFonts w:ascii="宋体" w:cs="宋体"/>
                <w:szCs w:val="21"/>
              </w:rPr>
            </w:pPr>
            <w:r>
              <w:rPr>
                <w:rFonts w:hint="eastAsia" w:ascii="宋体" w:hAnsi="宋体" w:cs="宋体"/>
                <w:szCs w:val="21"/>
              </w:rPr>
              <w:t>财政性资金零补助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3317" w:type="dxa"/>
            <w:vAlign w:val="center"/>
          </w:tcPr>
          <w:p>
            <w:pPr>
              <w:spacing w:line="300" w:lineRule="exact"/>
              <w:jc w:val="center"/>
              <w:rPr>
                <w:rFonts w:ascii="宋体" w:cs="宋体"/>
                <w:szCs w:val="21"/>
                <w:lang w:eastAsia="zh-CN"/>
              </w:rPr>
            </w:pPr>
            <w:r>
              <w:rPr>
                <w:rFonts w:hint="eastAsia" w:ascii="宋体" w:cs="宋体"/>
                <w:szCs w:val="21"/>
                <w:lang w:eastAsia="zh-CN"/>
              </w:rPr>
              <w:t>党建工作办公室</w:t>
            </w:r>
          </w:p>
        </w:tc>
        <w:tc>
          <w:tcPr>
            <w:tcW w:w="1134" w:type="dxa"/>
            <w:vAlign w:val="center"/>
          </w:tcPr>
          <w:p>
            <w:pPr>
              <w:spacing w:line="300" w:lineRule="exact"/>
              <w:jc w:val="center"/>
              <w:rPr>
                <w:rFonts w:ascii="宋体" w:cs="宋体"/>
                <w:szCs w:val="21"/>
              </w:rPr>
            </w:pPr>
            <w:r>
              <w:rPr>
                <w:rFonts w:hint="eastAsia" w:ascii="宋体" w:hAnsi="宋体" w:cs="宋体"/>
                <w:szCs w:val="21"/>
              </w:rPr>
              <w:t>事业</w:t>
            </w:r>
          </w:p>
        </w:tc>
        <w:tc>
          <w:tcPr>
            <w:tcW w:w="1276" w:type="dxa"/>
            <w:vAlign w:val="center"/>
          </w:tcPr>
          <w:p>
            <w:pPr>
              <w:spacing w:line="300" w:lineRule="exact"/>
              <w:jc w:val="center"/>
              <w:rPr>
                <w:rFonts w:ascii="宋体" w:cs="宋体"/>
                <w:szCs w:val="21"/>
              </w:rPr>
            </w:pPr>
            <w:r>
              <w:rPr>
                <w:rFonts w:hint="eastAsia" w:ascii="宋体" w:hAnsi="宋体" w:cs="宋体"/>
                <w:szCs w:val="21"/>
              </w:rPr>
              <w:t>股级</w:t>
            </w:r>
          </w:p>
        </w:tc>
        <w:tc>
          <w:tcPr>
            <w:tcW w:w="2902" w:type="dxa"/>
            <w:vAlign w:val="center"/>
          </w:tcPr>
          <w:p>
            <w:pPr>
              <w:spacing w:line="300" w:lineRule="exact"/>
              <w:jc w:val="center"/>
              <w:rPr>
                <w:rFonts w:ascii="宋体" w:cs="宋体"/>
                <w:szCs w:val="21"/>
              </w:rPr>
            </w:pPr>
            <w:r>
              <w:rPr>
                <w:rFonts w:hint="eastAsia" w:ascii="宋体" w:hAnsi="宋体" w:cs="宋体"/>
                <w:szCs w:val="21"/>
              </w:rPr>
              <w:t>财政性资金补助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1" w:hRule="atLeast"/>
          <w:jc w:val="center"/>
        </w:trPr>
        <w:tc>
          <w:tcPr>
            <w:tcW w:w="3317" w:type="dxa"/>
            <w:vAlign w:val="center"/>
          </w:tcPr>
          <w:p>
            <w:pPr>
              <w:spacing w:line="300" w:lineRule="exact"/>
              <w:jc w:val="center"/>
              <w:rPr>
                <w:rFonts w:ascii="宋体" w:cs="宋体"/>
                <w:szCs w:val="21"/>
                <w:lang w:eastAsia="zh-CN"/>
              </w:rPr>
            </w:pPr>
            <w:r>
              <w:rPr>
                <w:rFonts w:hint="eastAsia" w:ascii="宋体" w:cs="宋体"/>
                <w:szCs w:val="21"/>
                <w:lang w:eastAsia="zh-CN"/>
              </w:rPr>
              <w:t>应急管理办公室</w:t>
            </w:r>
          </w:p>
        </w:tc>
        <w:tc>
          <w:tcPr>
            <w:tcW w:w="1134" w:type="dxa"/>
            <w:vAlign w:val="center"/>
          </w:tcPr>
          <w:p>
            <w:pPr>
              <w:spacing w:line="300" w:lineRule="exact"/>
              <w:jc w:val="center"/>
              <w:rPr>
                <w:rFonts w:ascii="宋体" w:cs="宋体"/>
                <w:szCs w:val="21"/>
              </w:rPr>
            </w:pPr>
            <w:r>
              <w:rPr>
                <w:rFonts w:hint="eastAsia" w:ascii="宋体" w:hAnsi="宋体" w:cs="宋体"/>
                <w:szCs w:val="21"/>
              </w:rPr>
              <w:t>事业</w:t>
            </w:r>
          </w:p>
        </w:tc>
        <w:tc>
          <w:tcPr>
            <w:tcW w:w="1276" w:type="dxa"/>
            <w:vAlign w:val="center"/>
          </w:tcPr>
          <w:p>
            <w:pPr>
              <w:spacing w:line="300" w:lineRule="exact"/>
              <w:jc w:val="center"/>
              <w:rPr>
                <w:rFonts w:ascii="宋体" w:cs="宋体"/>
                <w:szCs w:val="21"/>
              </w:rPr>
            </w:pPr>
            <w:r>
              <w:rPr>
                <w:rFonts w:hint="eastAsia" w:ascii="宋体" w:hAnsi="宋体" w:cs="宋体"/>
                <w:szCs w:val="21"/>
              </w:rPr>
              <w:t>股级</w:t>
            </w:r>
          </w:p>
        </w:tc>
        <w:tc>
          <w:tcPr>
            <w:tcW w:w="2902" w:type="dxa"/>
            <w:vAlign w:val="center"/>
          </w:tcPr>
          <w:p>
            <w:pPr>
              <w:spacing w:line="300" w:lineRule="exact"/>
              <w:jc w:val="center"/>
              <w:rPr>
                <w:rFonts w:ascii="宋体" w:cs="宋体"/>
                <w:szCs w:val="21"/>
              </w:rPr>
            </w:pPr>
            <w:r>
              <w:rPr>
                <w:rFonts w:hint="eastAsia" w:ascii="宋体" w:hAnsi="宋体" w:cs="宋体"/>
                <w:szCs w:val="21"/>
              </w:rPr>
              <w:t>财政性资金定额补助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1" w:hRule="atLeast"/>
          <w:jc w:val="center"/>
        </w:trPr>
        <w:tc>
          <w:tcPr>
            <w:tcW w:w="3317" w:type="dxa"/>
            <w:vAlign w:val="center"/>
          </w:tcPr>
          <w:p>
            <w:pPr>
              <w:spacing w:line="300" w:lineRule="exact"/>
              <w:jc w:val="center"/>
              <w:rPr>
                <w:rFonts w:ascii="宋体" w:cs="宋体"/>
                <w:szCs w:val="21"/>
                <w:lang w:eastAsia="zh-CN"/>
              </w:rPr>
            </w:pPr>
            <w:r>
              <w:rPr>
                <w:rFonts w:hint="eastAsia" w:ascii="宋体" w:cs="宋体"/>
                <w:szCs w:val="21"/>
                <w:lang w:eastAsia="zh-CN"/>
              </w:rPr>
              <w:t>自然资源和生态环境办公室</w:t>
            </w:r>
          </w:p>
        </w:tc>
        <w:tc>
          <w:tcPr>
            <w:tcW w:w="1134" w:type="dxa"/>
            <w:vAlign w:val="center"/>
          </w:tcPr>
          <w:p>
            <w:pPr>
              <w:spacing w:line="300" w:lineRule="exact"/>
              <w:jc w:val="center"/>
              <w:rPr>
                <w:rFonts w:ascii="宋体" w:cs="宋体"/>
                <w:szCs w:val="21"/>
              </w:rPr>
            </w:pPr>
            <w:r>
              <w:rPr>
                <w:rFonts w:hint="eastAsia" w:ascii="宋体" w:hAnsi="宋体" w:cs="宋体"/>
                <w:szCs w:val="21"/>
              </w:rPr>
              <w:t>事业</w:t>
            </w:r>
          </w:p>
        </w:tc>
        <w:tc>
          <w:tcPr>
            <w:tcW w:w="1276" w:type="dxa"/>
            <w:vAlign w:val="center"/>
          </w:tcPr>
          <w:p>
            <w:pPr>
              <w:spacing w:line="300" w:lineRule="exact"/>
              <w:jc w:val="center"/>
              <w:rPr>
                <w:rFonts w:ascii="宋体" w:cs="宋体"/>
                <w:szCs w:val="21"/>
              </w:rPr>
            </w:pPr>
            <w:r>
              <w:rPr>
                <w:rFonts w:hint="eastAsia" w:ascii="宋体" w:hAnsi="宋体" w:cs="宋体"/>
                <w:szCs w:val="21"/>
              </w:rPr>
              <w:t>股级</w:t>
            </w:r>
          </w:p>
        </w:tc>
        <w:tc>
          <w:tcPr>
            <w:tcW w:w="2902" w:type="dxa"/>
            <w:vAlign w:val="center"/>
          </w:tcPr>
          <w:p>
            <w:pPr>
              <w:spacing w:line="300" w:lineRule="exact"/>
              <w:jc w:val="center"/>
              <w:rPr>
                <w:rFonts w:ascii="宋体" w:cs="宋体"/>
                <w:szCs w:val="21"/>
              </w:rPr>
            </w:pPr>
            <w:r>
              <w:rPr>
                <w:rFonts w:hint="eastAsia" w:ascii="宋体" w:hAnsi="宋体" w:cs="宋体"/>
                <w:szCs w:val="21"/>
              </w:rPr>
              <w:t>财政性资金零补助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1" w:hRule="atLeast"/>
          <w:jc w:val="center"/>
        </w:trPr>
        <w:tc>
          <w:tcPr>
            <w:tcW w:w="3317" w:type="dxa"/>
            <w:vAlign w:val="center"/>
          </w:tcPr>
          <w:p>
            <w:pPr>
              <w:spacing w:line="300" w:lineRule="exact"/>
              <w:jc w:val="center"/>
              <w:rPr>
                <w:rFonts w:ascii="宋体" w:hAnsi="宋体" w:cs="宋体"/>
                <w:color w:val="000000"/>
                <w:szCs w:val="21"/>
                <w:lang w:eastAsia="zh-CN"/>
              </w:rPr>
            </w:pPr>
            <w:r>
              <w:rPr>
                <w:rFonts w:hint="eastAsia" w:ascii="宋体" w:hAnsi="宋体" w:cs="宋体"/>
                <w:color w:val="000000"/>
                <w:szCs w:val="21"/>
                <w:lang w:eastAsia="zh-CN"/>
              </w:rPr>
              <w:t>综合行政执法队</w:t>
            </w:r>
          </w:p>
        </w:tc>
        <w:tc>
          <w:tcPr>
            <w:tcW w:w="1134"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事业</w:t>
            </w:r>
          </w:p>
        </w:tc>
        <w:tc>
          <w:tcPr>
            <w:tcW w:w="1276"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股级</w:t>
            </w:r>
          </w:p>
        </w:tc>
        <w:tc>
          <w:tcPr>
            <w:tcW w:w="2902" w:type="dxa"/>
            <w:vAlign w:val="center"/>
          </w:tcPr>
          <w:p>
            <w:pPr>
              <w:spacing w:line="300" w:lineRule="exact"/>
              <w:jc w:val="center"/>
              <w:rPr>
                <w:rFonts w:ascii="宋体" w:hAnsi="宋体" w:cs="宋体"/>
                <w:szCs w:val="21"/>
              </w:rPr>
            </w:pPr>
            <w:r>
              <w:rPr>
                <w:rFonts w:hint="eastAsia" w:ascii="宋体" w:hAnsi="宋体" w:cs="宋体"/>
                <w:szCs w:val="21"/>
              </w:rPr>
              <w:t>财政性资金零补助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1" w:hRule="atLeast"/>
          <w:jc w:val="center"/>
        </w:trPr>
        <w:tc>
          <w:tcPr>
            <w:tcW w:w="3317" w:type="dxa"/>
            <w:vAlign w:val="center"/>
          </w:tcPr>
          <w:p>
            <w:pPr>
              <w:spacing w:line="300" w:lineRule="exact"/>
              <w:jc w:val="center"/>
              <w:rPr>
                <w:rFonts w:ascii="宋体" w:hAnsi="宋体" w:cs="宋体"/>
                <w:color w:val="000000"/>
                <w:szCs w:val="21"/>
                <w:lang w:eastAsia="zh-CN"/>
              </w:rPr>
            </w:pPr>
            <w:r>
              <w:rPr>
                <w:rFonts w:hint="eastAsia" w:ascii="宋体" w:hAnsi="宋体" w:cs="宋体"/>
                <w:color w:val="000000"/>
                <w:szCs w:val="21"/>
                <w:lang w:eastAsia="zh-CN"/>
              </w:rPr>
              <w:t>行政综合服务中心</w:t>
            </w:r>
          </w:p>
        </w:tc>
        <w:tc>
          <w:tcPr>
            <w:tcW w:w="1134"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事业</w:t>
            </w:r>
          </w:p>
        </w:tc>
        <w:tc>
          <w:tcPr>
            <w:tcW w:w="1276"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股级</w:t>
            </w:r>
          </w:p>
        </w:tc>
        <w:tc>
          <w:tcPr>
            <w:tcW w:w="2902" w:type="dxa"/>
            <w:vAlign w:val="center"/>
          </w:tcPr>
          <w:p>
            <w:pPr>
              <w:spacing w:line="300" w:lineRule="exact"/>
              <w:jc w:val="center"/>
              <w:rPr>
                <w:rFonts w:ascii="宋体" w:hAnsi="宋体" w:cs="宋体"/>
                <w:szCs w:val="21"/>
              </w:rPr>
            </w:pPr>
            <w:r>
              <w:rPr>
                <w:rFonts w:hint="eastAsia" w:ascii="宋体" w:hAnsi="宋体" w:cs="宋体"/>
                <w:szCs w:val="21"/>
              </w:rPr>
              <w:t>财政性资金零补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1" w:hRule="atLeast"/>
          <w:jc w:val="center"/>
        </w:trPr>
        <w:tc>
          <w:tcPr>
            <w:tcW w:w="3317" w:type="dxa"/>
            <w:vAlign w:val="center"/>
          </w:tcPr>
          <w:p>
            <w:pPr>
              <w:spacing w:line="300" w:lineRule="exact"/>
              <w:jc w:val="center"/>
              <w:rPr>
                <w:rFonts w:ascii="宋体" w:hAnsi="宋体" w:cs="宋体"/>
                <w:color w:val="000000"/>
                <w:szCs w:val="21"/>
                <w:lang w:eastAsia="zh-CN"/>
              </w:rPr>
            </w:pPr>
            <w:r>
              <w:rPr>
                <w:rFonts w:hint="eastAsia" w:ascii="宋体" w:hAnsi="宋体" w:cs="宋体"/>
                <w:color w:val="000000"/>
                <w:szCs w:val="21"/>
                <w:lang w:eastAsia="zh-CN"/>
              </w:rPr>
              <w:t>农业综合服务中心</w:t>
            </w:r>
          </w:p>
        </w:tc>
        <w:tc>
          <w:tcPr>
            <w:tcW w:w="1134"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事业</w:t>
            </w:r>
          </w:p>
        </w:tc>
        <w:tc>
          <w:tcPr>
            <w:tcW w:w="1276"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股级</w:t>
            </w:r>
          </w:p>
        </w:tc>
        <w:tc>
          <w:tcPr>
            <w:tcW w:w="2902" w:type="dxa"/>
            <w:vAlign w:val="center"/>
          </w:tcPr>
          <w:p>
            <w:pPr>
              <w:spacing w:line="300" w:lineRule="exact"/>
              <w:jc w:val="center"/>
              <w:rPr>
                <w:rFonts w:ascii="宋体" w:hAnsi="宋体" w:cs="宋体"/>
                <w:szCs w:val="21"/>
              </w:rPr>
            </w:pPr>
            <w:r>
              <w:rPr>
                <w:rFonts w:hint="eastAsia" w:ascii="宋体" w:hAnsi="宋体" w:cs="宋体"/>
                <w:szCs w:val="21"/>
              </w:rPr>
              <w:t>财政性资金零补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1" w:hRule="atLeast"/>
          <w:jc w:val="center"/>
        </w:trPr>
        <w:tc>
          <w:tcPr>
            <w:tcW w:w="3317" w:type="dxa"/>
            <w:vAlign w:val="center"/>
          </w:tcPr>
          <w:p>
            <w:pPr>
              <w:spacing w:line="300" w:lineRule="exact"/>
              <w:jc w:val="center"/>
              <w:rPr>
                <w:rFonts w:ascii="宋体" w:hAnsi="宋体" w:cs="宋体"/>
                <w:color w:val="000000"/>
                <w:szCs w:val="21"/>
                <w:lang w:eastAsia="zh-CN"/>
              </w:rPr>
            </w:pPr>
            <w:r>
              <w:rPr>
                <w:rFonts w:hint="eastAsia" w:ascii="宋体" w:hAnsi="宋体" w:cs="宋体"/>
                <w:color w:val="000000"/>
                <w:szCs w:val="21"/>
                <w:lang w:eastAsia="zh-CN"/>
              </w:rPr>
              <w:t>退役军人服务站</w:t>
            </w:r>
          </w:p>
        </w:tc>
        <w:tc>
          <w:tcPr>
            <w:tcW w:w="1134"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事业</w:t>
            </w:r>
          </w:p>
        </w:tc>
        <w:tc>
          <w:tcPr>
            <w:tcW w:w="1276"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股级</w:t>
            </w:r>
          </w:p>
        </w:tc>
        <w:tc>
          <w:tcPr>
            <w:tcW w:w="2902" w:type="dxa"/>
            <w:vAlign w:val="center"/>
          </w:tcPr>
          <w:p>
            <w:pPr>
              <w:spacing w:line="300" w:lineRule="exact"/>
              <w:jc w:val="center"/>
              <w:rPr>
                <w:rFonts w:ascii="宋体" w:hAnsi="宋体" w:cs="宋体"/>
                <w:szCs w:val="21"/>
              </w:rPr>
            </w:pPr>
            <w:r>
              <w:rPr>
                <w:rFonts w:hint="eastAsia" w:ascii="宋体" w:hAnsi="宋体" w:cs="宋体"/>
                <w:szCs w:val="21"/>
              </w:rPr>
              <w:t>财政性资金零补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1" w:hRule="atLeast"/>
          <w:jc w:val="center"/>
        </w:trPr>
        <w:tc>
          <w:tcPr>
            <w:tcW w:w="3317" w:type="dxa"/>
            <w:vAlign w:val="center"/>
          </w:tcPr>
          <w:p>
            <w:pPr>
              <w:spacing w:line="300" w:lineRule="exact"/>
              <w:jc w:val="center"/>
              <w:rPr>
                <w:rFonts w:ascii="宋体" w:hAnsi="宋体" w:cs="宋体"/>
                <w:color w:val="000000"/>
                <w:szCs w:val="21"/>
                <w:lang w:eastAsia="zh-CN"/>
              </w:rPr>
            </w:pPr>
            <w:r>
              <w:rPr>
                <w:rFonts w:hint="eastAsia" w:ascii="宋体" w:hAnsi="宋体" w:cs="宋体"/>
                <w:color w:val="000000"/>
                <w:szCs w:val="21"/>
                <w:lang w:eastAsia="zh-CN"/>
              </w:rPr>
              <w:t>社会事业服务中心</w:t>
            </w:r>
          </w:p>
        </w:tc>
        <w:tc>
          <w:tcPr>
            <w:tcW w:w="1134"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事业</w:t>
            </w:r>
          </w:p>
        </w:tc>
        <w:tc>
          <w:tcPr>
            <w:tcW w:w="1276"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股级</w:t>
            </w:r>
          </w:p>
        </w:tc>
        <w:tc>
          <w:tcPr>
            <w:tcW w:w="2902" w:type="dxa"/>
            <w:vAlign w:val="center"/>
          </w:tcPr>
          <w:p>
            <w:pPr>
              <w:spacing w:line="300" w:lineRule="exact"/>
              <w:jc w:val="center"/>
              <w:rPr>
                <w:rFonts w:ascii="宋体" w:hAnsi="宋体" w:cs="宋体"/>
                <w:szCs w:val="21"/>
              </w:rPr>
            </w:pPr>
            <w:r>
              <w:rPr>
                <w:rFonts w:hint="eastAsia" w:ascii="宋体" w:hAnsi="宋体" w:cs="宋体"/>
                <w:szCs w:val="21"/>
              </w:rPr>
              <w:t>财政性资金零补</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line="560" w:lineRule="exact"/>
        <w:ind w:firstLine="640"/>
        <w:rPr>
          <w:rFonts w:ascii="楷体_GB2312" w:hAnsi="楷体" w:eastAsia="楷体_GB2312"/>
          <w:b/>
          <w:sz w:val="32"/>
          <w:szCs w:val="32"/>
        </w:rPr>
      </w:pPr>
      <w:r>
        <w:rPr>
          <w:rFonts w:ascii="楷体_GB2312" w:hAnsi="楷体" w:eastAsia="楷体_GB2312"/>
          <w:b/>
          <w:sz w:val="32"/>
          <w:szCs w:val="32"/>
        </w:rPr>
        <w:t>1</w:t>
      </w:r>
      <w:r>
        <w:rPr>
          <w:rFonts w:hint="eastAsia" w:ascii="楷体_GB2312" w:hAnsi="楷体" w:eastAsia="楷体_GB2312"/>
          <w:b/>
          <w:sz w:val="32"/>
          <w:szCs w:val="32"/>
        </w:rPr>
        <w:t>、收入说明</w:t>
      </w:r>
    </w:p>
    <w:p>
      <w:pPr>
        <w:spacing w:line="560" w:lineRule="exact"/>
        <w:ind w:firstLine="640"/>
        <w:rPr>
          <w:rFonts w:ascii="仿宋_GB2312" w:eastAsia="仿宋_GB2312"/>
          <w:sz w:val="32"/>
          <w:szCs w:val="32"/>
        </w:rPr>
      </w:pPr>
      <w:r>
        <w:rPr>
          <w:rFonts w:hint="eastAsia" w:ascii="仿宋_GB2312" w:eastAsia="仿宋_GB2312"/>
          <w:sz w:val="32"/>
          <w:szCs w:val="32"/>
          <w:lang w:eastAsia="zh-CN"/>
        </w:rPr>
        <w:t>2026</w:t>
      </w:r>
      <w:r>
        <w:rPr>
          <w:rFonts w:hint="eastAsia" w:ascii="仿宋_GB2312" w:eastAsia="仿宋_GB2312"/>
          <w:sz w:val="32"/>
          <w:szCs w:val="32"/>
        </w:rPr>
        <w:t>年预算收入</w:t>
      </w:r>
      <w:r>
        <w:rPr>
          <w:rFonts w:hint="eastAsia" w:ascii="仿宋_GB2312" w:eastAsia="仿宋_GB2312"/>
          <w:sz w:val="32"/>
          <w:szCs w:val="32"/>
          <w:lang w:eastAsia="zh-CN"/>
        </w:rPr>
        <w:t>694.37</w:t>
      </w:r>
      <w:r>
        <w:rPr>
          <w:rFonts w:hint="eastAsia" w:ascii="仿宋_GB2312" w:eastAsia="仿宋_GB2312"/>
          <w:sz w:val="32"/>
          <w:szCs w:val="32"/>
        </w:rPr>
        <w:t>万元，其中：一般公共预算收入</w:t>
      </w:r>
      <w:r>
        <w:rPr>
          <w:rFonts w:hint="eastAsia" w:ascii="仿宋_GB2312" w:eastAsia="仿宋_GB2312"/>
          <w:sz w:val="32"/>
          <w:szCs w:val="32"/>
          <w:lang w:eastAsia="zh-CN"/>
        </w:rPr>
        <w:t>694.37</w:t>
      </w:r>
      <w:r>
        <w:rPr>
          <w:rFonts w:hint="eastAsia" w:ascii="仿宋_GB2312" w:eastAsia="仿宋_GB2312"/>
          <w:sz w:val="32"/>
          <w:szCs w:val="32"/>
        </w:rPr>
        <w:t>万元，政府性基金收入</w:t>
      </w:r>
      <w:r>
        <w:rPr>
          <w:rFonts w:ascii="仿宋_GB2312" w:eastAsia="仿宋_GB2312"/>
          <w:sz w:val="32"/>
          <w:szCs w:val="32"/>
        </w:rPr>
        <w:t>0</w:t>
      </w:r>
      <w:r>
        <w:rPr>
          <w:rFonts w:hint="eastAsia" w:ascii="仿宋_GB2312" w:eastAsia="仿宋_GB2312"/>
          <w:sz w:val="32"/>
          <w:szCs w:val="32"/>
        </w:rPr>
        <w:t>万元，国有资本经营收入</w:t>
      </w:r>
      <w:r>
        <w:rPr>
          <w:rFonts w:ascii="仿宋_GB2312" w:eastAsia="仿宋_GB2312"/>
          <w:sz w:val="32"/>
          <w:szCs w:val="32"/>
        </w:rPr>
        <w:t>0</w:t>
      </w:r>
      <w:r>
        <w:rPr>
          <w:rFonts w:hint="eastAsia" w:ascii="仿宋_GB2312" w:eastAsia="仿宋_GB2312"/>
          <w:sz w:val="32"/>
          <w:szCs w:val="32"/>
        </w:rPr>
        <w:t>万元，事业收入</w:t>
      </w:r>
      <w:r>
        <w:rPr>
          <w:rFonts w:ascii="仿宋_GB2312" w:eastAsia="仿宋_GB2312"/>
          <w:sz w:val="32"/>
          <w:szCs w:val="32"/>
        </w:rPr>
        <w:t>0</w:t>
      </w:r>
      <w:r>
        <w:rPr>
          <w:rFonts w:hint="eastAsia" w:ascii="仿宋_GB2312" w:eastAsia="仿宋_GB2312"/>
          <w:sz w:val="32"/>
          <w:szCs w:val="32"/>
        </w:rPr>
        <w:t>万元，其他收入</w:t>
      </w:r>
      <w:r>
        <w:rPr>
          <w:rFonts w:ascii="仿宋_GB2312" w:eastAsia="仿宋_GB2312"/>
          <w:sz w:val="32"/>
          <w:szCs w:val="32"/>
        </w:rPr>
        <w:t>0</w:t>
      </w:r>
      <w:r>
        <w:rPr>
          <w:rFonts w:hint="eastAsia" w:ascii="仿宋_GB2312" w:eastAsia="仿宋_GB2312"/>
          <w:sz w:val="32"/>
          <w:szCs w:val="32"/>
        </w:rPr>
        <w:t>万元。</w:t>
      </w:r>
    </w:p>
    <w:p>
      <w:pPr>
        <w:spacing w:line="560" w:lineRule="exact"/>
        <w:ind w:firstLine="640"/>
        <w:rPr>
          <w:rFonts w:ascii="楷体_GB2312" w:hAnsi="楷体" w:eastAsia="楷体_GB2312"/>
          <w:b/>
          <w:sz w:val="32"/>
          <w:szCs w:val="32"/>
        </w:rPr>
      </w:pPr>
      <w:r>
        <w:rPr>
          <w:rFonts w:ascii="楷体_GB2312" w:hAnsi="楷体" w:eastAsia="楷体_GB2312"/>
          <w:b/>
          <w:sz w:val="32"/>
          <w:szCs w:val="32"/>
        </w:rPr>
        <w:t>2</w:t>
      </w:r>
      <w:r>
        <w:rPr>
          <w:rFonts w:hint="eastAsia" w:ascii="楷体_GB2312" w:hAnsi="楷体" w:eastAsia="楷体_GB2312"/>
          <w:b/>
          <w:sz w:val="32"/>
          <w:szCs w:val="32"/>
        </w:rPr>
        <w:t>、支出说明</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年支出预算</w:t>
      </w:r>
      <w:r>
        <w:rPr>
          <w:rFonts w:hint="eastAsia" w:ascii="仿宋_GB2312" w:eastAsia="仿宋_GB2312"/>
          <w:sz w:val="32"/>
          <w:szCs w:val="32"/>
          <w:lang w:eastAsia="zh-CN"/>
        </w:rPr>
        <w:t>694.37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eastAsia="zh-CN"/>
        </w:rPr>
        <w:t>482.99</w:t>
      </w:r>
      <w:r>
        <w:rPr>
          <w:rFonts w:hint="eastAsia" w:ascii="仿宋_GB2312" w:hAnsi="仿宋_GB2312" w:eastAsia="仿宋_GB2312" w:cs="仿宋_GB2312"/>
          <w:sz w:val="32"/>
          <w:szCs w:val="32"/>
        </w:rPr>
        <w:t>万元，包括人员经费</w:t>
      </w:r>
      <w:r>
        <w:rPr>
          <w:rFonts w:hint="eastAsia" w:ascii="仿宋_GB2312" w:hAnsi="仿宋_GB2312" w:eastAsia="仿宋_GB2312" w:cs="仿宋_GB2312"/>
          <w:sz w:val="32"/>
          <w:szCs w:val="32"/>
          <w:lang w:val="en-US" w:eastAsia="zh-CN"/>
        </w:rPr>
        <w:t>447.65</w:t>
      </w:r>
      <w:r>
        <w:rPr>
          <w:rFonts w:hint="eastAsia" w:ascii="仿宋_GB2312" w:hAnsi="仿宋_GB2312" w:eastAsia="仿宋_GB2312" w:cs="仿宋_GB2312"/>
          <w:sz w:val="32"/>
          <w:szCs w:val="32"/>
        </w:rPr>
        <w:t>万元和日常公用经费</w:t>
      </w:r>
      <w:r>
        <w:rPr>
          <w:rFonts w:hint="eastAsia" w:ascii="仿宋_GB2312" w:hAnsi="仿宋_GB2312" w:eastAsia="仿宋_GB2312" w:cs="仿宋_GB2312"/>
          <w:sz w:val="32"/>
          <w:szCs w:val="32"/>
          <w:lang w:val="en-US" w:eastAsia="zh-CN"/>
        </w:rPr>
        <w:t>35.35</w:t>
      </w:r>
      <w:r>
        <w:rPr>
          <w:rFonts w:hint="eastAsia" w:ascii="仿宋_GB2312" w:hAnsi="仿宋_GB2312" w:eastAsia="仿宋_GB2312" w:cs="仿宋_GB2312"/>
          <w:sz w:val="32"/>
          <w:szCs w:val="32"/>
        </w:rPr>
        <w:t>万元。其中项目支出</w:t>
      </w:r>
      <w:r>
        <w:rPr>
          <w:rFonts w:hint="eastAsia" w:ascii="仿宋_GB2312" w:hAnsi="仿宋_GB2312" w:eastAsia="仿宋_GB2312" w:cs="仿宋_GB2312"/>
          <w:sz w:val="32"/>
          <w:szCs w:val="32"/>
          <w:lang w:val="en-US" w:eastAsia="zh-CN"/>
        </w:rPr>
        <w:t>211.38</w:t>
      </w:r>
      <w:r>
        <w:rPr>
          <w:rFonts w:hint="eastAsia" w:ascii="仿宋_GB2312" w:hAnsi="仿宋_GB2312" w:eastAsia="仿宋_GB2312" w:cs="仿宋_GB2312"/>
          <w:sz w:val="32"/>
          <w:szCs w:val="32"/>
        </w:rPr>
        <w:t>万元。</w:t>
      </w:r>
    </w:p>
    <w:p>
      <w:pPr>
        <w:spacing w:line="560" w:lineRule="exact"/>
        <w:ind w:firstLine="640"/>
        <w:rPr>
          <w:rFonts w:ascii="楷体_GB2312" w:hAnsi="楷体" w:eastAsia="楷体_GB2312"/>
          <w:b/>
          <w:sz w:val="32"/>
          <w:szCs w:val="32"/>
        </w:rPr>
      </w:pPr>
      <w:r>
        <w:rPr>
          <w:rFonts w:ascii="楷体_GB2312" w:hAnsi="楷体" w:eastAsia="楷体_GB2312"/>
          <w:b/>
          <w:sz w:val="32"/>
          <w:szCs w:val="32"/>
        </w:rPr>
        <w:t>3</w:t>
      </w:r>
      <w:r>
        <w:rPr>
          <w:rFonts w:hint="eastAsia" w:ascii="楷体_GB2312" w:hAnsi="楷体" w:eastAsia="楷体_GB2312"/>
          <w:b/>
          <w:sz w:val="32"/>
          <w:szCs w:val="32"/>
        </w:rPr>
        <w:t>、比上年增减变化情况</w:t>
      </w:r>
    </w:p>
    <w:p>
      <w:pPr>
        <w:spacing w:line="560" w:lineRule="exact"/>
        <w:ind w:firstLine="640"/>
      </w:pP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年预算收支安排</w:t>
      </w:r>
      <w:r>
        <w:rPr>
          <w:rFonts w:hint="eastAsia" w:ascii="仿宋_GB2312" w:hAnsi="仿宋_GB2312" w:eastAsia="仿宋_GB2312" w:cs="仿宋_GB2312"/>
          <w:sz w:val="32"/>
          <w:szCs w:val="32"/>
          <w:lang w:eastAsia="zh-CN"/>
        </w:rPr>
        <w:t>694.37</w:t>
      </w:r>
      <w:r>
        <w:rPr>
          <w:rFonts w:hint="eastAsia" w:ascii="仿宋_GB2312" w:hAnsi="仿宋_GB2312" w:eastAsia="仿宋_GB2312" w:cs="仿宋_GB2312"/>
          <w:sz w:val="32"/>
          <w:szCs w:val="32"/>
        </w:rPr>
        <w:t>万元，较</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15.18</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22.86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人员经费减少</w:t>
      </w:r>
      <w:r>
        <w:rPr>
          <w:rFonts w:hint="eastAsia" w:ascii="仿宋_GB2312" w:hAnsi="仿宋_GB2312" w:eastAsia="仿宋_GB2312" w:cs="仿宋_GB2312"/>
          <w:sz w:val="32"/>
          <w:szCs w:val="32"/>
          <w:lang w:val="en-US" w:eastAsia="zh-CN"/>
        </w:rPr>
        <w:t>24.72</w:t>
      </w:r>
      <w:r>
        <w:rPr>
          <w:rFonts w:hint="eastAsia" w:ascii="仿宋_GB2312" w:hAnsi="仿宋_GB2312" w:eastAsia="仿宋_GB2312" w:cs="仿宋_GB2312"/>
          <w:sz w:val="32"/>
          <w:szCs w:val="32"/>
          <w:lang w:eastAsia="zh-CN"/>
        </w:rPr>
        <w:t>万元，项目支出增加</w:t>
      </w:r>
      <w:r>
        <w:rPr>
          <w:rFonts w:hint="eastAsia" w:ascii="仿宋_GB2312" w:hAnsi="仿宋_GB2312" w:eastAsia="仿宋_GB2312" w:cs="仿宋_GB2312"/>
          <w:sz w:val="32"/>
          <w:szCs w:val="32"/>
          <w:lang w:val="en-US" w:eastAsia="zh-CN"/>
        </w:rPr>
        <w:t>7.73</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eastAsia="zh-CN"/>
        </w:rPr>
        <w:t>项目增加，人员经费支出减少。</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spacing w:before="10" w:after="10" w:line="360" w:lineRule="auto"/>
        <w:ind w:firstLine="640" w:firstLineChars="200"/>
        <w:outlineLvl w:val="2"/>
      </w:pPr>
      <w:r>
        <w:rPr>
          <w:rFonts w:hint="eastAsia" w:ascii="仿宋_GB2312" w:eastAsia="仿宋_GB2312"/>
          <w:sz w:val="32"/>
          <w:szCs w:val="32"/>
        </w:rPr>
        <w:t>机关运行经费共计安排</w:t>
      </w:r>
      <w:r>
        <w:rPr>
          <w:rFonts w:hint="eastAsia" w:ascii="仿宋_GB2312" w:eastAsia="仿宋_GB2312"/>
          <w:sz w:val="32"/>
          <w:szCs w:val="32"/>
          <w:lang w:val="en-US" w:eastAsia="zh-CN"/>
        </w:rPr>
        <w:t>35.34</w:t>
      </w:r>
      <w:r>
        <w:rPr>
          <w:rFonts w:hint="eastAsia" w:ascii="仿宋_GB2312" w:eastAsia="仿宋_GB2312"/>
          <w:sz w:val="32"/>
          <w:szCs w:val="32"/>
        </w:rPr>
        <w:t>万元，主要用</w:t>
      </w:r>
      <w:r>
        <w:rPr>
          <w:rFonts w:hint="eastAsia" w:ascii="仿宋_GB2312" w:hAnsi="Calibri" w:eastAsia="仿宋_GB2312" w:cs="仿宋_GB2312"/>
          <w:sz w:val="30"/>
          <w:szCs w:val="30"/>
        </w:rPr>
        <w:t>办公费、差旅费、电费、其他支出等</w:t>
      </w:r>
      <w:r>
        <w:rPr>
          <w:rFonts w:hint="eastAsia" w:ascii="仿宋_GB2312" w:hAnsi="Calibri" w:eastAsia="仿宋_GB2312" w:cs="仿宋_GB2312"/>
          <w:sz w:val="30"/>
          <w:szCs w:val="30"/>
          <w:lang w:eastAsia="zh-CN"/>
        </w:rPr>
        <w:t>。</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年，我单位“三公”经费预算安排</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万元，其中因公出国（境）费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万元；公务用车购置及运维费</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万元；公务接待费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年相比</w:t>
      </w:r>
      <w:r>
        <w:rPr>
          <w:rFonts w:hint="eastAsia" w:ascii="仿宋_GB2312" w:hAnsi="仿宋_GB2312" w:eastAsia="仿宋_GB2312" w:cs="仿宋_GB2312"/>
          <w:sz w:val="32"/>
          <w:szCs w:val="32"/>
          <w:lang w:eastAsia="zh-CN"/>
        </w:rPr>
        <w:t>增加0万元</w:t>
      </w:r>
      <w:r>
        <w:rPr>
          <w:rFonts w:hint="eastAsia" w:ascii="仿宋_GB2312" w:hAnsi="仿宋_GB2312" w:eastAsia="仿宋_GB2312" w:cs="仿宋_GB2312"/>
          <w:color w:val="000000"/>
          <w:sz w:val="32"/>
          <w:szCs w:val="32"/>
          <w:lang w:eastAsia="zh-CN"/>
        </w:rPr>
        <w:t>。</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、制定本行政和区域内的经济和社会发展计划，大力培育、发展各类经济服务实体和社会中介组织，推动农村社会化服务体系的发展与完善。</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、加强土地管理、镇村规划建设、生态和生活环境管理与保护。</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、依法管理镇财政，负责本级财政预决算。</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、管理和发展文化教育、农业技术、广播、文化、体育、卫生等事业。</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、保护国有、集体、个人合法财产和公民的人身权利。</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、开展社会主义民主法制教育，协调管理本区域内的司法、公安、工商、税务、交通、邮电和电力排灌、金融等部门的工作。</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、加强社会治安，调解民事纠纷。保护妇女、儿童和老年人的合法权益。</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、领导镇经济建设，引导农村富余劳动力向小城镇转移，促进农村的现代化建设。制定本镇经济和社会发展规划并组织实施。</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、管理民政工作，搞好社会福利事业，推行农村社会养老保险工作。办理兵役事宜。</w:t>
      </w:r>
    </w:p>
    <w:p>
      <w:pPr>
        <w:autoSpaceDE w:val="0"/>
        <w:autoSpaceDN w:val="0"/>
        <w:adjustRightInd w:val="0"/>
        <w:spacing w:line="560" w:lineRule="exact"/>
        <w:ind w:left="198" w:firstLine="640" w:firstLineChars="200"/>
        <w:rPr>
          <w:rFonts w:hint="eastAsia" w:ascii="仿宋_GB2312" w:eastAsia="仿宋_GB2312"/>
          <w:sz w:val="32"/>
          <w:szCs w:val="32"/>
          <w:lang w:eastAsia="zh-CN"/>
        </w:rPr>
      </w:pPr>
      <w:r>
        <w:rPr>
          <w:rFonts w:ascii="仿宋_GB2312" w:eastAsia="仿宋_GB2312"/>
          <w:sz w:val="32"/>
          <w:szCs w:val="32"/>
        </w:rPr>
        <w:t>10</w:t>
      </w:r>
      <w:r>
        <w:rPr>
          <w:rFonts w:hint="eastAsia" w:ascii="仿宋_GB2312" w:eastAsia="仿宋_GB2312"/>
          <w:sz w:val="32"/>
          <w:szCs w:val="32"/>
        </w:rPr>
        <w:t>、承办上级人民政府交办的其他事项</w:t>
      </w:r>
      <w:r>
        <w:rPr>
          <w:rFonts w:hint="eastAsia" w:ascii="仿宋_GB2312" w:eastAsia="仿宋_GB2312"/>
          <w:sz w:val="32"/>
          <w:szCs w:val="32"/>
          <w:lang w:eastAsia="zh-CN"/>
        </w:rPr>
        <w:t>，</w:t>
      </w:r>
      <w:r>
        <w:rPr>
          <w:rFonts w:hint="eastAsia" w:ascii="仿宋_GB2312" w:eastAsia="仿宋_GB2312"/>
          <w:sz w:val="32"/>
          <w:szCs w:val="32"/>
        </w:rPr>
        <w:t>抓好上级有关部门派给镇里的工作</w:t>
      </w:r>
      <w:r>
        <w:rPr>
          <w:rFonts w:hint="eastAsia" w:ascii="仿宋_GB2312" w:eastAsia="仿宋_GB2312"/>
          <w:sz w:val="32"/>
          <w:szCs w:val="32"/>
          <w:lang w:eastAsia="zh-CN"/>
        </w:rPr>
        <w:t>。</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、贯彻党的路线、方针、政策和上级党组织的指示、决定，执行镇党员代表大会党员大会决议，讨论决定本乡的重大问题。</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、抓好镇党委和村级党组织的思想、组织和作风建设</w:t>
      </w:r>
      <w:r>
        <w:rPr>
          <w:rFonts w:ascii="仿宋_GB2312" w:eastAsia="仿宋_GB2312"/>
          <w:sz w:val="32"/>
          <w:szCs w:val="32"/>
        </w:rPr>
        <w:t>.</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积极宣传国家的方针政策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不断改进文化广播各项业务工作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活跃党委、政府及上级有关部门交</w:t>
      </w:r>
      <w:r>
        <w:rPr>
          <w:rFonts w:hint="eastAsia" w:ascii="仿宋_GB2312" w:hAnsi="仿宋_GB2312" w:eastAsia="仿宋_GB2312" w:cs="仿宋_GB2312"/>
          <w:sz w:val="32"/>
          <w:szCs w:val="32"/>
          <w:lang w:eastAsia="zh-CN"/>
        </w:rPr>
        <w:t>办的</w:t>
      </w:r>
      <w:r>
        <w:rPr>
          <w:rFonts w:hint="eastAsia" w:ascii="仿宋_GB2312" w:hAnsi="仿宋_GB2312" w:eastAsia="仿宋_GB2312" w:cs="仿宋_GB2312"/>
          <w:sz w:val="32"/>
          <w:szCs w:val="32"/>
        </w:rPr>
        <w:t>宣传国家的方针政农民文化生办的其他工作。活跃农村文化农村文化活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加强社会主义精神文明</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，多举办文化宣传活动</w:t>
      </w:r>
      <w:r>
        <w:rPr>
          <w:rFonts w:hint="eastAsia" w:ascii="仿宋_GB2312" w:hAnsi="仿宋_GB2312" w:eastAsia="仿宋_GB2312" w:cs="仿宋_GB2312"/>
          <w:sz w:val="32"/>
          <w:szCs w:val="32"/>
          <w:lang w:eastAsia="zh-CN"/>
        </w:rPr>
        <w:t>。</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2、统筹城乡发展，不断夯实经济社会发展基础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加强对农村劳动力的职业培训就业及劳动技能培训,扩大农村富余劳动力就业。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3、民生事务管理工作</w:t>
      </w:r>
      <w:r>
        <w:rPr>
          <w:rFonts w:hint="eastAsia" w:ascii="仿宋_GB2312" w:hAnsi="仿宋_GB2312" w:eastAsia="仿宋_GB2312" w:cs="仿宋_GB2312"/>
          <w:sz w:val="32"/>
          <w:szCs w:val="32"/>
          <w:lang w:eastAsia="zh-CN"/>
        </w:rPr>
        <w:t>，加大</w:t>
      </w:r>
      <w:r>
        <w:rPr>
          <w:rFonts w:hint="eastAsia" w:ascii="仿宋_GB2312" w:hAnsi="仿宋_GB2312" w:eastAsia="仿宋_GB2312" w:cs="仿宋_GB2312"/>
          <w:sz w:val="32"/>
          <w:szCs w:val="32"/>
        </w:rPr>
        <w:t>拥军优属、救灾扶贫,妥善安置残疾人就业,多安置贫困人</w:t>
      </w:r>
      <w:r>
        <w:rPr>
          <w:rFonts w:hint="eastAsia" w:ascii="仿宋_GB2312" w:hAnsi="仿宋_GB2312" w:eastAsia="仿宋_GB2312" w:cs="仿宋_GB2312"/>
          <w:sz w:val="32"/>
          <w:szCs w:val="32"/>
          <w:lang w:eastAsia="zh-CN"/>
        </w:rPr>
        <w:t>口到公益性岗位就业。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4、成立防火防汛应急组织,储备确保群众防火、防汛等突发应急物资,保障人民群众财产确保群众生命、财产安全,避免发生险情发生险情</w:t>
      </w:r>
      <w:r>
        <w:rPr>
          <w:rFonts w:hint="eastAsia" w:ascii="仿宋_GB2312" w:hAnsi="仿宋_GB2312" w:eastAsia="仿宋_GB2312" w:cs="仿宋_GB2312"/>
          <w:sz w:val="32"/>
          <w:szCs w:val="32"/>
          <w:lang w:eastAsia="zh-CN"/>
        </w:rPr>
        <w:t>。</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5、农村环境综合治理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加强农村环境综合治理工作,建设美好生活家园。通过修路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改厕所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治理坑塘等提高</w:t>
      </w:r>
      <w:r>
        <w:rPr>
          <w:rFonts w:hint="eastAsia" w:ascii="仿宋_GB2312" w:hAnsi="仿宋_GB2312" w:eastAsia="仿宋_GB2312" w:cs="仿宋_GB2312"/>
          <w:sz w:val="32"/>
          <w:szCs w:val="32"/>
          <w:lang w:eastAsia="zh-CN"/>
        </w:rPr>
        <w:t>环境卫生，提高</w:t>
      </w:r>
      <w:r>
        <w:rPr>
          <w:rFonts w:hint="eastAsia" w:ascii="仿宋_GB2312" w:hAnsi="仿宋_GB2312" w:eastAsia="仿宋_GB2312" w:cs="仿宋_GB2312"/>
          <w:sz w:val="32"/>
          <w:szCs w:val="32"/>
        </w:rPr>
        <w:t>群众生活素质</w:t>
      </w:r>
      <w:r>
        <w:rPr>
          <w:rFonts w:hint="eastAsia" w:ascii="仿宋_GB2312" w:hAnsi="仿宋_GB2312" w:eastAsia="仿宋_GB2312" w:cs="仿宋_GB2312"/>
          <w:sz w:val="32"/>
          <w:szCs w:val="32"/>
          <w:lang w:eastAsia="zh-CN"/>
        </w:rPr>
        <w:t>，达到群众满意。</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（三）工作保障措施</w:t>
      </w:r>
    </w:p>
    <w:p>
      <w:pPr>
        <w:autoSpaceDE w:val="0"/>
        <w:autoSpaceDN w:val="0"/>
        <w:adjustRightInd w:val="0"/>
        <w:spacing w:line="560" w:lineRule="exact"/>
        <w:ind w:left="198" w:firstLine="640" w:firstLineChars="200"/>
        <w:rPr>
          <w:rFonts w:hint="eastAsia" w:ascii="仿宋_GB2312" w:eastAsia="仿宋_GB2312" w:cstheme="minorBidi"/>
          <w:sz w:val="32"/>
          <w:szCs w:val="32"/>
          <w:lang w:eastAsia="zh-CN"/>
        </w:rPr>
      </w:pPr>
      <w:r>
        <w:rPr>
          <w:rFonts w:hint="eastAsia" w:ascii="仿宋_GB2312" w:eastAsia="仿宋_GB2312" w:cstheme="minorBidi"/>
          <w:sz w:val="32"/>
          <w:szCs w:val="32"/>
        </w:rPr>
        <w:t>1、强产业推进结构调整</w:t>
      </w:r>
      <w:r>
        <w:rPr>
          <w:rFonts w:hint="eastAsia" w:ascii="仿宋_GB2312" w:eastAsia="仿宋_GB2312" w:cstheme="minorBidi"/>
          <w:sz w:val="32"/>
          <w:szCs w:val="32"/>
          <w:lang w:eastAsia="zh-CN"/>
        </w:rPr>
        <w:t>。</w:t>
      </w:r>
    </w:p>
    <w:p>
      <w:pPr>
        <w:autoSpaceDE w:val="0"/>
        <w:autoSpaceDN w:val="0"/>
        <w:adjustRightInd w:val="0"/>
        <w:spacing w:line="560" w:lineRule="exact"/>
        <w:ind w:left="198" w:firstLine="640" w:firstLineChars="200"/>
        <w:rPr>
          <w:rFonts w:hint="eastAsia" w:ascii="仿宋_GB2312" w:eastAsia="仿宋_GB2312" w:cstheme="minorBidi"/>
          <w:sz w:val="32"/>
          <w:szCs w:val="32"/>
        </w:rPr>
      </w:pPr>
      <w:r>
        <w:rPr>
          <w:rFonts w:hint="eastAsia" w:ascii="仿宋_GB2312" w:eastAsia="仿宋_GB2312" w:cstheme="minorBidi"/>
          <w:sz w:val="32"/>
          <w:szCs w:val="32"/>
        </w:rPr>
        <w:t>发扬"优势区位、整村推进、连片发展"的工作思路</w:t>
      </w:r>
      <w:r>
        <w:rPr>
          <w:rFonts w:hint="eastAsia" w:ascii="仿宋_GB2312" w:eastAsia="仿宋_GB2312" w:cstheme="minorBidi"/>
          <w:sz w:val="32"/>
          <w:szCs w:val="32"/>
          <w:lang w:eastAsia="zh-CN"/>
        </w:rPr>
        <w:t>，</w:t>
      </w:r>
      <w:r>
        <w:rPr>
          <w:rFonts w:hint="eastAsia" w:ascii="仿宋_GB2312" w:eastAsia="仿宋_GB2312" w:cstheme="minorBidi"/>
          <w:sz w:val="32"/>
          <w:szCs w:val="32"/>
        </w:rPr>
        <w:t>抢抓机遇</w:t>
      </w:r>
      <w:r>
        <w:rPr>
          <w:rFonts w:hint="eastAsia" w:ascii="仿宋_GB2312" w:eastAsia="仿宋_GB2312" w:cstheme="minorBidi"/>
          <w:sz w:val="32"/>
          <w:szCs w:val="32"/>
          <w:lang w:eastAsia="zh-CN"/>
        </w:rPr>
        <w:t>巩固</w:t>
      </w:r>
      <w:r>
        <w:rPr>
          <w:rFonts w:hint="eastAsia" w:ascii="仿宋_GB2312" w:eastAsia="仿宋_GB2312" w:cstheme="minorBidi"/>
          <w:sz w:val="32"/>
          <w:szCs w:val="32"/>
        </w:rPr>
        <w:t>精准扶贫</w:t>
      </w:r>
      <w:r>
        <w:rPr>
          <w:rFonts w:hint="eastAsia" w:ascii="仿宋_GB2312" w:eastAsia="仿宋_GB2312" w:cstheme="minorBidi"/>
          <w:sz w:val="32"/>
          <w:szCs w:val="32"/>
          <w:lang w:eastAsia="zh-CN"/>
        </w:rPr>
        <w:t>成果，</w:t>
      </w:r>
      <w:r>
        <w:rPr>
          <w:rFonts w:hint="eastAsia" w:ascii="仿宋_GB2312" w:eastAsia="仿宋_GB2312" w:cstheme="minorBidi"/>
          <w:sz w:val="32"/>
          <w:szCs w:val="32"/>
        </w:rPr>
        <w:t>结合</w:t>
      </w:r>
      <w:r>
        <w:rPr>
          <w:rFonts w:hint="eastAsia" w:ascii="仿宋_GB2312" w:eastAsia="仿宋_GB2312" w:cstheme="minorBidi"/>
          <w:sz w:val="32"/>
          <w:szCs w:val="32"/>
          <w:lang w:eastAsia="zh-CN"/>
        </w:rPr>
        <w:t>我镇食用菌产业优势，</w:t>
      </w:r>
      <w:r>
        <w:rPr>
          <w:rFonts w:hint="eastAsia" w:ascii="仿宋_GB2312" w:eastAsia="仿宋_GB2312" w:cstheme="minorBidi"/>
          <w:sz w:val="32"/>
          <w:szCs w:val="32"/>
        </w:rPr>
        <w:t>科学规划,推进重点村的</w:t>
      </w:r>
      <w:r>
        <w:rPr>
          <w:rFonts w:hint="eastAsia" w:ascii="仿宋_GB2312" w:eastAsia="仿宋_GB2312" w:cstheme="minorBidi"/>
          <w:sz w:val="32"/>
          <w:szCs w:val="32"/>
          <w:lang w:eastAsia="zh-CN"/>
        </w:rPr>
        <w:t>食用菌</w:t>
      </w:r>
      <w:r>
        <w:rPr>
          <w:rFonts w:hint="eastAsia" w:ascii="仿宋_GB2312" w:eastAsia="仿宋_GB2312" w:cstheme="minorBidi"/>
          <w:sz w:val="32"/>
          <w:szCs w:val="32"/>
        </w:rPr>
        <w:t>项目落地实施</w:t>
      </w:r>
      <w:r>
        <w:rPr>
          <w:rFonts w:hint="eastAsia" w:ascii="仿宋_GB2312" w:eastAsia="仿宋_GB2312" w:cstheme="minorBidi"/>
          <w:sz w:val="32"/>
          <w:szCs w:val="32"/>
          <w:lang w:eastAsia="zh-CN"/>
        </w:rPr>
        <w:t>，</w:t>
      </w:r>
      <w:r>
        <w:rPr>
          <w:rFonts w:hint="eastAsia" w:ascii="仿宋_GB2312" w:eastAsia="仿宋_GB2312" w:cstheme="minorBidi"/>
          <w:sz w:val="32"/>
          <w:szCs w:val="32"/>
        </w:rPr>
        <w:t>大力发展建成特色产业带。</w:t>
      </w:r>
    </w:p>
    <w:p>
      <w:pPr>
        <w:autoSpaceDE w:val="0"/>
        <w:autoSpaceDN w:val="0"/>
        <w:adjustRightInd w:val="0"/>
        <w:spacing w:line="560" w:lineRule="exact"/>
        <w:ind w:left="198" w:firstLine="640" w:firstLineChars="200"/>
        <w:rPr>
          <w:rFonts w:hint="eastAsia" w:ascii="仿宋_GB2312" w:eastAsia="仿宋_GB2312" w:cstheme="minorBidi"/>
          <w:sz w:val="32"/>
          <w:szCs w:val="32"/>
          <w:lang w:eastAsia="zh-CN"/>
        </w:rPr>
      </w:pPr>
      <w:r>
        <w:rPr>
          <w:rFonts w:hint="eastAsia" w:ascii="仿宋_GB2312" w:eastAsia="仿宋_GB2312" w:cstheme="minorBidi"/>
          <w:sz w:val="32"/>
          <w:szCs w:val="32"/>
        </w:rPr>
        <w:t>2、抓民生促和谐,共享发展成果</w:t>
      </w:r>
      <w:r>
        <w:rPr>
          <w:rFonts w:hint="eastAsia" w:ascii="仿宋_GB2312" w:eastAsia="仿宋_GB2312" w:cstheme="minorBidi"/>
          <w:sz w:val="32"/>
          <w:szCs w:val="32"/>
          <w:lang w:eastAsia="zh-CN"/>
        </w:rPr>
        <w:t>。</w:t>
      </w:r>
    </w:p>
    <w:p>
      <w:pPr>
        <w:autoSpaceDE w:val="0"/>
        <w:autoSpaceDN w:val="0"/>
        <w:adjustRightInd w:val="0"/>
        <w:spacing w:line="560" w:lineRule="exact"/>
        <w:ind w:left="198" w:firstLine="640" w:firstLineChars="200"/>
        <w:rPr>
          <w:rFonts w:hint="eastAsia" w:ascii="仿宋_GB2312" w:eastAsia="仿宋_GB2312" w:cstheme="minorBidi"/>
          <w:sz w:val="32"/>
          <w:szCs w:val="32"/>
        </w:rPr>
      </w:pPr>
      <w:r>
        <w:rPr>
          <w:rFonts w:hint="eastAsia" w:ascii="仿宋_GB2312" w:eastAsia="仿宋_GB2312" w:cstheme="minorBidi"/>
          <w:sz w:val="32"/>
          <w:szCs w:val="32"/>
        </w:rPr>
        <w:t>以抓民生为重点，加大工作力度,落实各项惠民政策,从解决人民群众最关心、最现实的重点难点实事做起,完善基础设施、健全保障机制、提升服务水平,实现发展成果人人共享</w:t>
      </w:r>
      <w:r>
        <w:rPr>
          <w:rFonts w:hint="eastAsia" w:ascii="仿宋_GB2312" w:eastAsia="仿宋_GB2312" w:cstheme="minorBidi"/>
          <w:sz w:val="32"/>
          <w:szCs w:val="32"/>
          <w:lang w:eastAsia="zh-CN"/>
        </w:rPr>
        <w:t>，</w:t>
      </w:r>
      <w:r>
        <w:rPr>
          <w:rFonts w:hint="eastAsia" w:ascii="仿宋_GB2312" w:eastAsia="仿宋_GB2312" w:cstheme="minorBidi"/>
          <w:sz w:val="32"/>
          <w:szCs w:val="32"/>
        </w:rPr>
        <w:t>打造和谐乡镇。</w:t>
      </w:r>
    </w:p>
    <w:p>
      <w:pPr>
        <w:autoSpaceDE w:val="0"/>
        <w:autoSpaceDN w:val="0"/>
        <w:adjustRightInd w:val="0"/>
        <w:spacing w:line="560" w:lineRule="exact"/>
        <w:ind w:left="198" w:firstLine="640" w:firstLineChars="200"/>
        <w:rPr>
          <w:rFonts w:hint="eastAsia" w:ascii="仿宋_GB2312" w:eastAsia="仿宋_GB2312" w:cstheme="minorBidi"/>
          <w:sz w:val="32"/>
          <w:szCs w:val="32"/>
          <w:lang w:eastAsia="zh-CN"/>
        </w:rPr>
      </w:pPr>
      <w:r>
        <w:rPr>
          <w:rFonts w:hint="eastAsia" w:ascii="仿宋_GB2312" w:eastAsia="仿宋_GB2312" w:cstheme="minorBidi"/>
          <w:sz w:val="32"/>
          <w:szCs w:val="32"/>
        </w:rPr>
        <w:t>3、加强环境治理和生态环境保护工作</w:t>
      </w:r>
      <w:r>
        <w:rPr>
          <w:rFonts w:hint="eastAsia" w:ascii="仿宋_GB2312" w:eastAsia="仿宋_GB2312" w:cstheme="minorBidi"/>
          <w:sz w:val="32"/>
          <w:szCs w:val="32"/>
          <w:lang w:eastAsia="zh-CN"/>
        </w:rPr>
        <w:t>。</w:t>
      </w:r>
    </w:p>
    <w:p>
      <w:pPr>
        <w:autoSpaceDE w:val="0"/>
        <w:autoSpaceDN w:val="0"/>
        <w:adjustRightInd w:val="0"/>
        <w:spacing w:line="560" w:lineRule="exact"/>
        <w:ind w:left="198" w:firstLine="640" w:firstLineChars="200"/>
        <w:rPr>
          <w:rFonts w:hint="eastAsia" w:ascii="仿宋_GB2312" w:eastAsia="仿宋_GB2312" w:cstheme="minorBidi"/>
          <w:sz w:val="32"/>
          <w:szCs w:val="32"/>
        </w:rPr>
      </w:pPr>
      <w:r>
        <w:rPr>
          <w:rFonts w:hint="eastAsia" w:ascii="仿宋_GB2312" w:eastAsia="仿宋_GB2312" w:cstheme="minorBidi"/>
          <w:sz w:val="32"/>
          <w:szCs w:val="32"/>
        </w:rPr>
        <w:t>树立“大综治”格局理念将社会综合治理工作作为各项工作重中之重落实责任、健全制度、强化措施以建设“和谐环保乡镇”为目标,调整产业结构，发展绿化产业，增加污染，进一步清理小散乱污企业。加大禁烧力度，对农村各种陋俗进行疏导，移风易俗。</w:t>
      </w:r>
    </w:p>
    <w:p>
      <w:pPr>
        <w:autoSpaceDE w:val="0"/>
        <w:autoSpaceDN w:val="0"/>
        <w:adjustRightInd w:val="0"/>
        <w:spacing w:line="560" w:lineRule="exact"/>
        <w:ind w:left="198" w:firstLine="640" w:firstLineChars="200"/>
        <w:rPr>
          <w:rFonts w:hint="eastAsia" w:ascii="仿宋_GB2312" w:eastAsia="仿宋_GB2312" w:cstheme="minorBidi"/>
          <w:sz w:val="32"/>
          <w:szCs w:val="32"/>
        </w:rPr>
      </w:pPr>
      <w:r>
        <w:rPr>
          <w:rFonts w:hint="eastAsia" w:ascii="仿宋_GB2312" w:eastAsia="仿宋_GB2312" w:cstheme="minorBidi"/>
          <w:sz w:val="32"/>
          <w:szCs w:val="32"/>
        </w:rPr>
        <w:t>4、促进农村经济发展，壮大村集体经济。</w:t>
      </w:r>
    </w:p>
    <w:p>
      <w:pPr>
        <w:autoSpaceDE w:val="0"/>
        <w:autoSpaceDN w:val="0"/>
        <w:adjustRightInd w:val="0"/>
        <w:spacing w:line="560" w:lineRule="exact"/>
        <w:ind w:left="198" w:firstLine="640" w:firstLineChars="200"/>
        <w:rPr>
          <w:rFonts w:hint="eastAsia" w:ascii="仿宋_GB2312" w:eastAsia="仿宋_GB2312" w:cstheme="minorBidi"/>
          <w:sz w:val="32"/>
          <w:szCs w:val="32"/>
          <w:lang w:eastAsia="zh-CN"/>
        </w:rPr>
      </w:pPr>
      <w:r>
        <w:rPr>
          <w:rFonts w:hint="eastAsia" w:ascii="仿宋_GB2312" w:eastAsia="仿宋_GB2312" w:cstheme="minorBidi"/>
          <w:sz w:val="32"/>
          <w:szCs w:val="32"/>
        </w:rPr>
        <w:t>(1)科学制定本地产业发展规划谋划适应乡镇实际的经济发展模式</w:t>
      </w:r>
      <w:r>
        <w:rPr>
          <w:rFonts w:hint="eastAsia" w:ascii="仿宋_GB2312" w:eastAsia="仿宋_GB2312" w:cstheme="minorBidi"/>
          <w:sz w:val="32"/>
          <w:szCs w:val="32"/>
          <w:lang w:eastAsia="zh-CN"/>
        </w:rPr>
        <w:t>；</w:t>
      </w:r>
    </w:p>
    <w:p>
      <w:pPr>
        <w:autoSpaceDE w:val="0"/>
        <w:autoSpaceDN w:val="0"/>
        <w:adjustRightInd w:val="0"/>
        <w:spacing w:line="560" w:lineRule="exact"/>
        <w:ind w:left="198" w:firstLine="640" w:firstLineChars="200"/>
        <w:rPr>
          <w:rFonts w:hint="eastAsia" w:ascii="仿宋_GB2312" w:eastAsia="仿宋_GB2312" w:cstheme="minorBidi"/>
          <w:sz w:val="32"/>
          <w:szCs w:val="32"/>
          <w:lang w:eastAsia="zh-CN"/>
        </w:rPr>
      </w:pPr>
      <w:r>
        <w:rPr>
          <w:rFonts w:hint="eastAsia" w:ascii="仿宋_GB2312" w:eastAsia="仿宋_GB2312" w:cstheme="minorBidi"/>
          <w:sz w:val="32"/>
          <w:szCs w:val="32"/>
        </w:rPr>
        <w:t>(2)推进农业结构调整</w:t>
      </w:r>
      <w:r>
        <w:rPr>
          <w:rFonts w:hint="eastAsia" w:ascii="仿宋_GB2312" w:eastAsia="仿宋_GB2312" w:cstheme="minorBidi"/>
          <w:sz w:val="32"/>
          <w:szCs w:val="32"/>
          <w:lang w:eastAsia="zh-CN"/>
        </w:rPr>
        <w:t>动</w:t>
      </w:r>
      <w:r>
        <w:rPr>
          <w:rFonts w:hint="eastAsia" w:ascii="仿宋_GB2312" w:eastAsia="仿宋_GB2312" w:cstheme="minorBidi"/>
          <w:sz w:val="32"/>
          <w:szCs w:val="32"/>
        </w:rPr>
        <w:t>力提高农业产业化和农民进入市场的组织化水平促进粮食生产稳定发展农民持续增收</w:t>
      </w:r>
      <w:r>
        <w:rPr>
          <w:rFonts w:hint="eastAsia" w:ascii="仿宋_GB2312" w:eastAsia="仿宋_GB2312" w:cstheme="minorBidi"/>
          <w:sz w:val="32"/>
          <w:szCs w:val="32"/>
          <w:lang w:eastAsia="zh-CN"/>
        </w:rPr>
        <w:t>；</w:t>
      </w:r>
    </w:p>
    <w:p>
      <w:pPr>
        <w:autoSpaceDE w:val="0"/>
        <w:autoSpaceDN w:val="0"/>
        <w:adjustRightInd w:val="0"/>
        <w:spacing w:line="560" w:lineRule="exact"/>
        <w:ind w:left="198" w:firstLine="640" w:firstLineChars="200"/>
        <w:rPr>
          <w:rFonts w:hint="eastAsia" w:ascii="仿宋_GB2312" w:eastAsia="仿宋_GB2312" w:cstheme="minorBidi"/>
          <w:sz w:val="32"/>
          <w:szCs w:val="32"/>
        </w:rPr>
      </w:pPr>
      <w:r>
        <w:rPr>
          <w:rFonts w:hint="eastAsia" w:ascii="仿宋_GB2312" w:eastAsia="仿宋_GB2312" w:cstheme="minorBidi"/>
          <w:sz w:val="32"/>
          <w:szCs w:val="32"/>
        </w:rPr>
        <w:t>(3)营造良好的发展环境促进招商引资和项目建设</w:t>
      </w:r>
      <w:r>
        <w:rPr>
          <w:rFonts w:hint="eastAsia" w:ascii="仿宋_GB2312" w:eastAsia="仿宋_GB2312" w:cstheme="minorBidi"/>
          <w:sz w:val="32"/>
          <w:szCs w:val="32"/>
          <w:lang w:eastAsia="zh-CN"/>
        </w:rPr>
        <w:t>；</w:t>
      </w:r>
    </w:p>
    <w:p>
      <w:pPr>
        <w:numPr>
          <w:ilvl w:val="0"/>
          <w:numId w:val="0"/>
        </w:numPr>
        <w:spacing w:before="10" w:after="10" w:line="240" w:lineRule="auto"/>
        <w:jc w:val="left"/>
        <w:outlineLvl w:val="5"/>
        <w:rPr>
          <w:rFonts w:ascii="黑体" w:hAnsi="黑体" w:eastAsia="黑体" w:cs="黑体"/>
          <w:color w:val="000000"/>
          <w:sz w:val="32"/>
        </w:rPr>
      </w:pPr>
    </w:p>
    <w:p>
      <w:pPr>
        <w:numPr>
          <w:ilvl w:val="0"/>
          <w:numId w:val="0"/>
        </w:numPr>
        <w:spacing w:before="10" w:after="10" w:line="240" w:lineRule="auto"/>
        <w:jc w:val="left"/>
        <w:outlineLvl w:val="5"/>
        <w:rPr>
          <w:rFonts w:ascii="黑体" w:hAnsi="黑体" w:eastAsia="黑体" w:cs="黑体"/>
          <w:color w:val="000000"/>
          <w:sz w:val="32"/>
        </w:rPr>
      </w:pPr>
    </w:p>
    <w:p>
      <w:pPr>
        <w:numPr>
          <w:ilvl w:val="0"/>
          <w:numId w:val="0"/>
        </w:numPr>
        <w:spacing w:before="10" w:after="10" w:line="240" w:lineRule="auto"/>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1、漳河店镇政府财政所财政差额补贴绩效目标表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13042426P00000510022R</w:t>
            </w:r>
          </w:p>
        </w:tc>
        <w:tc>
          <w:tcPr>
            <w:tcW w:w="2835" w:type="dxa"/>
            <w:vAlign w:val="center"/>
          </w:tcPr>
          <w:p>
            <w:pPr>
              <w:pStyle w:val="10"/>
            </w:pPr>
            <w:r>
              <w:t>项目名称</w:t>
            </w:r>
          </w:p>
        </w:tc>
        <w:tc>
          <w:tcPr>
            <w:tcW w:w="6095" w:type="dxa"/>
            <w:gridSpan w:val="3"/>
            <w:vAlign w:val="center"/>
          </w:tcPr>
          <w:p>
            <w:pPr>
              <w:pStyle w:val="12"/>
            </w:pPr>
            <w:r>
              <w:t>漳河店镇政府财政所财政差额补贴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4.20</w:t>
            </w:r>
          </w:p>
        </w:tc>
        <w:tc>
          <w:tcPr>
            <w:tcW w:w="2835" w:type="dxa"/>
            <w:vAlign w:val="center"/>
          </w:tcPr>
          <w:p>
            <w:pPr>
              <w:pStyle w:val="10"/>
            </w:pPr>
            <w:r>
              <w:t>其中：财政    资金</w:t>
            </w:r>
          </w:p>
        </w:tc>
        <w:tc>
          <w:tcPr>
            <w:tcW w:w="2551" w:type="dxa"/>
            <w:vAlign w:val="center"/>
          </w:tcPr>
          <w:p>
            <w:pPr>
              <w:pStyle w:val="12"/>
            </w:pPr>
            <w:r>
              <w:t>4.20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保证机关正常运转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1.05</w:t>
            </w:r>
          </w:p>
        </w:tc>
        <w:tc>
          <w:tcPr>
            <w:tcW w:w="2835" w:type="dxa"/>
            <w:vAlign w:val="center"/>
          </w:tcPr>
          <w:p>
            <w:pPr>
              <w:pStyle w:val="13"/>
            </w:pPr>
            <w:r>
              <w:t>2.10</w:t>
            </w:r>
          </w:p>
        </w:tc>
        <w:tc>
          <w:tcPr>
            <w:tcW w:w="2551" w:type="dxa"/>
            <w:vAlign w:val="center"/>
          </w:tcPr>
          <w:p>
            <w:pPr>
              <w:pStyle w:val="13"/>
            </w:pPr>
            <w:r>
              <w:t>3.15</w:t>
            </w:r>
          </w:p>
        </w:tc>
        <w:tc>
          <w:tcPr>
            <w:tcW w:w="3544" w:type="dxa"/>
            <w:gridSpan w:val="2"/>
            <w:vAlign w:val="center"/>
          </w:tcPr>
          <w:p>
            <w:pPr>
              <w:pStyle w:val="13"/>
            </w:pPr>
            <w:r>
              <w:t>4.20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1.目标内容1用于差补人员工资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单位享受差补人员的人数</w:t>
            </w:r>
          </w:p>
        </w:tc>
        <w:tc>
          <w:tcPr>
            <w:tcW w:w="5386" w:type="dxa"/>
            <w:vAlign w:val="center"/>
          </w:tcPr>
          <w:p>
            <w:pPr>
              <w:pStyle w:val="12"/>
            </w:pPr>
            <w:r>
              <w:t>单位享受差补人员的人数</w:t>
            </w:r>
          </w:p>
        </w:tc>
        <w:tc>
          <w:tcPr>
            <w:tcW w:w="2268" w:type="dxa"/>
            <w:vAlign w:val="center"/>
          </w:tcPr>
          <w:p>
            <w:pPr>
              <w:pStyle w:val="12"/>
            </w:pPr>
            <w:r>
              <w:t>6人</w:t>
            </w:r>
          </w:p>
        </w:tc>
        <w:tc>
          <w:tcPr>
            <w:tcW w:w="1276" w:type="dxa"/>
            <w:vAlign w:val="center"/>
          </w:tcPr>
          <w:p>
            <w:pPr>
              <w:pStyle w:val="12"/>
            </w:pPr>
            <w:r>
              <w:t>实际发放人数为依据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差补工资发放率</w:t>
            </w:r>
          </w:p>
        </w:tc>
        <w:tc>
          <w:tcPr>
            <w:tcW w:w="5386" w:type="dxa"/>
            <w:vAlign w:val="center"/>
          </w:tcPr>
          <w:p>
            <w:pPr>
              <w:pStyle w:val="12"/>
            </w:pPr>
            <w:r>
              <w:t>差补工资发放率</w:t>
            </w:r>
          </w:p>
        </w:tc>
        <w:tc>
          <w:tcPr>
            <w:tcW w:w="2268" w:type="dxa"/>
            <w:vAlign w:val="center"/>
          </w:tcPr>
          <w:p>
            <w:pPr>
              <w:pStyle w:val="12"/>
            </w:pPr>
            <w:r>
              <w:t>100百分比</w:t>
            </w:r>
          </w:p>
        </w:tc>
        <w:tc>
          <w:tcPr>
            <w:tcW w:w="1276" w:type="dxa"/>
            <w:vAlign w:val="center"/>
          </w:tcPr>
          <w:p>
            <w:pPr>
              <w:pStyle w:val="12"/>
            </w:pPr>
            <w:r>
              <w:t>实际发放人数为依据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每年12月份前发放差补工资</w:t>
            </w:r>
          </w:p>
        </w:tc>
        <w:tc>
          <w:tcPr>
            <w:tcW w:w="5386" w:type="dxa"/>
            <w:vAlign w:val="center"/>
          </w:tcPr>
          <w:p>
            <w:pPr>
              <w:pStyle w:val="12"/>
            </w:pPr>
            <w:r>
              <w:t>每年12月份前发放差补工资</w:t>
            </w:r>
          </w:p>
        </w:tc>
        <w:tc>
          <w:tcPr>
            <w:tcW w:w="2268" w:type="dxa"/>
            <w:vAlign w:val="center"/>
          </w:tcPr>
          <w:p>
            <w:pPr>
              <w:pStyle w:val="12"/>
            </w:pPr>
            <w:r>
              <w:t>每年12月份前发放差补工资</w:t>
            </w:r>
          </w:p>
        </w:tc>
        <w:tc>
          <w:tcPr>
            <w:tcW w:w="1276" w:type="dxa"/>
            <w:vAlign w:val="center"/>
          </w:tcPr>
          <w:p>
            <w:pPr>
              <w:pStyle w:val="12"/>
            </w:pPr>
            <w:r>
              <w:t>实际发放差补工资的时间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每人每年发放资金金额</w:t>
            </w:r>
          </w:p>
        </w:tc>
        <w:tc>
          <w:tcPr>
            <w:tcW w:w="5386" w:type="dxa"/>
            <w:vAlign w:val="center"/>
          </w:tcPr>
          <w:p>
            <w:pPr>
              <w:pStyle w:val="12"/>
            </w:pPr>
            <w:r>
              <w:t>每人每年发放资金金额</w:t>
            </w:r>
          </w:p>
        </w:tc>
        <w:tc>
          <w:tcPr>
            <w:tcW w:w="2268" w:type="dxa"/>
            <w:vAlign w:val="center"/>
          </w:tcPr>
          <w:p>
            <w:pPr>
              <w:pStyle w:val="12"/>
            </w:pPr>
            <w:r>
              <w:t>6000元/人/年</w:t>
            </w:r>
          </w:p>
        </w:tc>
        <w:tc>
          <w:tcPr>
            <w:tcW w:w="1276" w:type="dxa"/>
            <w:vAlign w:val="center"/>
          </w:tcPr>
          <w:p>
            <w:pPr>
              <w:pStyle w:val="12"/>
            </w:pPr>
            <w:r>
              <w:t>实际发放差补工资金额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不涉及</w:t>
            </w:r>
          </w:p>
        </w:tc>
        <w:tc>
          <w:tcPr>
            <w:tcW w:w="5386" w:type="dxa"/>
            <w:vAlign w:val="center"/>
          </w:tcPr>
          <w:p>
            <w:pPr>
              <w:pStyle w:val="12"/>
            </w:pPr>
            <w:r>
              <w:t>不涉及</w:t>
            </w:r>
          </w:p>
        </w:tc>
        <w:tc>
          <w:tcPr>
            <w:tcW w:w="2268" w:type="dxa"/>
            <w:vAlign w:val="center"/>
          </w:tcPr>
          <w:p>
            <w:pPr>
              <w:pStyle w:val="12"/>
            </w:pPr>
            <w:r>
              <w:t>不涉及</w:t>
            </w:r>
          </w:p>
        </w:tc>
        <w:tc>
          <w:tcPr>
            <w:tcW w:w="1276"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提高工作效率</w:t>
            </w:r>
          </w:p>
        </w:tc>
        <w:tc>
          <w:tcPr>
            <w:tcW w:w="1276" w:type="dxa"/>
            <w:vAlign w:val="center"/>
          </w:tcPr>
          <w:p>
            <w:pPr>
              <w:pStyle w:val="12"/>
            </w:pPr>
            <w:r>
              <w:t>实际提高工作效率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有效提高工作质量</w:t>
            </w:r>
          </w:p>
        </w:tc>
        <w:tc>
          <w:tcPr>
            <w:tcW w:w="5386" w:type="dxa"/>
            <w:vAlign w:val="center"/>
          </w:tcPr>
          <w:p>
            <w:pPr>
              <w:pStyle w:val="12"/>
            </w:pPr>
            <w:r>
              <w:t>有效提高工作质量</w:t>
            </w:r>
          </w:p>
        </w:tc>
        <w:tc>
          <w:tcPr>
            <w:tcW w:w="2268" w:type="dxa"/>
            <w:vAlign w:val="center"/>
          </w:tcPr>
          <w:p>
            <w:pPr>
              <w:pStyle w:val="12"/>
            </w:pPr>
            <w:r>
              <w:t>有效提高工作质量</w:t>
            </w:r>
          </w:p>
        </w:tc>
        <w:tc>
          <w:tcPr>
            <w:tcW w:w="1276" w:type="dxa"/>
            <w:vAlign w:val="center"/>
          </w:tcPr>
          <w:p>
            <w:pPr>
              <w:pStyle w:val="12"/>
            </w:pPr>
            <w:r>
              <w:t>有效提高工作质量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不涉及</w:t>
            </w:r>
          </w:p>
        </w:tc>
        <w:tc>
          <w:tcPr>
            <w:tcW w:w="5386" w:type="dxa"/>
            <w:vAlign w:val="center"/>
          </w:tcPr>
          <w:p>
            <w:pPr>
              <w:pStyle w:val="12"/>
            </w:pPr>
            <w:r>
              <w:t>不涉及</w:t>
            </w:r>
          </w:p>
        </w:tc>
        <w:tc>
          <w:tcPr>
            <w:tcW w:w="2268" w:type="dxa"/>
            <w:vAlign w:val="center"/>
          </w:tcPr>
          <w:p>
            <w:pPr>
              <w:pStyle w:val="12"/>
            </w:pPr>
            <w:r>
              <w:t>不涉及</w:t>
            </w:r>
          </w:p>
        </w:tc>
        <w:tc>
          <w:tcPr>
            <w:tcW w:w="1276"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享受差补人员的满意度</w:t>
            </w:r>
          </w:p>
        </w:tc>
        <w:tc>
          <w:tcPr>
            <w:tcW w:w="5386" w:type="dxa"/>
            <w:vAlign w:val="center"/>
          </w:tcPr>
          <w:p>
            <w:pPr>
              <w:pStyle w:val="12"/>
            </w:pPr>
            <w:r>
              <w:t>享受差补人员的满意度</w:t>
            </w:r>
          </w:p>
        </w:tc>
        <w:tc>
          <w:tcPr>
            <w:tcW w:w="2268" w:type="dxa"/>
            <w:vAlign w:val="center"/>
          </w:tcPr>
          <w:p>
            <w:pPr>
              <w:pStyle w:val="12"/>
            </w:pPr>
            <w:r>
              <w:t>≥96百分比</w:t>
            </w:r>
          </w:p>
        </w:tc>
        <w:tc>
          <w:tcPr>
            <w:tcW w:w="1276" w:type="dxa"/>
            <w:vAlign w:val="center"/>
          </w:tcPr>
          <w:p>
            <w:pPr>
              <w:pStyle w:val="12"/>
            </w:pPr>
            <w:r>
              <w:t>调查差补人员得出满意度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2、2025年度中央彩票公益金漳河店镇郭坊姜营农村道路修建工程绩效目标表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13042425P00339110514E</w:t>
            </w:r>
          </w:p>
        </w:tc>
        <w:tc>
          <w:tcPr>
            <w:tcW w:w="2835" w:type="dxa"/>
            <w:vAlign w:val="center"/>
          </w:tcPr>
          <w:p>
            <w:pPr>
              <w:pStyle w:val="10"/>
            </w:pPr>
            <w:r>
              <w:t>项目名称</w:t>
            </w:r>
          </w:p>
        </w:tc>
        <w:tc>
          <w:tcPr>
            <w:tcW w:w="6095" w:type="dxa"/>
            <w:gridSpan w:val="3"/>
            <w:vAlign w:val="center"/>
          </w:tcPr>
          <w:p>
            <w:pPr>
              <w:pStyle w:val="12"/>
            </w:pPr>
            <w:r>
              <w:t>2025年度中央彩票公益金漳河店镇郭坊姜营农村道路修建工程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130.00</w:t>
            </w:r>
          </w:p>
        </w:tc>
        <w:tc>
          <w:tcPr>
            <w:tcW w:w="2835" w:type="dxa"/>
            <w:vAlign w:val="center"/>
          </w:tcPr>
          <w:p>
            <w:pPr>
              <w:pStyle w:val="10"/>
            </w:pPr>
            <w:r>
              <w:t>其中：财政    资金</w:t>
            </w:r>
          </w:p>
        </w:tc>
        <w:tc>
          <w:tcPr>
            <w:tcW w:w="2551" w:type="dxa"/>
            <w:vAlign w:val="center"/>
          </w:tcPr>
          <w:p>
            <w:pPr>
              <w:pStyle w:val="12"/>
            </w:pPr>
            <w:r>
              <w:t>130.00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用于支付郭坊姜营道路建设工程款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32.50</w:t>
            </w:r>
          </w:p>
        </w:tc>
        <w:tc>
          <w:tcPr>
            <w:tcW w:w="2835" w:type="dxa"/>
            <w:vAlign w:val="center"/>
          </w:tcPr>
          <w:p>
            <w:pPr>
              <w:pStyle w:val="13"/>
            </w:pPr>
            <w:r>
              <w:t>65.00</w:t>
            </w:r>
          </w:p>
        </w:tc>
        <w:tc>
          <w:tcPr>
            <w:tcW w:w="2551" w:type="dxa"/>
            <w:vAlign w:val="center"/>
          </w:tcPr>
          <w:p>
            <w:pPr>
              <w:pStyle w:val="13"/>
            </w:pPr>
            <w:r>
              <w:t>97.50</w:t>
            </w:r>
          </w:p>
        </w:tc>
        <w:tc>
          <w:tcPr>
            <w:tcW w:w="3544" w:type="dxa"/>
            <w:gridSpan w:val="2"/>
            <w:vAlign w:val="center"/>
          </w:tcPr>
          <w:p>
            <w:pPr>
              <w:pStyle w:val="13"/>
            </w:pPr>
            <w:r>
              <w:t>130.00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1.方便群众出行，提高群众幸福指数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硬化道路面积</w:t>
            </w:r>
          </w:p>
        </w:tc>
        <w:tc>
          <w:tcPr>
            <w:tcW w:w="5386" w:type="dxa"/>
            <w:vAlign w:val="center"/>
          </w:tcPr>
          <w:p>
            <w:pPr>
              <w:pStyle w:val="12"/>
            </w:pPr>
            <w:r>
              <w:t>实际验收硬化道路面积</w:t>
            </w:r>
          </w:p>
        </w:tc>
        <w:tc>
          <w:tcPr>
            <w:tcW w:w="2268" w:type="dxa"/>
            <w:vAlign w:val="center"/>
          </w:tcPr>
          <w:p>
            <w:pPr>
              <w:pStyle w:val="12"/>
            </w:pPr>
            <w:r>
              <w:t>≥12000平方米</w:t>
            </w:r>
          </w:p>
        </w:tc>
        <w:tc>
          <w:tcPr>
            <w:tcW w:w="1276" w:type="dxa"/>
            <w:vAlign w:val="center"/>
          </w:tcPr>
          <w:p>
            <w:pPr>
              <w:pStyle w:val="12"/>
            </w:pPr>
            <w:r>
              <w:t>结算 竣工图纸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通过验收的工程量占建设总量的比率</w:t>
            </w:r>
          </w:p>
        </w:tc>
        <w:tc>
          <w:tcPr>
            <w:tcW w:w="2268" w:type="dxa"/>
            <w:vAlign w:val="center"/>
          </w:tcPr>
          <w:p>
            <w:pPr>
              <w:pStyle w:val="12"/>
            </w:pPr>
            <w:r>
              <w:t>≥95百分比</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工程完成时间</w:t>
            </w:r>
          </w:p>
        </w:tc>
        <w:tc>
          <w:tcPr>
            <w:tcW w:w="5386" w:type="dxa"/>
            <w:vAlign w:val="center"/>
          </w:tcPr>
          <w:p>
            <w:pPr>
              <w:pStyle w:val="12"/>
            </w:pPr>
            <w:r>
              <w:t>工程施工天数</w:t>
            </w:r>
          </w:p>
        </w:tc>
        <w:tc>
          <w:tcPr>
            <w:tcW w:w="2268" w:type="dxa"/>
            <w:vAlign w:val="center"/>
          </w:tcPr>
          <w:p>
            <w:pPr>
              <w:pStyle w:val="12"/>
            </w:pPr>
            <w:r>
              <w:t>≤60天</w:t>
            </w:r>
          </w:p>
        </w:tc>
        <w:tc>
          <w:tcPr>
            <w:tcW w:w="1276" w:type="dxa"/>
            <w:vAlign w:val="center"/>
          </w:tcPr>
          <w:p>
            <w:pPr>
              <w:pStyle w:val="12"/>
            </w:pPr>
            <w:r>
              <w:t>竣工报告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每平米成本</w:t>
            </w:r>
          </w:p>
        </w:tc>
        <w:tc>
          <w:tcPr>
            <w:tcW w:w="5386" w:type="dxa"/>
            <w:vAlign w:val="center"/>
          </w:tcPr>
          <w:p>
            <w:pPr>
              <w:pStyle w:val="12"/>
            </w:pPr>
            <w:r>
              <w:t>硬化道路每平米成本</w:t>
            </w:r>
          </w:p>
        </w:tc>
        <w:tc>
          <w:tcPr>
            <w:tcW w:w="2268" w:type="dxa"/>
            <w:vAlign w:val="center"/>
          </w:tcPr>
          <w:p>
            <w:pPr>
              <w:pStyle w:val="12"/>
            </w:pPr>
            <w:r>
              <w:t>≤108元</w:t>
            </w:r>
          </w:p>
        </w:tc>
        <w:tc>
          <w:tcPr>
            <w:tcW w:w="1276" w:type="dxa"/>
            <w:vAlign w:val="center"/>
          </w:tcPr>
          <w:p>
            <w:pPr>
              <w:pStyle w:val="12"/>
            </w:pPr>
            <w:r>
              <w:t>财务手续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不涉及</w:t>
            </w:r>
          </w:p>
        </w:tc>
        <w:tc>
          <w:tcPr>
            <w:tcW w:w="5386" w:type="dxa"/>
            <w:vAlign w:val="center"/>
          </w:tcPr>
          <w:p>
            <w:pPr>
              <w:pStyle w:val="12"/>
            </w:pPr>
            <w:r>
              <w:t>不涉及</w:t>
            </w:r>
          </w:p>
        </w:tc>
        <w:tc>
          <w:tcPr>
            <w:tcW w:w="2268" w:type="dxa"/>
            <w:vAlign w:val="center"/>
          </w:tcPr>
          <w:p>
            <w:pPr>
              <w:pStyle w:val="12"/>
            </w:pPr>
            <w:r>
              <w:t>不涉及</w:t>
            </w:r>
          </w:p>
        </w:tc>
        <w:tc>
          <w:tcPr>
            <w:tcW w:w="1276"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道路硬化完成后方便群众出行</w:t>
            </w:r>
          </w:p>
        </w:tc>
        <w:tc>
          <w:tcPr>
            <w:tcW w:w="5386" w:type="dxa"/>
            <w:vAlign w:val="center"/>
          </w:tcPr>
          <w:p>
            <w:pPr>
              <w:pStyle w:val="12"/>
            </w:pPr>
            <w:r>
              <w:t>道路硬化完成后方便群众出行</w:t>
            </w:r>
          </w:p>
        </w:tc>
        <w:tc>
          <w:tcPr>
            <w:tcW w:w="2268" w:type="dxa"/>
            <w:vAlign w:val="center"/>
          </w:tcPr>
          <w:p>
            <w:pPr>
              <w:pStyle w:val="12"/>
            </w:pPr>
            <w:r>
              <w:t>有所提高</w:t>
            </w:r>
          </w:p>
        </w:tc>
        <w:tc>
          <w:tcPr>
            <w:tcW w:w="1276" w:type="dxa"/>
            <w:vAlign w:val="center"/>
          </w:tcPr>
          <w:p>
            <w:pPr>
              <w:pStyle w:val="12"/>
            </w:pPr>
            <w:r>
              <w:t>入户调查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不涉及</w:t>
            </w:r>
          </w:p>
        </w:tc>
        <w:tc>
          <w:tcPr>
            <w:tcW w:w="5386" w:type="dxa"/>
            <w:vAlign w:val="center"/>
          </w:tcPr>
          <w:p>
            <w:pPr>
              <w:pStyle w:val="12"/>
            </w:pPr>
            <w:r>
              <w:t>不涉及</w:t>
            </w:r>
          </w:p>
        </w:tc>
        <w:tc>
          <w:tcPr>
            <w:tcW w:w="2268" w:type="dxa"/>
            <w:vAlign w:val="center"/>
          </w:tcPr>
          <w:p>
            <w:pPr>
              <w:pStyle w:val="12"/>
            </w:pPr>
            <w:r>
              <w:t>不涉及</w:t>
            </w:r>
          </w:p>
        </w:tc>
        <w:tc>
          <w:tcPr>
            <w:tcW w:w="1276"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长期满足人民群众对高生活质量的需求</w:t>
            </w:r>
          </w:p>
        </w:tc>
        <w:tc>
          <w:tcPr>
            <w:tcW w:w="5386" w:type="dxa"/>
            <w:vAlign w:val="center"/>
          </w:tcPr>
          <w:p>
            <w:pPr>
              <w:pStyle w:val="12"/>
            </w:pPr>
            <w:r>
              <w:t>长期满足人民群众对高生活质量的需求</w:t>
            </w:r>
          </w:p>
        </w:tc>
        <w:tc>
          <w:tcPr>
            <w:tcW w:w="2268" w:type="dxa"/>
            <w:vAlign w:val="center"/>
          </w:tcPr>
          <w:p>
            <w:pPr>
              <w:pStyle w:val="12"/>
            </w:pPr>
            <w:r>
              <w:t>生活质量提高</w:t>
            </w:r>
          </w:p>
        </w:tc>
        <w:tc>
          <w:tcPr>
            <w:tcW w:w="1276" w:type="dxa"/>
            <w:vAlign w:val="center"/>
          </w:tcPr>
          <w:p>
            <w:pPr>
              <w:pStyle w:val="12"/>
            </w:pPr>
            <w:r>
              <w:t>入户调查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提高服务对象的满意度</w:t>
            </w:r>
          </w:p>
        </w:tc>
        <w:tc>
          <w:tcPr>
            <w:tcW w:w="5386" w:type="dxa"/>
            <w:vAlign w:val="center"/>
          </w:tcPr>
          <w:p>
            <w:pPr>
              <w:pStyle w:val="12"/>
            </w:pPr>
            <w:r>
              <w:t>满意人数占全部村民比率整体满意度</w:t>
            </w:r>
          </w:p>
        </w:tc>
        <w:tc>
          <w:tcPr>
            <w:tcW w:w="2268" w:type="dxa"/>
            <w:vAlign w:val="center"/>
          </w:tcPr>
          <w:p>
            <w:pPr>
              <w:pStyle w:val="12"/>
            </w:pPr>
            <w:r>
              <w:t>≥95百分比</w:t>
            </w:r>
          </w:p>
        </w:tc>
        <w:tc>
          <w:tcPr>
            <w:tcW w:w="1276" w:type="dxa"/>
            <w:vAlign w:val="center"/>
          </w:tcPr>
          <w:p>
            <w:pPr>
              <w:pStyle w:val="12"/>
            </w:pPr>
            <w:r>
              <w:t>入户调查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3、漳河店镇村级组织办公经费绩效目标表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13042426P00003310018X</w:t>
            </w:r>
          </w:p>
        </w:tc>
        <w:tc>
          <w:tcPr>
            <w:tcW w:w="2835" w:type="dxa"/>
            <w:vAlign w:val="center"/>
          </w:tcPr>
          <w:p>
            <w:pPr>
              <w:pStyle w:val="10"/>
            </w:pPr>
            <w:r>
              <w:t>项目名称</w:t>
            </w:r>
          </w:p>
        </w:tc>
        <w:tc>
          <w:tcPr>
            <w:tcW w:w="6095" w:type="dxa"/>
            <w:gridSpan w:val="3"/>
            <w:vAlign w:val="center"/>
          </w:tcPr>
          <w:p>
            <w:pPr>
              <w:pStyle w:val="12"/>
            </w:pPr>
            <w:r>
              <w:t>漳河店镇村级组织办公经费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44.21</w:t>
            </w:r>
          </w:p>
        </w:tc>
        <w:tc>
          <w:tcPr>
            <w:tcW w:w="2835" w:type="dxa"/>
            <w:vAlign w:val="center"/>
          </w:tcPr>
          <w:p>
            <w:pPr>
              <w:pStyle w:val="10"/>
            </w:pPr>
            <w:r>
              <w:t>其中：财政    资金</w:t>
            </w:r>
          </w:p>
        </w:tc>
        <w:tc>
          <w:tcPr>
            <w:tcW w:w="2551" w:type="dxa"/>
            <w:vAlign w:val="center"/>
          </w:tcPr>
          <w:p>
            <w:pPr>
              <w:pStyle w:val="12"/>
            </w:pPr>
            <w:r>
              <w:t>44.21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用于支付26村村级办公费用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11.05</w:t>
            </w:r>
          </w:p>
        </w:tc>
        <w:tc>
          <w:tcPr>
            <w:tcW w:w="2835" w:type="dxa"/>
            <w:vAlign w:val="center"/>
          </w:tcPr>
          <w:p>
            <w:pPr>
              <w:pStyle w:val="13"/>
            </w:pPr>
            <w:r>
              <w:t>22.11</w:t>
            </w:r>
          </w:p>
        </w:tc>
        <w:tc>
          <w:tcPr>
            <w:tcW w:w="2551" w:type="dxa"/>
            <w:vAlign w:val="center"/>
          </w:tcPr>
          <w:p>
            <w:pPr>
              <w:pStyle w:val="13"/>
            </w:pPr>
            <w:r>
              <w:t>33.16</w:t>
            </w:r>
          </w:p>
        </w:tc>
        <w:tc>
          <w:tcPr>
            <w:tcW w:w="3544" w:type="dxa"/>
            <w:gridSpan w:val="2"/>
            <w:vAlign w:val="center"/>
          </w:tcPr>
          <w:p>
            <w:pPr>
              <w:pStyle w:val="13"/>
            </w:pPr>
            <w:r>
              <w:t>44.21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1.用于支付村级办公费用。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发放村级转移支付的村数量</w:t>
            </w:r>
          </w:p>
        </w:tc>
        <w:tc>
          <w:tcPr>
            <w:tcW w:w="5386" w:type="dxa"/>
            <w:vAlign w:val="center"/>
          </w:tcPr>
          <w:p>
            <w:pPr>
              <w:pStyle w:val="12"/>
            </w:pPr>
            <w:r>
              <w:t>发放村级转移支付的村数量</w:t>
            </w:r>
          </w:p>
        </w:tc>
        <w:tc>
          <w:tcPr>
            <w:tcW w:w="2268" w:type="dxa"/>
            <w:vAlign w:val="center"/>
          </w:tcPr>
          <w:p>
            <w:pPr>
              <w:pStyle w:val="12"/>
            </w:pPr>
            <w:r>
              <w:t>26个</w:t>
            </w:r>
          </w:p>
        </w:tc>
        <w:tc>
          <w:tcPr>
            <w:tcW w:w="1276" w:type="dxa"/>
            <w:vAlign w:val="center"/>
          </w:tcPr>
          <w:p>
            <w:pPr>
              <w:pStyle w:val="12"/>
            </w:pPr>
            <w:r>
              <w:t>实际发放凭证为依据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每村每年发放村级转移支付金额</w:t>
            </w:r>
          </w:p>
        </w:tc>
        <w:tc>
          <w:tcPr>
            <w:tcW w:w="5386" w:type="dxa"/>
            <w:vAlign w:val="center"/>
          </w:tcPr>
          <w:p>
            <w:pPr>
              <w:pStyle w:val="12"/>
            </w:pPr>
            <w:r>
              <w:t>每村每年发放村级转移支付金额</w:t>
            </w:r>
          </w:p>
        </w:tc>
        <w:tc>
          <w:tcPr>
            <w:tcW w:w="2268" w:type="dxa"/>
            <w:vAlign w:val="center"/>
          </w:tcPr>
          <w:p>
            <w:pPr>
              <w:pStyle w:val="12"/>
            </w:pPr>
            <w:r>
              <w:t>≥18070元/村/年</w:t>
            </w:r>
          </w:p>
        </w:tc>
        <w:tc>
          <w:tcPr>
            <w:tcW w:w="1276" w:type="dxa"/>
            <w:vAlign w:val="center"/>
          </w:tcPr>
          <w:p>
            <w:pPr>
              <w:pStyle w:val="12"/>
            </w:pPr>
            <w:r>
              <w:t>实际拨款凭证为依据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村级转移支付拨款率</w:t>
            </w:r>
          </w:p>
        </w:tc>
        <w:tc>
          <w:tcPr>
            <w:tcW w:w="5386" w:type="dxa"/>
            <w:vAlign w:val="center"/>
          </w:tcPr>
          <w:p>
            <w:pPr>
              <w:pStyle w:val="12"/>
            </w:pPr>
            <w:r>
              <w:t>村级转移支付对各村拨款率</w:t>
            </w:r>
          </w:p>
        </w:tc>
        <w:tc>
          <w:tcPr>
            <w:tcW w:w="2268" w:type="dxa"/>
            <w:vAlign w:val="center"/>
          </w:tcPr>
          <w:p>
            <w:pPr>
              <w:pStyle w:val="12"/>
            </w:pPr>
            <w:r>
              <w:t>100百分比</w:t>
            </w:r>
          </w:p>
        </w:tc>
        <w:tc>
          <w:tcPr>
            <w:tcW w:w="1276" w:type="dxa"/>
            <w:vAlign w:val="center"/>
          </w:tcPr>
          <w:p>
            <w:pPr>
              <w:pStyle w:val="12"/>
            </w:pPr>
            <w:r>
              <w:t>实际发放工资表为依据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村级转移支付在每月月底前发放</w:t>
            </w:r>
          </w:p>
        </w:tc>
        <w:tc>
          <w:tcPr>
            <w:tcW w:w="5386" w:type="dxa"/>
            <w:vAlign w:val="center"/>
          </w:tcPr>
          <w:p>
            <w:pPr>
              <w:pStyle w:val="12"/>
            </w:pPr>
            <w:r>
              <w:t>村级转移支付在每月月底前发放</w:t>
            </w:r>
          </w:p>
        </w:tc>
        <w:tc>
          <w:tcPr>
            <w:tcW w:w="2268" w:type="dxa"/>
            <w:vAlign w:val="center"/>
          </w:tcPr>
          <w:p>
            <w:pPr>
              <w:pStyle w:val="12"/>
            </w:pPr>
            <w:r>
              <w:t>100百分比</w:t>
            </w:r>
          </w:p>
        </w:tc>
        <w:tc>
          <w:tcPr>
            <w:tcW w:w="1276" w:type="dxa"/>
            <w:vAlign w:val="center"/>
          </w:tcPr>
          <w:p>
            <w:pPr>
              <w:pStyle w:val="12"/>
            </w:pPr>
            <w:r>
              <w:t>实际拨款凭证为依据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不涉及</w:t>
            </w:r>
          </w:p>
        </w:tc>
        <w:tc>
          <w:tcPr>
            <w:tcW w:w="5386" w:type="dxa"/>
            <w:vAlign w:val="center"/>
          </w:tcPr>
          <w:p>
            <w:pPr>
              <w:pStyle w:val="12"/>
            </w:pPr>
            <w:r>
              <w:t>不涉及</w:t>
            </w:r>
          </w:p>
        </w:tc>
        <w:tc>
          <w:tcPr>
            <w:tcW w:w="2268" w:type="dxa"/>
            <w:vAlign w:val="center"/>
          </w:tcPr>
          <w:p>
            <w:pPr>
              <w:pStyle w:val="12"/>
            </w:pPr>
            <w:r>
              <w:t>不涉及</w:t>
            </w:r>
          </w:p>
        </w:tc>
        <w:tc>
          <w:tcPr>
            <w:tcW w:w="1276"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提高镇村两级工作效率</w:t>
            </w:r>
          </w:p>
        </w:tc>
        <w:tc>
          <w:tcPr>
            <w:tcW w:w="5386" w:type="dxa"/>
            <w:vAlign w:val="center"/>
          </w:tcPr>
          <w:p>
            <w:pPr>
              <w:pStyle w:val="12"/>
            </w:pPr>
            <w:r>
              <w:t>提高镇村两级工作效率</w:t>
            </w:r>
          </w:p>
        </w:tc>
        <w:tc>
          <w:tcPr>
            <w:tcW w:w="2268" w:type="dxa"/>
            <w:vAlign w:val="center"/>
          </w:tcPr>
          <w:p>
            <w:pPr>
              <w:pStyle w:val="12"/>
            </w:pPr>
            <w:r>
              <w:t>提高镇村两级工作效率</w:t>
            </w:r>
          </w:p>
        </w:tc>
        <w:tc>
          <w:tcPr>
            <w:tcW w:w="1276" w:type="dxa"/>
            <w:vAlign w:val="center"/>
          </w:tcPr>
          <w:p>
            <w:pPr>
              <w:pStyle w:val="12"/>
            </w:pPr>
            <w:r>
              <w:t>提高镇村两级工作效率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不涉及</w:t>
            </w:r>
          </w:p>
        </w:tc>
        <w:tc>
          <w:tcPr>
            <w:tcW w:w="5386" w:type="dxa"/>
            <w:vAlign w:val="center"/>
          </w:tcPr>
          <w:p>
            <w:pPr>
              <w:pStyle w:val="12"/>
            </w:pPr>
            <w:r>
              <w:t>不涉及</w:t>
            </w:r>
          </w:p>
        </w:tc>
        <w:tc>
          <w:tcPr>
            <w:tcW w:w="2268" w:type="dxa"/>
            <w:vAlign w:val="center"/>
          </w:tcPr>
          <w:p>
            <w:pPr>
              <w:pStyle w:val="12"/>
            </w:pPr>
            <w:r>
              <w:t>不涉及</w:t>
            </w:r>
          </w:p>
        </w:tc>
        <w:tc>
          <w:tcPr>
            <w:tcW w:w="1276"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保障日常办公</w:t>
            </w:r>
          </w:p>
        </w:tc>
        <w:tc>
          <w:tcPr>
            <w:tcW w:w="5386" w:type="dxa"/>
            <w:vAlign w:val="center"/>
          </w:tcPr>
          <w:p>
            <w:pPr>
              <w:pStyle w:val="12"/>
            </w:pPr>
            <w:r>
              <w:t>保障日常办公</w:t>
            </w:r>
          </w:p>
        </w:tc>
        <w:tc>
          <w:tcPr>
            <w:tcW w:w="2268" w:type="dxa"/>
            <w:vAlign w:val="center"/>
          </w:tcPr>
          <w:p>
            <w:pPr>
              <w:pStyle w:val="12"/>
            </w:pPr>
            <w:r>
              <w:t>保障日常办公</w:t>
            </w:r>
          </w:p>
        </w:tc>
        <w:tc>
          <w:tcPr>
            <w:tcW w:w="1276" w:type="dxa"/>
            <w:vAlign w:val="center"/>
          </w:tcPr>
          <w:p>
            <w:pPr>
              <w:pStyle w:val="12"/>
            </w:pPr>
            <w:r>
              <w:t>保障日常办公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村级转移支付发放的满意度</w:t>
            </w:r>
          </w:p>
        </w:tc>
        <w:tc>
          <w:tcPr>
            <w:tcW w:w="5386" w:type="dxa"/>
            <w:vAlign w:val="center"/>
          </w:tcPr>
          <w:p>
            <w:pPr>
              <w:pStyle w:val="12"/>
            </w:pPr>
            <w:r>
              <w:t>村级转移支付发放的满意度</w:t>
            </w:r>
          </w:p>
        </w:tc>
        <w:tc>
          <w:tcPr>
            <w:tcW w:w="2268" w:type="dxa"/>
            <w:vAlign w:val="center"/>
          </w:tcPr>
          <w:p>
            <w:pPr>
              <w:pStyle w:val="12"/>
            </w:pPr>
            <w:r>
              <w:t>≥96百分比</w:t>
            </w:r>
          </w:p>
        </w:tc>
        <w:tc>
          <w:tcPr>
            <w:tcW w:w="1276" w:type="dxa"/>
            <w:vAlign w:val="center"/>
          </w:tcPr>
          <w:p>
            <w:pPr>
              <w:pStyle w:val="12"/>
            </w:pPr>
            <w:r>
              <w:t>自筹人员及各村对工资及转移支付发放的满意度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4、漳河店镇党委值班值守视频系统服务费绩效目标表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13042426P00002810024G</w:t>
            </w:r>
          </w:p>
        </w:tc>
        <w:tc>
          <w:tcPr>
            <w:tcW w:w="2835" w:type="dxa"/>
            <w:vAlign w:val="center"/>
          </w:tcPr>
          <w:p>
            <w:pPr>
              <w:pStyle w:val="10"/>
            </w:pPr>
            <w:r>
              <w:t>项目名称</w:t>
            </w:r>
          </w:p>
        </w:tc>
        <w:tc>
          <w:tcPr>
            <w:tcW w:w="6095" w:type="dxa"/>
            <w:gridSpan w:val="3"/>
            <w:vAlign w:val="center"/>
          </w:tcPr>
          <w:p>
            <w:pPr>
              <w:pStyle w:val="12"/>
            </w:pPr>
            <w:r>
              <w:t>漳河店镇党委值班值守视频系统服务费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用于支付应急管理系统的费用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1.25</w:t>
            </w:r>
          </w:p>
        </w:tc>
        <w:tc>
          <w:tcPr>
            <w:tcW w:w="2835" w:type="dxa"/>
            <w:vAlign w:val="center"/>
          </w:tcPr>
          <w:p>
            <w:pPr>
              <w:pStyle w:val="13"/>
            </w:pPr>
            <w:r>
              <w:t>2.50</w:t>
            </w:r>
          </w:p>
        </w:tc>
        <w:tc>
          <w:tcPr>
            <w:tcW w:w="2551" w:type="dxa"/>
            <w:vAlign w:val="center"/>
          </w:tcPr>
          <w:p>
            <w:pPr>
              <w:pStyle w:val="13"/>
            </w:pPr>
            <w:r>
              <w:t>3.75</w:t>
            </w:r>
          </w:p>
        </w:tc>
        <w:tc>
          <w:tcPr>
            <w:tcW w:w="3544"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1.用于支付应急管理系统的费用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全镇安装党委应急值守调度系统套数</w:t>
            </w:r>
          </w:p>
        </w:tc>
        <w:tc>
          <w:tcPr>
            <w:tcW w:w="5386" w:type="dxa"/>
            <w:vAlign w:val="center"/>
          </w:tcPr>
          <w:p>
            <w:pPr>
              <w:pStyle w:val="12"/>
            </w:pPr>
            <w:r>
              <w:t>全镇安装党委应急值守调度系统套数</w:t>
            </w:r>
          </w:p>
        </w:tc>
        <w:tc>
          <w:tcPr>
            <w:tcW w:w="2268" w:type="dxa"/>
            <w:vAlign w:val="center"/>
          </w:tcPr>
          <w:p>
            <w:pPr>
              <w:pStyle w:val="12"/>
            </w:pPr>
            <w:r>
              <w:t>1套</w:t>
            </w:r>
          </w:p>
        </w:tc>
        <w:tc>
          <w:tcPr>
            <w:tcW w:w="1276" w:type="dxa"/>
            <w:vAlign w:val="center"/>
          </w:tcPr>
          <w:p>
            <w:pPr>
              <w:pStyle w:val="12"/>
            </w:pPr>
            <w:r>
              <w:t>入网协议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验收系统运行良好，提高应急调度能力。</w:t>
            </w:r>
          </w:p>
        </w:tc>
        <w:tc>
          <w:tcPr>
            <w:tcW w:w="5386" w:type="dxa"/>
            <w:vAlign w:val="center"/>
          </w:tcPr>
          <w:p>
            <w:pPr>
              <w:pStyle w:val="12"/>
            </w:pPr>
            <w:r>
              <w:t>验收系统运行良好，提高应急调度能力。</w:t>
            </w:r>
          </w:p>
        </w:tc>
        <w:tc>
          <w:tcPr>
            <w:tcW w:w="2268" w:type="dxa"/>
            <w:vAlign w:val="center"/>
          </w:tcPr>
          <w:p>
            <w:pPr>
              <w:pStyle w:val="12"/>
            </w:pPr>
            <w:r>
              <w:t>验收系统运行良好，提高应急调度能力。</w:t>
            </w:r>
          </w:p>
        </w:tc>
        <w:tc>
          <w:tcPr>
            <w:tcW w:w="1276" w:type="dxa"/>
            <w:vAlign w:val="center"/>
          </w:tcPr>
          <w:p>
            <w:pPr>
              <w:pStyle w:val="12"/>
            </w:pPr>
            <w:r>
              <w:t>验收系统运行良好，提高应急调度能力。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应急值守调度系统信息技术服务年限</w:t>
            </w:r>
          </w:p>
        </w:tc>
        <w:tc>
          <w:tcPr>
            <w:tcW w:w="5386" w:type="dxa"/>
            <w:vAlign w:val="center"/>
          </w:tcPr>
          <w:p>
            <w:pPr>
              <w:pStyle w:val="12"/>
            </w:pPr>
            <w:r>
              <w:t>应急值守调度系统信息技术服务年限</w:t>
            </w:r>
          </w:p>
        </w:tc>
        <w:tc>
          <w:tcPr>
            <w:tcW w:w="2268" w:type="dxa"/>
            <w:vAlign w:val="center"/>
          </w:tcPr>
          <w:p>
            <w:pPr>
              <w:pStyle w:val="12"/>
            </w:pPr>
            <w:r>
              <w:t>1年</w:t>
            </w:r>
          </w:p>
        </w:tc>
        <w:tc>
          <w:tcPr>
            <w:tcW w:w="1276" w:type="dxa"/>
            <w:vAlign w:val="center"/>
          </w:tcPr>
          <w:p>
            <w:pPr>
              <w:pStyle w:val="12"/>
            </w:pPr>
            <w:r>
              <w:t>入网协议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每年每套应急调度系统信息服务费</w:t>
            </w:r>
          </w:p>
        </w:tc>
        <w:tc>
          <w:tcPr>
            <w:tcW w:w="5386" w:type="dxa"/>
            <w:vAlign w:val="center"/>
          </w:tcPr>
          <w:p>
            <w:pPr>
              <w:pStyle w:val="12"/>
            </w:pPr>
            <w:r>
              <w:t>每年每套应急调度系统信息服务费</w:t>
            </w:r>
          </w:p>
        </w:tc>
        <w:tc>
          <w:tcPr>
            <w:tcW w:w="2268" w:type="dxa"/>
            <w:vAlign w:val="center"/>
          </w:tcPr>
          <w:p>
            <w:pPr>
              <w:pStyle w:val="12"/>
            </w:pPr>
            <w:r>
              <w:t>5万元</w:t>
            </w:r>
          </w:p>
        </w:tc>
        <w:tc>
          <w:tcPr>
            <w:tcW w:w="1276" w:type="dxa"/>
            <w:vAlign w:val="center"/>
          </w:tcPr>
          <w:p>
            <w:pPr>
              <w:pStyle w:val="12"/>
            </w:pPr>
            <w:r>
              <w:t>入网协议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提升应急调度能力，及时发现事故减少经济损失。</w:t>
            </w:r>
          </w:p>
        </w:tc>
        <w:tc>
          <w:tcPr>
            <w:tcW w:w="5386" w:type="dxa"/>
            <w:vAlign w:val="center"/>
          </w:tcPr>
          <w:p>
            <w:pPr>
              <w:pStyle w:val="12"/>
            </w:pPr>
            <w:r>
              <w:t>提升应急调度能力，及时发现事故减少经济损失。</w:t>
            </w:r>
          </w:p>
        </w:tc>
        <w:tc>
          <w:tcPr>
            <w:tcW w:w="2268" w:type="dxa"/>
            <w:vAlign w:val="center"/>
          </w:tcPr>
          <w:p>
            <w:pPr>
              <w:pStyle w:val="12"/>
            </w:pPr>
            <w:r>
              <w:t>提升应急调度能力，及时发现事故减少经济损失。</w:t>
            </w:r>
          </w:p>
        </w:tc>
        <w:tc>
          <w:tcPr>
            <w:tcW w:w="1276" w:type="dxa"/>
            <w:vAlign w:val="center"/>
          </w:tcPr>
          <w:p>
            <w:pPr>
              <w:pStyle w:val="12"/>
            </w:pPr>
            <w:r>
              <w:t>提升应急调度能力，及时发现事故减少经济损失。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发放应急事故及时调度解决率</w:t>
            </w:r>
          </w:p>
        </w:tc>
        <w:tc>
          <w:tcPr>
            <w:tcW w:w="5386" w:type="dxa"/>
            <w:vAlign w:val="center"/>
          </w:tcPr>
          <w:p>
            <w:pPr>
              <w:pStyle w:val="12"/>
            </w:pPr>
            <w:r>
              <w:t>发放应急事故及时调度解决率</w:t>
            </w:r>
          </w:p>
        </w:tc>
        <w:tc>
          <w:tcPr>
            <w:tcW w:w="2268" w:type="dxa"/>
            <w:vAlign w:val="center"/>
          </w:tcPr>
          <w:p>
            <w:pPr>
              <w:pStyle w:val="12"/>
            </w:pPr>
            <w:r>
              <w:t>100百分比</w:t>
            </w:r>
          </w:p>
        </w:tc>
        <w:tc>
          <w:tcPr>
            <w:tcW w:w="1276" w:type="dxa"/>
            <w:vAlign w:val="center"/>
          </w:tcPr>
          <w:p>
            <w:pPr>
              <w:pStyle w:val="12"/>
            </w:pPr>
            <w:r>
              <w:t>发放应急事故及时调度解决率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发现焚烧等破坏环保事故，及时解决，保护环境。</w:t>
            </w:r>
          </w:p>
        </w:tc>
        <w:tc>
          <w:tcPr>
            <w:tcW w:w="5386" w:type="dxa"/>
            <w:vAlign w:val="center"/>
          </w:tcPr>
          <w:p>
            <w:pPr>
              <w:pStyle w:val="12"/>
            </w:pPr>
            <w:r>
              <w:t>发现焚烧等破坏环保事故，及时解决，保护环境。</w:t>
            </w:r>
          </w:p>
        </w:tc>
        <w:tc>
          <w:tcPr>
            <w:tcW w:w="2268" w:type="dxa"/>
            <w:vAlign w:val="center"/>
          </w:tcPr>
          <w:p>
            <w:pPr>
              <w:pStyle w:val="12"/>
            </w:pPr>
            <w:r>
              <w:t>发现焚烧等破坏环保事故，及时解决，保护环境。</w:t>
            </w:r>
          </w:p>
        </w:tc>
        <w:tc>
          <w:tcPr>
            <w:tcW w:w="1276" w:type="dxa"/>
            <w:vAlign w:val="center"/>
          </w:tcPr>
          <w:p>
            <w:pPr>
              <w:pStyle w:val="12"/>
            </w:pPr>
            <w:r>
              <w:t>发现焚烧等破坏环保事故，及时解决，保护环境。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可持续服务期限为一年</w:t>
            </w:r>
          </w:p>
        </w:tc>
        <w:tc>
          <w:tcPr>
            <w:tcW w:w="5386" w:type="dxa"/>
            <w:vAlign w:val="center"/>
          </w:tcPr>
          <w:p>
            <w:pPr>
              <w:pStyle w:val="12"/>
            </w:pPr>
            <w:r>
              <w:t>可持续服务期限为一年</w:t>
            </w:r>
          </w:p>
        </w:tc>
        <w:tc>
          <w:tcPr>
            <w:tcW w:w="2268" w:type="dxa"/>
            <w:vAlign w:val="center"/>
          </w:tcPr>
          <w:p>
            <w:pPr>
              <w:pStyle w:val="12"/>
            </w:pPr>
            <w:r>
              <w:t>1可持续服务期限为一年</w:t>
            </w:r>
          </w:p>
        </w:tc>
        <w:tc>
          <w:tcPr>
            <w:tcW w:w="1276" w:type="dxa"/>
            <w:vAlign w:val="center"/>
          </w:tcPr>
          <w:p>
            <w:pPr>
              <w:pStyle w:val="12"/>
            </w:pPr>
            <w:r>
              <w:t>可持续服务期限为一年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100百分比</w:t>
            </w:r>
          </w:p>
        </w:tc>
        <w:tc>
          <w:tcPr>
            <w:tcW w:w="1276" w:type="dxa"/>
            <w:vAlign w:val="center"/>
          </w:tcPr>
          <w:p>
            <w:pPr>
              <w:pStyle w:val="12"/>
            </w:pPr>
            <w:r>
              <w:t>调查镇村干部得出满意度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5、漳河店镇禁燃禁烧经费绩效目标表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13042426P00003110009A</w:t>
            </w:r>
          </w:p>
        </w:tc>
        <w:tc>
          <w:tcPr>
            <w:tcW w:w="2835" w:type="dxa"/>
            <w:vAlign w:val="center"/>
          </w:tcPr>
          <w:p>
            <w:pPr>
              <w:pStyle w:val="10"/>
            </w:pPr>
            <w:r>
              <w:t>项目名称</w:t>
            </w:r>
          </w:p>
        </w:tc>
        <w:tc>
          <w:tcPr>
            <w:tcW w:w="6095" w:type="dxa"/>
            <w:gridSpan w:val="3"/>
            <w:vAlign w:val="center"/>
          </w:tcPr>
          <w:p>
            <w:pPr>
              <w:pStyle w:val="12"/>
            </w:pPr>
            <w:r>
              <w:t>漳河店镇禁燃禁烧经费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用于禁烧经费工作支出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1.用于禁烧经费工作支出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完成的图幅数量</w:t>
            </w:r>
          </w:p>
        </w:tc>
        <w:tc>
          <w:tcPr>
            <w:tcW w:w="5386" w:type="dxa"/>
            <w:vAlign w:val="center"/>
          </w:tcPr>
          <w:p>
            <w:pPr>
              <w:pStyle w:val="12"/>
            </w:pPr>
            <w:r>
              <w:t>制作各村禁烧宣传条幅数量</w:t>
            </w:r>
          </w:p>
        </w:tc>
        <w:tc>
          <w:tcPr>
            <w:tcW w:w="2268" w:type="dxa"/>
            <w:vAlign w:val="center"/>
          </w:tcPr>
          <w:p>
            <w:pPr>
              <w:pStyle w:val="12"/>
            </w:pPr>
            <w:r>
              <w:t>≥165条</w:t>
            </w:r>
          </w:p>
        </w:tc>
        <w:tc>
          <w:tcPr>
            <w:tcW w:w="1276" w:type="dxa"/>
            <w:vAlign w:val="center"/>
          </w:tcPr>
          <w:p>
            <w:pPr>
              <w:pStyle w:val="12"/>
            </w:pPr>
            <w:r>
              <w:t>实际制作数量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清理沿线影响运行安全因素数量</w:t>
            </w:r>
          </w:p>
        </w:tc>
        <w:tc>
          <w:tcPr>
            <w:tcW w:w="5386" w:type="dxa"/>
            <w:vAlign w:val="center"/>
          </w:tcPr>
          <w:p>
            <w:pPr>
              <w:pStyle w:val="12"/>
            </w:pPr>
            <w:r>
              <w:t>清理各村道路沿线禁烧隐患次数</w:t>
            </w:r>
          </w:p>
        </w:tc>
        <w:tc>
          <w:tcPr>
            <w:tcW w:w="2268" w:type="dxa"/>
            <w:vAlign w:val="center"/>
          </w:tcPr>
          <w:p>
            <w:pPr>
              <w:pStyle w:val="12"/>
            </w:pPr>
            <w:r>
              <w:t>≥12次</w:t>
            </w:r>
          </w:p>
        </w:tc>
        <w:tc>
          <w:tcPr>
            <w:tcW w:w="1276" w:type="dxa"/>
            <w:vAlign w:val="center"/>
          </w:tcPr>
          <w:p>
            <w:pPr>
              <w:pStyle w:val="12"/>
            </w:pPr>
            <w:r>
              <w:t>实际清理次数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制作条幅和清理隐患的项目验收合格率</w:t>
            </w:r>
          </w:p>
        </w:tc>
        <w:tc>
          <w:tcPr>
            <w:tcW w:w="2268" w:type="dxa"/>
            <w:vAlign w:val="center"/>
          </w:tcPr>
          <w:p>
            <w:pPr>
              <w:pStyle w:val="12"/>
            </w:pPr>
            <w:r>
              <w:t>≥96百分比</w:t>
            </w:r>
          </w:p>
        </w:tc>
        <w:tc>
          <w:tcPr>
            <w:tcW w:w="1276" w:type="dxa"/>
            <w:vAlign w:val="center"/>
          </w:tcPr>
          <w:p>
            <w:pPr>
              <w:pStyle w:val="12"/>
            </w:pPr>
            <w:r>
              <w:t>专人验收得出合格率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工作完成的时效</w:t>
            </w:r>
          </w:p>
        </w:tc>
        <w:tc>
          <w:tcPr>
            <w:tcW w:w="5386" w:type="dxa"/>
            <w:vAlign w:val="center"/>
          </w:tcPr>
          <w:p>
            <w:pPr>
              <w:pStyle w:val="12"/>
            </w:pPr>
            <w:r>
              <w:t>清理禁烧隐患工作的完成时效每月月底前</w:t>
            </w:r>
          </w:p>
        </w:tc>
        <w:tc>
          <w:tcPr>
            <w:tcW w:w="2268" w:type="dxa"/>
            <w:vAlign w:val="center"/>
          </w:tcPr>
          <w:p>
            <w:pPr>
              <w:pStyle w:val="12"/>
            </w:pPr>
            <w:r>
              <w:t>每月月底前完成清理任务</w:t>
            </w:r>
          </w:p>
        </w:tc>
        <w:tc>
          <w:tcPr>
            <w:tcW w:w="1276" w:type="dxa"/>
            <w:vAlign w:val="center"/>
          </w:tcPr>
          <w:p>
            <w:pPr>
              <w:pStyle w:val="12"/>
            </w:pPr>
            <w:r>
              <w:t>清理合同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各村制作宣传条幅每条成本单价</w:t>
            </w:r>
          </w:p>
        </w:tc>
        <w:tc>
          <w:tcPr>
            <w:tcW w:w="2268" w:type="dxa"/>
            <w:vAlign w:val="center"/>
          </w:tcPr>
          <w:p>
            <w:pPr>
              <w:pStyle w:val="12"/>
            </w:pPr>
            <w:r>
              <w:t>≤60元/条</w:t>
            </w:r>
          </w:p>
        </w:tc>
        <w:tc>
          <w:tcPr>
            <w:tcW w:w="1276" w:type="dxa"/>
            <w:vAlign w:val="center"/>
          </w:tcPr>
          <w:p>
            <w:pPr>
              <w:pStyle w:val="12"/>
            </w:pPr>
            <w:r>
              <w:t>制作条幅合同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全镇各村清理禁烧隐患费用</w:t>
            </w:r>
          </w:p>
        </w:tc>
        <w:tc>
          <w:tcPr>
            <w:tcW w:w="2268" w:type="dxa"/>
            <w:vAlign w:val="center"/>
          </w:tcPr>
          <w:p>
            <w:pPr>
              <w:pStyle w:val="12"/>
            </w:pPr>
            <w:r>
              <w:t>1.5万元/次</w:t>
            </w:r>
          </w:p>
        </w:tc>
        <w:tc>
          <w:tcPr>
            <w:tcW w:w="1276" w:type="dxa"/>
            <w:vAlign w:val="center"/>
          </w:tcPr>
          <w:p>
            <w:pPr>
              <w:pStyle w:val="12"/>
            </w:pPr>
            <w:r>
              <w:t>清理合同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对社会经济发展的影响</w:t>
            </w:r>
          </w:p>
        </w:tc>
        <w:tc>
          <w:tcPr>
            <w:tcW w:w="5386" w:type="dxa"/>
            <w:vAlign w:val="center"/>
          </w:tcPr>
          <w:p>
            <w:pPr>
              <w:pStyle w:val="12"/>
            </w:pPr>
            <w:r>
              <w:t>有效控制各类火灾，减少经济损失。</w:t>
            </w:r>
          </w:p>
        </w:tc>
        <w:tc>
          <w:tcPr>
            <w:tcW w:w="2268" w:type="dxa"/>
            <w:vAlign w:val="center"/>
          </w:tcPr>
          <w:p>
            <w:pPr>
              <w:pStyle w:val="12"/>
            </w:pPr>
            <w:r>
              <w:t>有效控制各类火灾，减少经济损失。</w:t>
            </w:r>
          </w:p>
        </w:tc>
        <w:tc>
          <w:tcPr>
            <w:tcW w:w="1276" w:type="dxa"/>
            <w:vAlign w:val="center"/>
          </w:tcPr>
          <w:p>
            <w:pPr>
              <w:pStyle w:val="12"/>
            </w:pPr>
            <w:r>
              <w:t>有效控制各类火灾，减少经济损失。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降低事故发生率</w:t>
            </w:r>
          </w:p>
        </w:tc>
        <w:tc>
          <w:tcPr>
            <w:tcW w:w="5386" w:type="dxa"/>
            <w:vAlign w:val="center"/>
          </w:tcPr>
          <w:p>
            <w:pPr>
              <w:pStyle w:val="12"/>
            </w:pPr>
            <w:r>
              <w:t>禁烧秸秆及燃放烟花爆竹显著降低事故。</w:t>
            </w:r>
          </w:p>
        </w:tc>
        <w:tc>
          <w:tcPr>
            <w:tcW w:w="2268" w:type="dxa"/>
            <w:vAlign w:val="center"/>
          </w:tcPr>
          <w:p>
            <w:pPr>
              <w:pStyle w:val="12"/>
            </w:pPr>
            <w:r>
              <w:t>禁烧秸秆及燃放烟花爆竹显著降低事故。</w:t>
            </w:r>
          </w:p>
        </w:tc>
        <w:tc>
          <w:tcPr>
            <w:tcW w:w="1276" w:type="dxa"/>
            <w:vAlign w:val="center"/>
          </w:tcPr>
          <w:p>
            <w:pPr>
              <w:pStyle w:val="12"/>
            </w:pPr>
            <w:r>
              <w:t>禁烧秸秆及燃放烟花爆竹显著降低事故。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改善生态环境质量</w:t>
            </w:r>
          </w:p>
        </w:tc>
        <w:tc>
          <w:tcPr>
            <w:tcW w:w="5386" w:type="dxa"/>
            <w:vAlign w:val="center"/>
          </w:tcPr>
          <w:p>
            <w:pPr>
              <w:pStyle w:val="12"/>
            </w:pPr>
            <w:r>
              <w:t>改善生态环境质量，降低污染指数</w:t>
            </w:r>
          </w:p>
        </w:tc>
        <w:tc>
          <w:tcPr>
            <w:tcW w:w="2268" w:type="dxa"/>
            <w:vAlign w:val="center"/>
          </w:tcPr>
          <w:p>
            <w:pPr>
              <w:pStyle w:val="12"/>
            </w:pPr>
            <w:r>
              <w:t>改善生态环境质量，降低污染指数</w:t>
            </w:r>
          </w:p>
        </w:tc>
        <w:tc>
          <w:tcPr>
            <w:tcW w:w="1276" w:type="dxa"/>
            <w:vAlign w:val="center"/>
          </w:tcPr>
          <w:p>
            <w:pPr>
              <w:pStyle w:val="12"/>
            </w:pPr>
            <w:r>
              <w:t>改善生态环境质量，降低污染指数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持续发展作用力</w:t>
            </w:r>
          </w:p>
        </w:tc>
        <w:tc>
          <w:tcPr>
            <w:tcW w:w="5386" w:type="dxa"/>
            <w:vAlign w:val="center"/>
          </w:tcPr>
          <w:p>
            <w:pPr>
              <w:pStyle w:val="12"/>
            </w:pPr>
            <w:r>
              <w:t>可持续防止大气污染，净化空气。</w:t>
            </w:r>
          </w:p>
        </w:tc>
        <w:tc>
          <w:tcPr>
            <w:tcW w:w="2268" w:type="dxa"/>
            <w:vAlign w:val="center"/>
          </w:tcPr>
          <w:p>
            <w:pPr>
              <w:pStyle w:val="12"/>
            </w:pPr>
            <w:r>
              <w:t>可持续防止大气污染，净化空气。</w:t>
            </w:r>
          </w:p>
        </w:tc>
        <w:tc>
          <w:tcPr>
            <w:tcW w:w="1276" w:type="dxa"/>
            <w:vAlign w:val="center"/>
          </w:tcPr>
          <w:p>
            <w:pPr>
              <w:pStyle w:val="12"/>
            </w:pPr>
            <w:r>
              <w:t>可持续防止大气污染，净化空气。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各村受益群众对禁烧禁燃环境改善的满意度</w:t>
            </w:r>
          </w:p>
        </w:tc>
        <w:tc>
          <w:tcPr>
            <w:tcW w:w="2268" w:type="dxa"/>
            <w:vAlign w:val="center"/>
          </w:tcPr>
          <w:p>
            <w:pPr>
              <w:pStyle w:val="12"/>
            </w:pPr>
            <w:r>
              <w:t>≥98百分比</w:t>
            </w:r>
          </w:p>
        </w:tc>
        <w:tc>
          <w:tcPr>
            <w:tcW w:w="1276" w:type="dxa"/>
            <w:vAlign w:val="center"/>
          </w:tcPr>
          <w:p>
            <w:pPr>
              <w:pStyle w:val="12"/>
            </w:pPr>
            <w:r>
              <w:t>抽样调查得出满意度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6、漳河店镇乡镇转移支付绩效目标表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13042426P000032100188</w:t>
            </w:r>
          </w:p>
        </w:tc>
        <w:tc>
          <w:tcPr>
            <w:tcW w:w="2835" w:type="dxa"/>
            <w:vAlign w:val="center"/>
          </w:tcPr>
          <w:p>
            <w:pPr>
              <w:pStyle w:val="10"/>
            </w:pPr>
            <w:r>
              <w:t>项目名称</w:t>
            </w:r>
          </w:p>
        </w:tc>
        <w:tc>
          <w:tcPr>
            <w:tcW w:w="6095" w:type="dxa"/>
            <w:gridSpan w:val="3"/>
            <w:vAlign w:val="center"/>
          </w:tcPr>
          <w:p>
            <w:pPr>
              <w:pStyle w:val="12"/>
            </w:pPr>
            <w:r>
              <w:t>漳河店镇乡镇转移支付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122.97</w:t>
            </w:r>
          </w:p>
        </w:tc>
        <w:tc>
          <w:tcPr>
            <w:tcW w:w="2835" w:type="dxa"/>
            <w:vAlign w:val="center"/>
          </w:tcPr>
          <w:p>
            <w:pPr>
              <w:pStyle w:val="10"/>
            </w:pPr>
            <w:r>
              <w:t>其中：财政    资金</w:t>
            </w:r>
          </w:p>
        </w:tc>
        <w:tc>
          <w:tcPr>
            <w:tcW w:w="2551" w:type="dxa"/>
            <w:vAlign w:val="center"/>
          </w:tcPr>
          <w:p>
            <w:pPr>
              <w:pStyle w:val="12"/>
            </w:pPr>
            <w:r>
              <w:t>122.97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用于支付自筹人员工资。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30.73</w:t>
            </w:r>
          </w:p>
        </w:tc>
        <w:tc>
          <w:tcPr>
            <w:tcW w:w="2835" w:type="dxa"/>
            <w:vAlign w:val="center"/>
          </w:tcPr>
          <w:p>
            <w:pPr>
              <w:pStyle w:val="13"/>
            </w:pPr>
            <w:r>
              <w:t>61.45</w:t>
            </w:r>
          </w:p>
        </w:tc>
        <w:tc>
          <w:tcPr>
            <w:tcW w:w="2551" w:type="dxa"/>
            <w:vAlign w:val="center"/>
          </w:tcPr>
          <w:p>
            <w:pPr>
              <w:pStyle w:val="13"/>
            </w:pPr>
            <w:r>
              <w:t>92.18</w:t>
            </w:r>
          </w:p>
        </w:tc>
        <w:tc>
          <w:tcPr>
            <w:tcW w:w="3544" w:type="dxa"/>
            <w:gridSpan w:val="2"/>
            <w:vAlign w:val="center"/>
          </w:tcPr>
          <w:p>
            <w:pPr>
              <w:pStyle w:val="13"/>
            </w:pPr>
            <w:r>
              <w:t>122.97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1.用于支付自筹人员工资。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发放自筹人员工资的人数</w:t>
            </w:r>
          </w:p>
        </w:tc>
        <w:tc>
          <w:tcPr>
            <w:tcW w:w="5386" w:type="dxa"/>
            <w:vAlign w:val="center"/>
          </w:tcPr>
          <w:p>
            <w:pPr>
              <w:pStyle w:val="12"/>
            </w:pPr>
            <w:r>
              <w:t>发放自筹人员工资的人数</w:t>
            </w:r>
          </w:p>
        </w:tc>
        <w:tc>
          <w:tcPr>
            <w:tcW w:w="2268" w:type="dxa"/>
            <w:vAlign w:val="center"/>
          </w:tcPr>
          <w:p>
            <w:pPr>
              <w:pStyle w:val="12"/>
            </w:pPr>
            <w:r>
              <w:t>56人</w:t>
            </w:r>
          </w:p>
        </w:tc>
        <w:tc>
          <w:tcPr>
            <w:tcW w:w="1276" w:type="dxa"/>
            <w:vAlign w:val="center"/>
          </w:tcPr>
          <w:p>
            <w:pPr>
              <w:pStyle w:val="12"/>
            </w:pPr>
            <w:r>
              <w:t>实际发放工资表为依据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自筹人员工资的发放率</w:t>
            </w:r>
          </w:p>
        </w:tc>
        <w:tc>
          <w:tcPr>
            <w:tcW w:w="5386" w:type="dxa"/>
            <w:vAlign w:val="center"/>
          </w:tcPr>
          <w:p>
            <w:pPr>
              <w:pStyle w:val="12"/>
            </w:pPr>
            <w:r>
              <w:t>自筹人员工资的发放率</w:t>
            </w:r>
          </w:p>
        </w:tc>
        <w:tc>
          <w:tcPr>
            <w:tcW w:w="2268" w:type="dxa"/>
            <w:vAlign w:val="center"/>
          </w:tcPr>
          <w:p>
            <w:pPr>
              <w:pStyle w:val="12"/>
            </w:pPr>
            <w:r>
              <w:t>100百分比</w:t>
            </w:r>
          </w:p>
        </w:tc>
        <w:tc>
          <w:tcPr>
            <w:tcW w:w="1276" w:type="dxa"/>
            <w:vAlign w:val="center"/>
          </w:tcPr>
          <w:p>
            <w:pPr>
              <w:pStyle w:val="12"/>
            </w:pPr>
            <w:r>
              <w:t>实际发放工资表为依据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自筹人员工资在每月月底前发放</w:t>
            </w:r>
          </w:p>
        </w:tc>
        <w:tc>
          <w:tcPr>
            <w:tcW w:w="5386" w:type="dxa"/>
            <w:vAlign w:val="center"/>
          </w:tcPr>
          <w:p>
            <w:pPr>
              <w:pStyle w:val="12"/>
            </w:pPr>
            <w:r>
              <w:t>自筹人员工资在每月月底前发放</w:t>
            </w:r>
          </w:p>
        </w:tc>
        <w:tc>
          <w:tcPr>
            <w:tcW w:w="2268" w:type="dxa"/>
            <w:vAlign w:val="center"/>
          </w:tcPr>
          <w:p>
            <w:pPr>
              <w:pStyle w:val="12"/>
            </w:pPr>
            <w:r>
              <w:t>自筹人员工资在每月月底前发放</w:t>
            </w:r>
          </w:p>
        </w:tc>
        <w:tc>
          <w:tcPr>
            <w:tcW w:w="1276" w:type="dxa"/>
            <w:vAlign w:val="center"/>
          </w:tcPr>
          <w:p>
            <w:pPr>
              <w:pStyle w:val="12"/>
            </w:pPr>
            <w:r>
              <w:t>实际发放工资表为依据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自筹人员每人每月工资</w:t>
            </w:r>
          </w:p>
        </w:tc>
        <w:tc>
          <w:tcPr>
            <w:tcW w:w="5386" w:type="dxa"/>
            <w:vAlign w:val="center"/>
          </w:tcPr>
          <w:p>
            <w:pPr>
              <w:pStyle w:val="12"/>
            </w:pPr>
            <w:r>
              <w:t>自筹人员每人每月工资</w:t>
            </w:r>
          </w:p>
        </w:tc>
        <w:tc>
          <w:tcPr>
            <w:tcW w:w="2268" w:type="dxa"/>
            <w:vAlign w:val="center"/>
          </w:tcPr>
          <w:p>
            <w:pPr>
              <w:pStyle w:val="12"/>
            </w:pPr>
            <w:r>
              <w:t>≤2765元</w:t>
            </w:r>
          </w:p>
        </w:tc>
        <w:tc>
          <w:tcPr>
            <w:tcW w:w="1276" w:type="dxa"/>
            <w:vAlign w:val="center"/>
          </w:tcPr>
          <w:p>
            <w:pPr>
              <w:pStyle w:val="12"/>
            </w:pPr>
            <w:r>
              <w:t>实际发放工资表为依据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提高工作效率</w:t>
            </w:r>
          </w:p>
        </w:tc>
        <w:tc>
          <w:tcPr>
            <w:tcW w:w="1276" w:type="dxa"/>
            <w:vAlign w:val="center"/>
          </w:tcPr>
          <w:p>
            <w:pPr>
              <w:pStyle w:val="12"/>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保障日常办公</w:t>
            </w:r>
          </w:p>
        </w:tc>
        <w:tc>
          <w:tcPr>
            <w:tcW w:w="5386" w:type="dxa"/>
            <w:vAlign w:val="center"/>
          </w:tcPr>
          <w:p>
            <w:pPr>
              <w:pStyle w:val="12"/>
            </w:pPr>
            <w:r>
              <w:t>保障日常办公</w:t>
            </w:r>
          </w:p>
        </w:tc>
        <w:tc>
          <w:tcPr>
            <w:tcW w:w="2268" w:type="dxa"/>
            <w:vAlign w:val="center"/>
          </w:tcPr>
          <w:p>
            <w:pPr>
              <w:pStyle w:val="12"/>
            </w:pPr>
            <w:r>
              <w:t>保障日常办公</w:t>
            </w:r>
          </w:p>
        </w:tc>
        <w:tc>
          <w:tcPr>
            <w:tcW w:w="1276" w:type="dxa"/>
            <w:vAlign w:val="center"/>
          </w:tcPr>
          <w:p>
            <w:pPr>
              <w:pStyle w:val="12"/>
            </w:pPr>
            <w:r>
              <w:t>保障日常办公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工作人员的满意度</w:t>
            </w:r>
          </w:p>
        </w:tc>
        <w:tc>
          <w:tcPr>
            <w:tcW w:w="5386" w:type="dxa"/>
            <w:vAlign w:val="center"/>
          </w:tcPr>
          <w:p>
            <w:pPr>
              <w:pStyle w:val="12"/>
            </w:pPr>
            <w:r>
              <w:t>工作人员的满意度</w:t>
            </w:r>
          </w:p>
        </w:tc>
        <w:tc>
          <w:tcPr>
            <w:tcW w:w="2268" w:type="dxa"/>
            <w:vAlign w:val="center"/>
          </w:tcPr>
          <w:p>
            <w:pPr>
              <w:pStyle w:val="12"/>
            </w:pPr>
            <w:r>
              <w:t>100百分比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7、漳河店镇信访经费绩效目标表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13042426P00003510010C</w:t>
            </w:r>
          </w:p>
        </w:tc>
        <w:tc>
          <w:tcPr>
            <w:tcW w:w="2835" w:type="dxa"/>
            <w:vAlign w:val="center"/>
          </w:tcPr>
          <w:p>
            <w:pPr>
              <w:pStyle w:val="10"/>
            </w:pPr>
            <w:r>
              <w:t>项目名称</w:t>
            </w:r>
          </w:p>
        </w:tc>
        <w:tc>
          <w:tcPr>
            <w:tcW w:w="6095" w:type="dxa"/>
            <w:gridSpan w:val="3"/>
            <w:vAlign w:val="center"/>
          </w:tcPr>
          <w:p>
            <w:pPr>
              <w:pStyle w:val="12"/>
            </w:pPr>
            <w:r>
              <w:t>漳河店镇信访经费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用于信访工作经费， 保证正常运转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3.75</w:t>
            </w:r>
          </w:p>
        </w:tc>
        <w:tc>
          <w:tcPr>
            <w:tcW w:w="2835" w:type="dxa"/>
            <w:vAlign w:val="center"/>
          </w:tcPr>
          <w:p>
            <w:pPr>
              <w:pStyle w:val="13"/>
            </w:pPr>
            <w:r>
              <w:t>7.50</w:t>
            </w:r>
          </w:p>
        </w:tc>
        <w:tc>
          <w:tcPr>
            <w:tcW w:w="2551" w:type="dxa"/>
            <w:vAlign w:val="center"/>
          </w:tcPr>
          <w:p>
            <w:pPr>
              <w:pStyle w:val="13"/>
            </w:pPr>
            <w:r>
              <w:t>11.25</w:t>
            </w:r>
          </w:p>
        </w:tc>
        <w:tc>
          <w:tcPr>
            <w:tcW w:w="3544" w:type="dxa"/>
            <w:gridSpan w:val="2"/>
            <w:vAlign w:val="center"/>
          </w:tcPr>
          <w:p>
            <w:pPr>
              <w:pStyle w:val="13"/>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1.用于信访工作经费.保证正常运转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督办信访案件数</w:t>
            </w:r>
          </w:p>
        </w:tc>
        <w:tc>
          <w:tcPr>
            <w:tcW w:w="5386" w:type="dxa"/>
            <w:vAlign w:val="center"/>
          </w:tcPr>
          <w:p>
            <w:pPr>
              <w:pStyle w:val="12"/>
            </w:pPr>
            <w:r>
              <w:t>处理信访事务数量</w:t>
            </w:r>
          </w:p>
        </w:tc>
        <w:tc>
          <w:tcPr>
            <w:tcW w:w="2268" w:type="dxa"/>
            <w:vAlign w:val="center"/>
          </w:tcPr>
          <w:p>
            <w:pPr>
              <w:pStyle w:val="12"/>
            </w:pPr>
            <w:r>
              <w:t>≥15件</w:t>
            </w:r>
          </w:p>
        </w:tc>
        <w:tc>
          <w:tcPr>
            <w:tcW w:w="1276" w:type="dxa"/>
            <w:vAlign w:val="center"/>
          </w:tcPr>
          <w:p>
            <w:pPr>
              <w:pStyle w:val="12"/>
            </w:pPr>
            <w:r>
              <w:t>实际处理信访事务数量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群众信访工作及时完成率</w:t>
            </w:r>
          </w:p>
        </w:tc>
        <w:tc>
          <w:tcPr>
            <w:tcW w:w="2268" w:type="dxa"/>
            <w:vAlign w:val="center"/>
          </w:tcPr>
          <w:p>
            <w:pPr>
              <w:pStyle w:val="12"/>
            </w:pPr>
            <w:r>
              <w:t>100百分比</w:t>
            </w:r>
          </w:p>
        </w:tc>
        <w:tc>
          <w:tcPr>
            <w:tcW w:w="1276" w:type="dxa"/>
            <w:vAlign w:val="center"/>
          </w:tcPr>
          <w:p>
            <w:pPr>
              <w:pStyle w:val="12"/>
            </w:pPr>
            <w:r>
              <w:t>实际处理信访事务时间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处理信访事务必须在10日内办结</w:t>
            </w:r>
          </w:p>
        </w:tc>
        <w:tc>
          <w:tcPr>
            <w:tcW w:w="2268" w:type="dxa"/>
            <w:vAlign w:val="center"/>
          </w:tcPr>
          <w:p>
            <w:pPr>
              <w:pStyle w:val="12"/>
            </w:pPr>
            <w:r>
              <w:t>&lt;10日</w:t>
            </w:r>
          </w:p>
        </w:tc>
        <w:tc>
          <w:tcPr>
            <w:tcW w:w="1276" w:type="dxa"/>
            <w:vAlign w:val="center"/>
          </w:tcPr>
          <w:p>
            <w:pPr>
              <w:pStyle w:val="12"/>
            </w:pPr>
            <w:r>
              <w:t>实际处理事务所需时间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处理各项信访事务资金控制金额</w:t>
            </w:r>
          </w:p>
        </w:tc>
        <w:tc>
          <w:tcPr>
            <w:tcW w:w="2268" w:type="dxa"/>
            <w:vAlign w:val="center"/>
          </w:tcPr>
          <w:p>
            <w:pPr>
              <w:pStyle w:val="12"/>
            </w:pPr>
            <w:r>
              <w:t>≤1万</w:t>
            </w:r>
          </w:p>
        </w:tc>
        <w:tc>
          <w:tcPr>
            <w:tcW w:w="1276" w:type="dxa"/>
            <w:vAlign w:val="center"/>
          </w:tcPr>
          <w:p>
            <w:pPr>
              <w:pStyle w:val="12"/>
            </w:pPr>
            <w:r>
              <w:t>实际处理信访事务耗费资金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保障社会稳定性</w:t>
            </w:r>
          </w:p>
        </w:tc>
        <w:tc>
          <w:tcPr>
            <w:tcW w:w="2268" w:type="dxa"/>
            <w:vAlign w:val="center"/>
          </w:tcPr>
          <w:p>
            <w:pPr>
              <w:pStyle w:val="12"/>
            </w:pPr>
            <w:r>
              <w:t>保障社会稳定性</w:t>
            </w:r>
          </w:p>
        </w:tc>
        <w:tc>
          <w:tcPr>
            <w:tcW w:w="1276" w:type="dxa"/>
            <w:vAlign w:val="center"/>
          </w:tcPr>
          <w:p>
            <w:pPr>
              <w:pStyle w:val="12"/>
            </w:pPr>
            <w:r>
              <w:t>保障社会稳定性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持续发展作用力</w:t>
            </w:r>
          </w:p>
        </w:tc>
        <w:tc>
          <w:tcPr>
            <w:tcW w:w="5386" w:type="dxa"/>
            <w:vAlign w:val="center"/>
          </w:tcPr>
          <w:p>
            <w:pPr>
              <w:pStyle w:val="12"/>
            </w:pPr>
            <w:r>
              <w:t>可持续降低群众上访数量，保证社会稳定。</w:t>
            </w:r>
          </w:p>
        </w:tc>
        <w:tc>
          <w:tcPr>
            <w:tcW w:w="2268" w:type="dxa"/>
            <w:vAlign w:val="center"/>
          </w:tcPr>
          <w:p>
            <w:pPr>
              <w:pStyle w:val="12"/>
            </w:pPr>
            <w:r>
              <w:t>可持续降低群众上访数量，保证社会稳定。</w:t>
            </w:r>
          </w:p>
        </w:tc>
        <w:tc>
          <w:tcPr>
            <w:tcW w:w="1276" w:type="dxa"/>
            <w:vAlign w:val="center"/>
          </w:tcPr>
          <w:p>
            <w:pPr>
              <w:pStyle w:val="12"/>
            </w:pPr>
            <w:r>
              <w:t>可持续降低群众上访数量，保证社会稳定。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≥96百分比</w:t>
            </w:r>
          </w:p>
        </w:tc>
        <w:tc>
          <w:tcPr>
            <w:tcW w:w="1276" w:type="dxa"/>
            <w:vAlign w:val="center"/>
          </w:tcPr>
          <w:p>
            <w:pPr>
              <w:pStyle w:val="12"/>
            </w:pPr>
            <w:r>
              <w:t>抽样调查得出满意度</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804001成安县漳河店镇政府机关本级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hd w:val="clea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bookmarkStart w:id="1" w:name="_GoBack"/>
      <w:r>
        <w:rPr>
          <w:rFonts w:ascii="Times New Roman" w:hAnsi="Times New Roman" w:eastAsia="方正仿宋_GBK" w:cs="Times New Roman"/>
          <w:b w:val="0"/>
          <w:color w:val="000000"/>
          <w:sz w:val="28"/>
        </w:rPr>
        <w:t>成安县漳河店镇政府机关本级上年末固定资产金额为</w:t>
      </w:r>
      <w:r>
        <w:rPr>
          <w:rFonts w:hint="eastAsia" w:eastAsia="方正仿宋_GBK" w:cs="Times New Roman"/>
          <w:b w:val="0"/>
          <w:color w:val="000000"/>
          <w:sz w:val="28"/>
          <w:lang w:val="en-US" w:eastAsia="zh-CN"/>
        </w:rPr>
        <w:t>476</w:t>
      </w:r>
      <w:r>
        <w:rPr>
          <w:rFonts w:ascii="Times New Roman" w:hAnsi="Times New Roman" w:eastAsia="方正仿宋_GBK" w:cs="Times New Roman"/>
          <w:b w:val="0"/>
          <w:color w:val="000000"/>
          <w:sz w:val="28"/>
        </w:rPr>
        <w:t>万元。本年度拟购置固定资产总额为0.00万元，已按要求列入政府采购预算，详见政府采购预算表。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804001成安县漳河店镇政府机关本级</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w:t>
            </w:r>
            <w:r>
              <w:rPr>
                <w:rFonts w:hint="eastAsia" w:asciiTheme="minorEastAsia" w:hAnsiTheme="minorEastAsia" w:eastAsiaTheme="minorEastAsia"/>
                <w:lang w:val="en-US" w:eastAsia="zh-CN"/>
              </w:rPr>
              <w:t>5</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rPr>
                <w:rFonts w:hint="eastAsia"/>
              </w:rPr>
              <w:t>资产总额</w:t>
            </w:r>
          </w:p>
        </w:tc>
        <w:tc>
          <w:tcPr>
            <w:tcW w:w="4933" w:type="dxa"/>
            <w:vAlign w:val="center"/>
          </w:tcPr>
          <w:p>
            <w:pPr>
              <w:pStyle w:val="13"/>
            </w:pPr>
            <w:r>
              <w:rPr>
                <w:rFonts w:hint="eastAsia"/>
              </w:rPr>
              <w:t>——</w:t>
            </w:r>
          </w:p>
        </w:tc>
        <w:tc>
          <w:tcPr>
            <w:tcW w:w="4933" w:type="dxa"/>
            <w:vAlign w:val="center"/>
          </w:tcPr>
          <w:p>
            <w:pPr>
              <w:pStyle w:val="11"/>
              <w:jc w:val="center"/>
              <w:rPr>
                <w:rFonts w:hint="default" w:eastAsia="方正书宋_GBK"/>
                <w:lang w:val="en-US" w:eastAsia="zh-CN"/>
              </w:rPr>
            </w:pPr>
            <w:r>
              <w:rPr>
                <w:rFonts w:hint="eastAsia"/>
                <w:lang w:val="en-US" w:eastAsia="zh-CN"/>
              </w:rP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rPr>
                <w:rFonts w:hint="eastAsia"/>
              </w:rPr>
              <w:t>1、房屋（平方米）</w:t>
            </w:r>
          </w:p>
        </w:tc>
        <w:tc>
          <w:tcPr>
            <w:tcW w:w="4933" w:type="dxa"/>
            <w:vAlign w:val="center"/>
          </w:tcPr>
          <w:p>
            <w:pPr>
              <w:pStyle w:val="13"/>
            </w:pPr>
            <w:r>
              <w:rPr>
                <w:rFonts w:hint="eastAsia"/>
              </w:rPr>
              <w:t>1500</w:t>
            </w:r>
          </w:p>
        </w:tc>
        <w:tc>
          <w:tcPr>
            <w:tcW w:w="4933" w:type="dxa"/>
            <w:vAlign w:val="center"/>
          </w:tcPr>
          <w:p>
            <w:pPr>
              <w:pStyle w:val="11"/>
              <w:jc w:val="center"/>
              <w:rPr>
                <w:rFonts w:hint="default" w:eastAsia="方正书宋_GBK"/>
                <w:lang w:val="en-US" w:eastAsia="zh-CN"/>
              </w:rPr>
            </w:pPr>
            <w:r>
              <w:rPr>
                <w:rFonts w:hint="eastAsia"/>
                <w:lang w:val="en-US" w:eastAsia="zh-CN"/>
              </w:rPr>
              <w:t>311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rPr>
                <w:rFonts w:hint="eastAsia"/>
              </w:rPr>
              <w:t>其中：办公用房（平方米）</w:t>
            </w:r>
          </w:p>
        </w:tc>
        <w:tc>
          <w:tcPr>
            <w:tcW w:w="4933" w:type="dxa"/>
            <w:vAlign w:val="center"/>
          </w:tcPr>
          <w:p>
            <w:pPr>
              <w:pStyle w:val="13"/>
            </w:pPr>
            <w:r>
              <w:rPr>
                <w:rFonts w:hint="eastAsia"/>
              </w:rPr>
              <w:t>1500</w:t>
            </w:r>
          </w:p>
        </w:tc>
        <w:tc>
          <w:tcPr>
            <w:tcW w:w="4933" w:type="dxa"/>
            <w:vAlign w:val="center"/>
          </w:tcPr>
          <w:p>
            <w:pPr>
              <w:pStyle w:val="11"/>
              <w:jc w:val="center"/>
              <w:rPr>
                <w:rFonts w:hint="default" w:eastAsia="方正书宋_GBK"/>
                <w:lang w:val="en-US" w:eastAsia="zh-CN"/>
              </w:rPr>
            </w:pPr>
            <w:r>
              <w:rPr>
                <w:rFonts w:hint="eastAsia"/>
                <w:lang w:val="en-US" w:eastAsia="zh-CN"/>
              </w:rPr>
              <w:t>311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宋体" w:hAnsi="宋体"/>
                <w:sz w:val="22"/>
              </w:rPr>
            </w:pPr>
            <w:r>
              <w:rPr>
                <w:rFonts w:ascii="宋体" w:hAnsi="宋体" w:eastAsia="宋体" w:cs="宋体"/>
                <w:sz w:val="22"/>
              </w:rPr>
              <w:t>2</w:t>
            </w:r>
            <w:r>
              <w:rPr>
                <w:rFonts w:hint="eastAsia" w:ascii="宋体" w:hAnsi="宋体" w:eastAsia="宋体" w:cs="宋体"/>
                <w:sz w:val="22"/>
              </w:rPr>
              <w:t>、车辆（台、辆）</w:t>
            </w:r>
          </w:p>
        </w:tc>
        <w:tc>
          <w:tcPr>
            <w:tcW w:w="4933" w:type="dxa"/>
            <w:vAlign w:val="center"/>
          </w:tcPr>
          <w:p>
            <w:pPr>
              <w:jc w:val="center"/>
              <w:rPr>
                <w:rFonts w:ascii="仿宋_GB2312" w:hAnsi="仿宋_GB2312" w:eastAsia="仿宋_GB2312" w:cs="仿宋_GB2312"/>
                <w:szCs w:val="21"/>
                <w:lang w:eastAsia="zh-CN"/>
              </w:rPr>
            </w:pPr>
            <w:r>
              <w:rPr>
                <w:rFonts w:hint="eastAsia" w:ascii="仿宋_GB2312" w:hAnsi="仿宋_GB2312" w:eastAsia="仿宋_GB2312" w:cs="仿宋_GB2312"/>
                <w:szCs w:val="21"/>
                <w:lang w:eastAsia="zh-CN"/>
              </w:rPr>
              <w:t>1</w:t>
            </w:r>
          </w:p>
        </w:tc>
        <w:tc>
          <w:tcPr>
            <w:tcW w:w="4933" w:type="dxa"/>
            <w:vAlign w:val="center"/>
          </w:tcPr>
          <w:p>
            <w:pPr>
              <w:jc w:val="center"/>
              <w:rPr>
                <w:rFonts w:ascii="仿宋_GB2312" w:hAnsi="仿宋_GB2312" w:eastAsia="仿宋_GB2312" w:cs="仿宋_GB2312"/>
                <w:szCs w:val="21"/>
                <w:lang w:eastAsia="zh-CN"/>
              </w:rPr>
            </w:pPr>
            <w:r>
              <w:rPr>
                <w:rFonts w:hint="eastAsia" w:ascii="仿宋_GB2312" w:hAnsi="仿宋_GB2312" w:eastAsia="仿宋_GB2312" w:cs="仿宋_GB2312"/>
                <w:szCs w:val="21"/>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宋体" w:hAnsi="宋体"/>
                <w:sz w:val="22"/>
              </w:rPr>
            </w:pPr>
            <w:r>
              <w:rPr>
                <w:rFonts w:ascii="宋体" w:hAnsi="宋体" w:eastAsia="宋体" w:cs="宋体"/>
                <w:sz w:val="22"/>
              </w:rPr>
              <w:t>3</w:t>
            </w:r>
            <w:r>
              <w:rPr>
                <w:rFonts w:hint="eastAsia" w:ascii="宋体" w:hAnsi="宋体" w:eastAsia="宋体" w:cs="宋体"/>
                <w:sz w:val="22"/>
              </w:rPr>
              <w:t>、单价在</w:t>
            </w:r>
            <w:r>
              <w:rPr>
                <w:rFonts w:ascii="宋体" w:hAnsi="宋体" w:eastAsia="宋体" w:cs="宋体"/>
                <w:sz w:val="22"/>
              </w:rPr>
              <w:t>50</w:t>
            </w:r>
            <w:r>
              <w:rPr>
                <w:rFonts w:hint="eastAsia" w:ascii="宋体" w:hAnsi="宋体" w:eastAsia="宋体" w:cs="宋体"/>
                <w:sz w:val="22"/>
              </w:rPr>
              <w:t>万元以上的设备</w:t>
            </w:r>
          </w:p>
        </w:tc>
        <w:tc>
          <w:tcPr>
            <w:tcW w:w="4933" w:type="dxa"/>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0</w:t>
            </w:r>
          </w:p>
        </w:tc>
        <w:tc>
          <w:tcPr>
            <w:tcW w:w="4933"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rPr>
                <w:rFonts w:ascii="宋体" w:hAnsi="宋体"/>
                <w:sz w:val="22"/>
              </w:rPr>
            </w:pPr>
            <w:r>
              <w:rPr>
                <w:rFonts w:ascii="宋体" w:hAnsi="宋体" w:eastAsia="宋体" w:cs="宋体"/>
                <w:sz w:val="22"/>
              </w:rPr>
              <w:t>4</w:t>
            </w:r>
            <w:r>
              <w:rPr>
                <w:rFonts w:hint="eastAsia" w:ascii="宋体" w:hAnsi="宋体" w:eastAsia="宋体" w:cs="宋体"/>
                <w:sz w:val="22"/>
              </w:rPr>
              <w:t>、其他固定资产</w:t>
            </w:r>
          </w:p>
        </w:tc>
        <w:tc>
          <w:tcPr>
            <w:tcW w:w="4933"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118</w:t>
            </w:r>
          </w:p>
        </w:tc>
        <w:tc>
          <w:tcPr>
            <w:tcW w:w="4933"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165</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94F49"/>
    <w:multiLevelType w:val="singleLevel"/>
    <w:tmpl w:val="BFF94F4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EFEE208"/>
    <w:rsid w:val="BD1833C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TotalTime>19</TotalTime>
  <ScaleCrop>false</ScaleCrop>
  <LinksUpToDate>false</LinksUpToDate>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2026-03-06T07:58:00Z</dcterms:created>
  <dc:creator>user</dc:creator>
  <cp:lastModifiedBy>阳光点点</cp:lastModifiedBy>
  <dcterms:modified xsi:type="dcterms:W3CDTF">2026-03-06T09:05:48Z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5225FC4DD2FE2C8F8B47A969754D7BA3</vt:lpwstr>
  </property>
</Properties>
</file>