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804成安县漳河店镇政府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694.37</w:t>
            </w:r>
          </w:p>
        </w:tc>
        <w:tc>
          <w:tcPr>
            <w:tcW w:w="4535" w:type="dxa"/>
            <w:vAlign w:val="center"/>
          </w:tcPr>
          <w:p>
            <w:pPr>
              <w:pStyle w:val="13"/>
            </w:pPr>
            <w:r>
              <w:t>一、一般公共服务支出</w:t>
            </w:r>
          </w:p>
        </w:tc>
        <w:tc>
          <w:tcPr>
            <w:tcW w:w="2126" w:type="dxa"/>
            <w:vAlign w:val="center"/>
          </w:tcPr>
          <w:p>
            <w:pPr>
              <w:pStyle w:val="12"/>
            </w:pPr>
            <w:r>
              <w:t>546.71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694.37</w:t>
            </w:r>
          </w:p>
        </w:tc>
        <w:tc>
          <w:tcPr>
            <w:tcW w:w="4535" w:type="dxa"/>
            <w:vAlign w:val="center"/>
          </w:tcPr>
          <w:p>
            <w:pPr>
              <w:pStyle w:val="15"/>
            </w:pPr>
            <w:r>
              <w:t>本年支出合计</w:t>
            </w:r>
          </w:p>
        </w:tc>
        <w:tc>
          <w:tcPr>
            <w:tcW w:w="2126" w:type="dxa"/>
            <w:vAlign w:val="center"/>
          </w:tcPr>
          <w:p>
            <w:pPr>
              <w:pStyle w:val="16"/>
            </w:pPr>
            <w:r>
              <w:t>824.37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130.00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824.37</w:t>
            </w:r>
          </w:p>
        </w:tc>
        <w:tc>
          <w:tcPr>
            <w:tcW w:w="4535" w:type="dxa"/>
            <w:vAlign w:val="center"/>
          </w:tcPr>
          <w:p>
            <w:pPr>
              <w:pStyle w:val="15"/>
            </w:pPr>
            <w:r>
              <w:t>支出总计</w:t>
            </w:r>
          </w:p>
        </w:tc>
        <w:tc>
          <w:tcPr>
            <w:tcW w:w="2126" w:type="dxa"/>
            <w:vAlign w:val="center"/>
          </w:tcPr>
          <w:p>
            <w:pPr>
              <w:pStyle w:val="16"/>
            </w:pPr>
            <w:r>
              <w:t>824.37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804成安县漳河店镇政府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824.37</w:t>
            </w:r>
          </w:p>
        </w:tc>
        <w:tc>
          <w:tcPr>
            <w:tcW w:w="1134" w:type="dxa"/>
            <w:vAlign w:val="center"/>
          </w:tcPr>
          <w:p>
            <w:pPr>
              <w:pStyle w:val="16"/>
            </w:pPr>
            <w:r>
              <w:t>694.37</w:t>
            </w:r>
          </w:p>
        </w:tc>
        <w:tc>
          <w:tcPr>
            <w:tcW w:w="1134" w:type="dxa"/>
            <w:vAlign w:val="center"/>
          </w:tcPr>
          <w:p>
            <w:pPr>
              <w:pStyle w:val="16"/>
            </w:pPr>
            <w:r>
              <w:t>694.37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546.71</w:t>
            </w:r>
          </w:p>
        </w:tc>
        <w:tc>
          <w:tcPr>
            <w:tcW w:w="1134" w:type="dxa"/>
            <w:vAlign w:val="center"/>
          </w:tcPr>
          <w:p>
            <w:pPr>
              <w:pStyle w:val="12"/>
            </w:pPr>
            <w:r>
              <w:t>546.71</w:t>
            </w:r>
          </w:p>
        </w:tc>
        <w:tc>
          <w:tcPr>
            <w:tcW w:w="1134" w:type="dxa"/>
            <w:vAlign w:val="center"/>
          </w:tcPr>
          <w:p>
            <w:pPr>
              <w:pStyle w:val="12"/>
            </w:pPr>
            <w:r>
              <w:t>546.71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531.71</w:t>
            </w:r>
          </w:p>
        </w:tc>
        <w:tc>
          <w:tcPr>
            <w:tcW w:w="1134" w:type="dxa"/>
            <w:vAlign w:val="center"/>
          </w:tcPr>
          <w:p>
            <w:pPr>
              <w:pStyle w:val="12"/>
            </w:pPr>
            <w:r>
              <w:t>531.71</w:t>
            </w:r>
          </w:p>
        </w:tc>
        <w:tc>
          <w:tcPr>
            <w:tcW w:w="1134" w:type="dxa"/>
            <w:vAlign w:val="center"/>
          </w:tcPr>
          <w:p>
            <w:pPr>
              <w:pStyle w:val="12"/>
            </w:pPr>
            <w:r>
              <w:t>531.71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531.71</w:t>
            </w:r>
          </w:p>
        </w:tc>
        <w:tc>
          <w:tcPr>
            <w:tcW w:w="1134" w:type="dxa"/>
            <w:vAlign w:val="center"/>
          </w:tcPr>
          <w:p>
            <w:pPr>
              <w:pStyle w:val="12"/>
            </w:pPr>
            <w:r>
              <w:t>531.71</w:t>
            </w:r>
          </w:p>
        </w:tc>
        <w:tc>
          <w:tcPr>
            <w:tcW w:w="1134" w:type="dxa"/>
            <w:vAlign w:val="center"/>
          </w:tcPr>
          <w:p>
            <w:pPr>
              <w:pStyle w:val="12"/>
            </w:pPr>
            <w:r>
              <w:t>531.71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2014099</w:t>
            </w:r>
          </w:p>
        </w:tc>
        <w:tc>
          <w:tcPr>
            <w:tcW w:w="1559" w:type="dxa"/>
            <w:vAlign w:val="center"/>
          </w:tcPr>
          <w:p>
            <w:pPr>
              <w:pStyle w:val="13"/>
            </w:pPr>
            <w:r>
              <w:t>其他信访事务支出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58.61</w:t>
            </w:r>
          </w:p>
        </w:tc>
        <w:tc>
          <w:tcPr>
            <w:tcW w:w="1134" w:type="dxa"/>
            <w:vAlign w:val="center"/>
          </w:tcPr>
          <w:p>
            <w:pPr>
              <w:pStyle w:val="12"/>
            </w:pPr>
            <w:r>
              <w:t>58.61</w:t>
            </w:r>
          </w:p>
        </w:tc>
        <w:tc>
          <w:tcPr>
            <w:tcW w:w="1134" w:type="dxa"/>
            <w:vAlign w:val="center"/>
          </w:tcPr>
          <w:p>
            <w:pPr>
              <w:pStyle w:val="12"/>
            </w:pPr>
            <w:r>
              <w:t>58.61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52.99</w:t>
            </w:r>
          </w:p>
        </w:tc>
        <w:tc>
          <w:tcPr>
            <w:tcW w:w="1134" w:type="dxa"/>
            <w:vAlign w:val="center"/>
          </w:tcPr>
          <w:p>
            <w:pPr>
              <w:pStyle w:val="12"/>
            </w:pPr>
            <w:r>
              <w:t>52.99</w:t>
            </w:r>
          </w:p>
        </w:tc>
        <w:tc>
          <w:tcPr>
            <w:tcW w:w="1134" w:type="dxa"/>
            <w:vAlign w:val="center"/>
          </w:tcPr>
          <w:p>
            <w:pPr>
              <w:pStyle w:val="12"/>
            </w:pPr>
            <w:r>
              <w:t>52.99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20.44</w:t>
            </w:r>
          </w:p>
        </w:tc>
        <w:tc>
          <w:tcPr>
            <w:tcW w:w="1134" w:type="dxa"/>
            <w:vAlign w:val="center"/>
          </w:tcPr>
          <w:p>
            <w:pPr>
              <w:pStyle w:val="12"/>
            </w:pPr>
            <w:r>
              <w:t>20.44</w:t>
            </w:r>
          </w:p>
        </w:tc>
        <w:tc>
          <w:tcPr>
            <w:tcW w:w="1134" w:type="dxa"/>
            <w:vAlign w:val="center"/>
          </w:tcPr>
          <w:p>
            <w:pPr>
              <w:pStyle w:val="12"/>
            </w:pPr>
            <w:r>
              <w:t>20.44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32.55</w:t>
            </w:r>
          </w:p>
        </w:tc>
        <w:tc>
          <w:tcPr>
            <w:tcW w:w="1134" w:type="dxa"/>
            <w:vAlign w:val="center"/>
          </w:tcPr>
          <w:p>
            <w:pPr>
              <w:pStyle w:val="12"/>
            </w:pPr>
            <w:r>
              <w:t>32.55</w:t>
            </w:r>
          </w:p>
        </w:tc>
        <w:tc>
          <w:tcPr>
            <w:tcW w:w="1134" w:type="dxa"/>
            <w:vAlign w:val="center"/>
          </w:tcPr>
          <w:p>
            <w:pPr>
              <w:pStyle w:val="12"/>
            </w:pPr>
            <w:r>
              <w:t>32.55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4.70</w:t>
            </w:r>
          </w:p>
        </w:tc>
        <w:tc>
          <w:tcPr>
            <w:tcW w:w="1134" w:type="dxa"/>
            <w:vAlign w:val="center"/>
          </w:tcPr>
          <w:p>
            <w:pPr>
              <w:pStyle w:val="12"/>
            </w:pPr>
            <w:r>
              <w:t>4.70</w:t>
            </w:r>
          </w:p>
        </w:tc>
        <w:tc>
          <w:tcPr>
            <w:tcW w:w="1134" w:type="dxa"/>
            <w:vAlign w:val="center"/>
          </w:tcPr>
          <w:p>
            <w:pPr>
              <w:pStyle w:val="12"/>
            </w:pPr>
            <w:r>
              <w:t>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4.70</w:t>
            </w:r>
          </w:p>
        </w:tc>
        <w:tc>
          <w:tcPr>
            <w:tcW w:w="1134" w:type="dxa"/>
            <w:vAlign w:val="center"/>
          </w:tcPr>
          <w:p>
            <w:pPr>
              <w:pStyle w:val="12"/>
            </w:pPr>
            <w:r>
              <w:t>4.70</w:t>
            </w:r>
          </w:p>
        </w:tc>
        <w:tc>
          <w:tcPr>
            <w:tcW w:w="1134" w:type="dxa"/>
            <w:vAlign w:val="center"/>
          </w:tcPr>
          <w:p>
            <w:pPr>
              <w:pStyle w:val="12"/>
            </w:pPr>
            <w:r>
              <w:t>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0.91</w:t>
            </w:r>
          </w:p>
        </w:tc>
        <w:tc>
          <w:tcPr>
            <w:tcW w:w="1134" w:type="dxa"/>
            <w:vAlign w:val="center"/>
          </w:tcPr>
          <w:p>
            <w:pPr>
              <w:pStyle w:val="12"/>
            </w:pPr>
            <w:r>
              <w:t>0.91</w:t>
            </w:r>
          </w:p>
        </w:tc>
        <w:tc>
          <w:tcPr>
            <w:tcW w:w="1134" w:type="dxa"/>
            <w:vAlign w:val="center"/>
          </w:tcPr>
          <w:p>
            <w:pPr>
              <w:pStyle w:val="12"/>
            </w:pPr>
            <w:r>
              <w:t>0.91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0.91</w:t>
            </w:r>
          </w:p>
        </w:tc>
        <w:tc>
          <w:tcPr>
            <w:tcW w:w="1134" w:type="dxa"/>
            <w:vAlign w:val="center"/>
          </w:tcPr>
          <w:p>
            <w:pPr>
              <w:pStyle w:val="12"/>
            </w:pPr>
            <w:r>
              <w:t>0.91</w:t>
            </w:r>
          </w:p>
        </w:tc>
        <w:tc>
          <w:tcPr>
            <w:tcW w:w="1134" w:type="dxa"/>
            <w:vAlign w:val="center"/>
          </w:tcPr>
          <w:p>
            <w:pPr>
              <w:pStyle w:val="12"/>
            </w:pPr>
            <w:r>
              <w:t>0.91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r>
              <w:t>19.82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r>
              <w:t>44.21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r>
              <w:t>25.02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130.00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2296099</w:t>
            </w:r>
          </w:p>
        </w:tc>
        <w:tc>
          <w:tcPr>
            <w:tcW w:w="1559" w:type="dxa"/>
            <w:vAlign w:val="center"/>
          </w:tcPr>
          <w:p>
            <w:pPr>
              <w:pStyle w:val="13"/>
            </w:pPr>
            <w:r>
              <w:t>用于其他社会公益事业的彩票公益金支出</w:t>
            </w:r>
          </w:p>
        </w:tc>
        <w:tc>
          <w:tcPr>
            <w:tcW w:w="1134" w:type="dxa"/>
            <w:vAlign w:val="center"/>
          </w:tcPr>
          <w:p>
            <w:pPr>
              <w:pStyle w:val="12"/>
            </w:pPr>
            <w:r>
              <w:t>130.00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824.37</w:t>
            </w:r>
          </w:p>
        </w:tc>
        <w:tc>
          <w:tcPr>
            <w:tcW w:w="1361" w:type="dxa"/>
            <w:vAlign w:val="center"/>
          </w:tcPr>
          <w:p>
            <w:pPr>
              <w:pStyle w:val="16"/>
            </w:pPr>
            <w:r>
              <w:t>482.99</w:t>
            </w:r>
          </w:p>
        </w:tc>
        <w:tc>
          <w:tcPr>
            <w:tcW w:w="1361" w:type="dxa"/>
            <w:vAlign w:val="center"/>
          </w:tcPr>
          <w:p>
            <w:pPr>
              <w:pStyle w:val="16"/>
            </w:pPr>
            <w:r>
              <w:t>341.38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546.71</w:t>
            </w:r>
          </w:p>
        </w:tc>
        <w:tc>
          <w:tcPr>
            <w:tcW w:w="1361" w:type="dxa"/>
            <w:vAlign w:val="center"/>
          </w:tcPr>
          <w:p>
            <w:pPr>
              <w:pStyle w:val="12"/>
            </w:pPr>
            <w:r>
              <w:t>379.54</w:t>
            </w:r>
          </w:p>
        </w:tc>
        <w:tc>
          <w:tcPr>
            <w:tcW w:w="1361" w:type="dxa"/>
            <w:vAlign w:val="center"/>
          </w:tcPr>
          <w:p>
            <w:pPr>
              <w:pStyle w:val="12"/>
            </w:pPr>
            <w:r>
              <w:t>167.17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531.71</w:t>
            </w:r>
          </w:p>
        </w:tc>
        <w:tc>
          <w:tcPr>
            <w:tcW w:w="1361" w:type="dxa"/>
            <w:vAlign w:val="center"/>
          </w:tcPr>
          <w:p>
            <w:pPr>
              <w:pStyle w:val="12"/>
            </w:pPr>
            <w:r>
              <w:t>379.54</w:t>
            </w:r>
          </w:p>
        </w:tc>
        <w:tc>
          <w:tcPr>
            <w:tcW w:w="1361" w:type="dxa"/>
            <w:vAlign w:val="center"/>
          </w:tcPr>
          <w:p>
            <w:pPr>
              <w:pStyle w:val="12"/>
            </w:pPr>
            <w:r>
              <w:t>152.17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531.71</w:t>
            </w:r>
          </w:p>
        </w:tc>
        <w:tc>
          <w:tcPr>
            <w:tcW w:w="1361" w:type="dxa"/>
            <w:vAlign w:val="center"/>
          </w:tcPr>
          <w:p>
            <w:pPr>
              <w:pStyle w:val="12"/>
            </w:pPr>
            <w:r>
              <w:t>379.54</w:t>
            </w:r>
          </w:p>
        </w:tc>
        <w:tc>
          <w:tcPr>
            <w:tcW w:w="1361" w:type="dxa"/>
            <w:vAlign w:val="center"/>
          </w:tcPr>
          <w:p>
            <w:pPr>
              <w:pStyle w:val="12"/>
            </w:pPr>
            <w:r>
              <w:t>152.17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2014099</w:t>
            </w:r>
          </w:p>
        </w:tc>
        <w:tc>
          <w:tcPr>
            <w:tcW w:w="4535" w:type="dxa"/>
            <w:vAlign w:val="center"/>
          </w:tcPr>
          <w:p>
            <w:pPr>
              <w:pStyle w:val="13"/>
            </w:pPr>
            <w:r>
              <w:t>其他信访事务支出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58.61</w:t>
            </w:r>
          </w:p>
        </w:tc>
        <w:tc>
          <w:tcPr>
            <w:tcW w:w="1361" w:type="dxa"/>
            <w:vAlign w:val="center"/>
          </w:tcPr>
          <w:p>
            <w:pPr>
              <w:pStyle w:val="12"/>
            </w:pPr>
            <w:r>
              <w:t>58.61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52.99</w:t>
            </w:r>
          </w:p>
        </w:tc>
        <w:tc>
          <w:tcPr>
            <w:tcW w:w="1361" w:type="dxa"/>
            <w:vAlign w:val="center"/>
          </w:tcPr>
          <w:p>
            <w:pPr>
              <w:pStyle w:val="12"/>
            </w:pPr>
            <w:r>
              <w:t>52.99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20.44</w:t>
            </w:r>
          </w:p>
        </w:tc>
        <w:tc>
          <w:tcPr>
            <w:tcW w:w="1361" w:type="dxa"/>
            <w:vAlign w:val="center"/>
          </w:tcPr>
          <w:p>
            <w:pPr>
              <w:pStyle w:val="12"/>
            </w:pPr>
            <w:r>
              <w:t>20.44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32.55</w:t>
            </w:r>
          </w:p>
        </w:tc>
        <w:tc>
          <w:tcPr>
            <w:tcW w:w="1361" w:type="dxa"/>
            <w:vAlign w:val="center"/>
          </w:tcPr>
          <w:p>
            <w:pPr>
              <w:pStyle w:val="12"/>
            </w:pPr>
            <w:r>
              <w:t>32.55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4.70</w:t>
            </w:r>
          </w:p>
        </w:tc>
        <w:tc>
          <w:tcPr>
            <w:tcW w:w="1361" w:type="dxa"/>
            <w:vAlign w:val="center"/>
          </w:tcPr>
          <w:p>
            <w:pPr>
              <w:pStyle w:val="12"/>
            </w:pPr>
            <w:r>
              <w:t>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4.70</w:t>
            </w:r>
          </w:p>
        </w:tc>
        <w:tc>
          <w:tcPr>
            <w:tcW w:w="1361" w:type="dxa"/>
            <w:vAlign w:val="center"/>
          </w:tcPr>
          <w:p>
            <w:pPr>
              <w:pStyle w:val="12"/>
            </w:pPr>
            <w:r>
              <w:t>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0.91</w:t>
            </w:r>
          </w:p>
        </w:tc>
        <w:tc>
          <w:tcPr>
            <w:tcW w:w="1361" w:type="dxa"/>
            <w:vAlign w:val="center"/>
          </w:tcPr>
          <w:p>
            <w:pPr>
              <w:pStyle w:val="12"/>
            </w:pPr>
            <w:r>
              <w:t>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0.91</w:t>
            </w:r>
          </w:p>
        </w:tc>
        <w:tc>
          <w:tcPr>
            <w:tcW w:w="1361" w:type="dxa"/>
            <w:vAlign w:val="center"/>
          </w:tcPr>
          <w:p>
            <w:pPr>
              <w:pStyle w:val="12"/>
            </w:pPr>
            <w:r>
              <w:t>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19.82</w:t>
            </w:r>
          </w:p>
        </w:tc>
        <w:tc>
          <w:tcPr>
            <w:tcW w:w="1361" w:type="dxa"/>
            <w:vAlign w:val="center"/>
          </w:tcPr>
          <w:p>
            <w:pPr>
              <w:pStyle w:val="12"/>
            </w:pPr>
            <w:r>
              <w:t>19.82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19.82</w:t>
            </w:r>
          </w:p>
        </w:tc>
        <w:tc>
          <w:tcPr>
            <w:tcW w:w="1361" w:type="dxa"/>
            <w:vAlign w:val="center"/>
          </w:tcPr>
          <w:p>
            <w:pPr>
              <w:pStyle w:val="12"/>
            </w:pPr>
            <w:r>
              <w:t>19.82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19.82</w:t>
            </w:r>
          </w:p>
        </w:tc>
        <w:tc>
          <w:tcPr>
            <w:tcW w:w="1361" w:type="dxa"/>
            <w:vAlign w:val="center"/>
          </w:tcPr>
          <w:p>
            <w:pPr>
              <w:pStyle w:val="12"/>
            </w:pPr>
            <w:r>
              <w:t>19.82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r>
              <w:t>44.21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25.02</w:t>
            </w:r>
          </w:p>
        </w:tc>
        <w:tc>
          <w:tcPr>
            <w:tcW w:w="1361" w:type="dxa"/>
            <w:vAlign w:val="center"/>
          </w:tcPr>
          <w:p>
            <w:pPr>
              <w:pStyle w:val="12"/>
            </w:pPr>
            <w:r>
              <w:t>25.02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25.02</w:t>
            </w:r>
          </w:p>
        </w:tc>
        <w:tc>
          <w:tcPr>
            <w:tcW w:w="1361" w:type="dxa"/>
            <w:vAlign w:val="center"/>
          </w:tcPr>
          <w:p>
            <w:pPr>
              <w:pStyle w:val="12"/>
            </w:pPr>
            <w:r>
              <w:t>25.02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25.02</w:t>
            </w:r>
          </w:p>
        </w:tc>
        <w:tc>
          <w:tcPr>
            <w:tcW w:w="1361" w:type="dxa"/>
            <w:vAlign w:val="center"/>
          </w:tcPr>
          <w:p>
            <w:pPr>
              <w:pStyle w:val="12"/>
            </w:pPr>
            <w:r>
              <w:t>25.02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2296099</w:t>
            </w:r>
          </w:p>
        </w:tc>
        <w:tc>
          <w:tcPr>
            <w:tcW w:w="4535" w:type="dxa"/>
            <w:vAlign w:val="center"/>
          </w:tcPr>
          <w:p>
            <w:pPr>
              <w:pStyle w:val="13"/>
            </w:pPr>
            <w:r>
              <w:t>用于其他社会公益事业的彩票公益金支出</w:t>
            </w: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r>
              <w:t>130.00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694.37</w:t>
            </w:r>
          </w:p>
        </w:tc>
        <w:tc>
          <w:tcPr>
            <w:tcW w:w="3402" w:type="dxa"/>
            <w:vAlign w:val="center"/>
          </w:tcPr>
          <w:p>
            <w:pPr>
              <w:pStyle w:val="13"/>
            </w:pPr>
            <w:r>
              <w:t>一、一般公共服务支出</w:t>
            </w:r>
          </w:p>
        </w:tc>
        <w:tc>
          <w:tcPr>
            <w:tcW w:w="1474" w:type="dxa"/>
            <w:vAlign w:val="center"/>
          </w:tcPr>
          <w:p>
            <w:pPr>
              <w:pStyle w:val="12"/>
            </w:pPr>
            <w:r>
              <w:t>546.71</w:t>
            </w:r>
          </w:p>
        </w:tc>
        <w:tc>
          <w:tcPr>
            <w:tcW w:w="1474" w:type="dxa"/>
            <w:vAlign w:val="center"/>
          </w:tcPr>
          <w:p>
            <w:pPr>
              <w:pStyle w:val="12"/>
            </w:pPr>
            <w:r>
              <w:t>546.71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58.61</w:t>
            </w:r>
          </w:p>
        </w:tc>
        <w:tc>
          <w:tcPr>
            <w:tcW w:w="1474" w:type="dxa"/>
            <w:vAlign w:val="center"/>
          </w:tcPr>
          <w:p>
            <w:pPr>
              <w:pStyle w:val="12"/>
            </w:pPr>
            <w:r>
              <w:t>58.61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19.82</w:t>
            </w:r>
          </w:p>
        </w:tc>
        <w:tc>
          <w:tcPr>
            <w:tcW w:w="1474" w:type="dxa"/>
            <w:vAlign w:val="center"/>
          </w:tcPr>
          <w:p>
            <w:pPr>
              <w:pStyle w:val="12"/>
            </w:pPr>
            <w:r>
              <w:t>19.82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44.21</w:t>
            </w:r>
          </w:p>
        </w:tc>
        <w:tc>
          <w:tcPr>
            <w:tcW w:w="1474" w:type="dxa"/>
            <w:vAlign w:val="center"/>
          </w:tcPr>
          <w:p>
            <w:pPr>
              <w:pStyle w:val="12"/>
            </w:pPr>
            <w:r>
              <w:t>44.21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25.02</w:t>
            </w:r>
          </w:p>
        </w:tc>
        <w:tc>
          <w:tcPr>
            <w:tcW w:w="1474" w:type="dxa"/>
            <w:vAlign w:val="center"/>
          </w:tcPr>
          <w:p>
            <w:pPr>
              <w:pStyle w:val="12"/>
            </w:pPr>
            <w:r>
              <w:t>25.02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130.00</w:t>
            </w:r>
          </w:p>
        </w:tc>
        <w:tc>
          <w:tcPr>
            <w:tcW w:w="1474" w:type="dxa"/>
            <w:vAlign w:val="center"/>
          </w:tcPr>
          <w:p>
            <w:pPr>
              <w:pStyle w:val="12"/>
            </w:pPr>
          </w:p>
        </w:tc>
        <w:tc>
          <w:tcPr>
            <w:tcW w:w="1474" w:type="dxa"/>
            <w:vAlign w:val="center"/>
          </w:tcPr>
          <w:p>
            <w:pPr>
              <w:pStyle w:val="12"/>
            </w:pPr>
            <w:r>
              <w:t>130.00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694.37</w:t>
            </w:r>
          </w:p>
        </w:tc>
        <w:tc>
          <w:tcPr>
            <w:tcW w:w="3402" w:type="dxa"/>
            <w:vAlign w:val="center"/>
          </w:tcPr>
          <w:p>
            <w:pPr>
              <w:pStyle w:val="15"/>
            </w:pPr>
            <w:r>
              <w:t>本年支出合计</w:t>
            </w:r>
          </w:p>
        </w:tc>
        <w:tc>
          <w:tcPr>
            <w:tcW w:w="1474" w:type="dxa"/>
            <w:vAlign w:val="center"/>
          </w:tcPr>
          <w:p>
            <w:pPr>
              <w:pStyle w:val="16"/>
            </w:pPr>
            <w:r>
              <w:t>824.37</w:t>
            </w:r>
          </w:p>
        </w:tc>
        <w:tc>
          <w:tcPr>
            <w:tcW w:w="1474" w:type="dxa"/>
            <w:vAlign w:val="center"/>
          </w:tcPr>
          <w:p>
            <w:pPr>
              <w:pStyle w:val="16"/>
            </w:pPr>
            <w:r>
              <w:t>694.37</w:t>
            </w:r>
          </w:p>
        </w:tc>
        <w:tc>
          <w:tcPr>
            <w:tcW w:w="1474" w:type="dxa"/>
            <w:vAlign w:val="center"/>
          </w:tcPr>
          <w:p>
            <w:pPr>
              <w:pStyle w:val="16"/>
            </w:pPr>
            <w:r>
              <w:t>130.00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130.00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130.00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824.37</w:t>
            </w:r>
          </w:p>
        </w:tc>
        <w:tc>
          <w:tcPr>
            <w:tcW w:w="3402" w:type="dxa"/>
            <w:vAlign w:val="center"/>
          </w:tcPr>
          <w:p>
            <w:pPr>
              <w:pStyle w:val="15"/>
            </w:pPr>
            <w:r>
              <w:t>支出总计</w:t>
            </w:r>
          </w:p>
        </w:tc>
        <w:tc>
          <w:tcPr>
            <w:tcW w:w="1474" w:type="dxa"/>
            <w:vAlign w:val="center"/>
          </w:tcPr>
          <w:p>
            <w:pPr>
              <w:pStyle w:val="16"/>
            </w:pPr>
            <w:r>
              <w:t>824.37</w:t>
            </w:r>
          </w:p>
        </w:tc>
        <w:tc>
          <w:tcPr>
            <w:tcW w:w="1474" w:type="dxa"/>
            <w:vAlign w:val="center"/>
          </w:tcPr>
          <w:p>
            <w:pPr>
              <w:pStyle w:val="16"/>
            </w:pPr>
            <w:r>
              <w:t>694.37</w:t>
            </w:r>
          </w:p>
        </w:tc>
        <w:tc>
          <w:tcPr>
            <w:tcW w:w="1474" w:type="dxa"/>
            <w:vAlign w:val="center"/>
          </w:tcPr>
          <w:p>
            <w:pPr>
              <w:pStyle w:val="16"/>
            </w:pPr>
            <w:r>
              <w:t>130.00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694.37</w:t>
            </w:r>
          </w:p>
        </w:tc>
        <w:tc>
          <w:tcPr>
            <w:tcW w:w="2551" w:type="dxa"/>
            <w:vAlign w:val="center"/>
          </w:tcPr>
          <w:p>
            <w:pPr>
              <w:pStyle w:val="16"/>
            </w:pPr>
            <w:r>
              <w:t>482.99</w:t>
            </w:r>
          </w:p>
        </w:tc>
        <w:tc>
          <w:tcPr>
            <w:tcW w:w="2551" w:type="dxa"/>
            <w:vAlign w:val="center"/>
          </w:tcPr>
          <w:p>
            <w:pPr>
              <w:pStyle w:val="16"/>
            </w:pPr>
            <w:r>
              <w:t>211.38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546.71</w:t>
            </w:r>
          </w:p>
        </w:tc>
        <w:tc>
          <w:tcPr>
            <w:tcW w:w="2551" w:type="dxa"/>
            <w:vAlign w:val="center"/>
          </w:tcPr>
          <w:p>
            <w:pPr>
              <w:pStyle w:val="12"/>
            </w:pPr>
            <w:r>
              <w:t>379.54</w:t>
            </w:r>
          </w:p>
        </w:tc>
        <w:tc>
          <w:tcPr>
            <w:tcW w:w="2551" w:type="dxa"/>
            <w:vAlign w:val="center"/>
          </w:tcPr>
          <w:p>
            <w:pPr>
              <w:pStyle w:val="12"/>
            </w:pPr>
            <w:r>
              <w:t>167.17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531.71</w:t>
            </w:r>
          </w:p>
        </w:tc>
        <w:tc>
          <w:tcPr>
            <w:tcW w:w="2551" w:type="dxa"/>
            <w:vAlign w:val="center"/>
          </w:tcPr>
          <w:p>
            <w:pPr>
              <w:pStyle w:val="12"/>
            </w:pPr>
            <w:r>
              <w:t>379.54</w:t>
            </w:r>
          </w:p>
        </w:tc>
        <w:tc>
          <w:tcPr>
            <w:tcW w:w="2551" w:type="dxa"/>
            <w:vAlign w:val="center"/>
          </w:tcPr>
          <w:p>
            <w:pPr>
              <w:pStyle w:val="12"/>
            </w:pPr>
            <w:r>
              <w:t>152.17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531.71</w:t>
            </w:r>
          </w:p>
        </w:tc>
        <w:tc>
          <w:tcPr>
            <w:tcW w:w="2551" w:type="dxa"/>
            <w:vAlign w:val="center"/>
          </w:tcPr>
          <w:p>
            <w:pPr>
              <w:pStyle w:val="12"/>
            </w:pPr>
            <w:r>
              <w:t>379.54</w:t>
            </w:r>
          </w:p>
        </w:tc>
        <w:tc>
          <w:tcPr>
            <w:tcW w:w="2551" w:type="dxa"/>
            <w:vAlign w:val="center"/>
          </w:tcPr>
          <w:p>
            <w:pPr>
              <w:pStyle w:val="12"/>
            </w:pPr>
            <w:r>
              <w:t>152.17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2014099</w:t>
            </w:r>
          </w:p>
        </w:tc>
        <w:tc>
          <w:tcPr>
            <w:tcW w:w="4535" w:type="dxa"/>
            <w:vAlign w:val="center"/>
          </w:tcPr>
          <w:p>
            <w:pPr>
              <w:pStyle w:val="13"/>
            </w:pPr>
            <w:r>
              <w:t>其他信访事务支出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58.61</w:t>
            </w:r>
          </w:p>
        </w:tc>
        <w:tc>
          <w:tcPr>
            <w:tcW w:w="2551" w:type="dxa"/>
            <w:vAlign w:val="center"/>
          </w:tcPr>
          <w:p>
            <w:pPr>
              <w:pStyle w:val="12"/>
            </w:pPr>
            <w:r>
              <w:t>58.61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52.99</w:t>
            </w:r>
          </w:p>
        </w:tc>
        <w:tc>
          <w:tcPr>
            <w:tcW w:w="2551" w:type="dxa"/>
            <w:vAlign w:val="center"/>
          </w:tcPr>
          <w:p>
            <w:pPr>
              <w:pStyle w:val="12"/>
            </w:pPr>
            <w:r>
              <w:t>52.99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20.44</w:t>
            </w:r>
          </w:p>
        </w:tc>
        <w:tc>
          <w:tcPr>
            <w:tcW w:w="2551" w:type="dxa"/>
            <w:vAlign w:val="center"/>
          </w:tcPr>
          <w:p>
            <w:pPr>
              <w:pStyle w:val="12"/>
            </w:pPr>
            <w:r>
              <w:t>20.44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32.55</w:t>
            </w:r>
          </w:p>
        </w:tc>
        <w:tc>
          <w:tcPr>
            <w:tcW w:w="2551" w:type="dxa"/>
            <w:vAlign w:val="center"/>
          </w:tcPr>
          <w:p>
            <w:pPr>
              <w:pStyle w:val="12"/>
            </w:pPr>
            <w:r>
              <w:t>32.55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4.70</w:t>
            </w:r>
          </w:p>
        </w:tc>
        <w:tc>
          <w:tcPr>
            <w:tcW w:w="2551" w:type="dxa"/>
            <w:vAlign w:val="center"/>
          </w:tcPr>
          <w:p>
            <w:pPr>
              <w:pStyle w:val="12"/>
            </w:pPr>
            <w:r>
              <w:t>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4.70</w:t>
            </w:r>
          </w:p>
        </w:tc>
        <w:tc>
          <w:tcPr>
            <w:tcW w:w="2551" w:type="dxa"/>
            <w:vAlign w:val="center"/>
          </w:tcPr>
          <w:p>
            <w:pPr>
              <w:pStyle w:val="12"/>
            </w:pPr>
            <w:r>
              <w:t>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0.91</w:t>
            </w:r>
          </w:p>
        </w:tc>
        <w:tc>
          <w:tcPr>
            <w:tcW w:w="2551" w:type="dxa"/>
            <w:vAlign w:val="center"/>
          </w:tcPr>
          <w:p>
            <w:pPr>
              <w:pStyle w:val="12"/>
            </w:pPr>
            <w:r>
              <w:t>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0.91</w:t>
            </w:r>
          </w:p>
        </w:tc>
        <w:tc>
          <w:tcPr>
            <w:tcW w:w="2551" w:type="dxa"/>
            <w:vAlign w:val="center"/>
          </w:tcPr>
          <w:p>
            <w:pPr>
              <w:pStyle w:val="12"/>
            </w:pPr>
            <w:r>
              <w:t>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19.82</w:t>
            </w:r>
          </w:p>
        </w:tc>
        <w:tc>
          <w:tcPr>
            <w:tcW w:w="2551" w:type="dxa"/>
            <w:vAlign w:val="center"/>
          </w:tcPr>
          <w:p>
            <w:pPr>
              <w:pStyle w:val="12"/>
            </w:pPr>
            <w:r>
              <w:t>19.82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19.82</w:t>
            </w:r>
          </w:p>
        </w:tc>
        <w:tc>
          <w:tcPr>
            <w:tcW w:w="2551" w:type="dxa"/>
            <w:vAlign w:val="center"/>
          </w:tcPr>
          <w:p>
            <w:pPr>
              <w:pStyle w:val="12"/>
            </w:pPr>
            <w:r>
              <w:t>19.82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19.82</w:t>
            </w:r>
          </w:p>
        </w:tc>
        <w:tc>
          <w:tcPr>
            <w:tcW w:w="2551" w:type="dxa"/>
            <w:vAlign w:val="center"/>
          </w:tcPr>
          <w:p>
            <w:pPr>
              <w:pStyle w:val="12"/>
            </w:pPr>
            <w:r>
              <w:t>19.82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44.21</w:t>
            </w:r>
          </w:p>
        </w:tc>
        <w:tc>
          <w:tcPr>
            <w:tcW w:w="2551" w:type="dxa"/>
            <w:vAlign w:val="center"/>
          </w:tcPr>
          <w:p>
            <w:pPr>
              <w:pStyle w:val="12"/>
            </w:pPr>
          </w:p>
        </w:tc>
        <w:tc>
          <w:tcPr>
            <w:tcW w:w="2551" w:type="dxa"/>
            <w:vAlign w:val="center"/>
          </w:tcPr>
          <w:p>
            <w:pPr>
              <w:pStyle w:val="12"/>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44.21</w:t>
            </w:r>
          </w:p>
        </w:tc>
        <w:tc>
          <w:tcPr>
            <w:tcW w:w="2551" w:type="dxa"/>
            <w:vAlign w:val="center"/>
          </w:tcPr>
          <w:p>
            <w:pPr>
              <w:pStyle w:val="12"/>
            </w:pPr>
          </w:p>
        </w:tc>
        <w:tc>
          <w:tcPr>
            <w:tcW w:w="2551" w:type="dxa"/>
            <w:vAlign w:val="center"/>
          </w:tcPr>
          <w:p>
            <w:pPr>
              <w:pStyle w:val="12"/>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44.21</w:t>
            </w:r>
          </w:p>
        </w:tc>
        <w:tc>
          <w:tcPr>
            <w:tcW w:w="2551" w:type="dxa"/>
            <w:vAlign w:val="center"/>
          </w:tcPr>
          <w:p>
            <w:pPr>
              <w:pStyle w:val="12"/>
            </w:pPr>
          </w:p>
        </w:tc>
        <w:tc>
          <w:tcPr>
            <w:tcW w:w="2551" w:type="dxa"/>
            <w:vAlign w:val="center"/>
          </w:tcPr>
          <w:p>
            <w:pPr>
              <w:pStyle w:val="12"/>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25.02</w:t>
            </w:r>
          </w:p>
        </w:tc>
        <w:tc>
          <w:tcPr>
            <w:tcW w:w="2551" w:type="dxa"/>
            <w:vAlign w:val="center"/>
          </w:tcPr>
          <w:p>
            <w:pPr>
              <w:pStyle w:val="12"/>
            </w:pPr>
            <w:r>
              <w:t>25.02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25.02</w:t>
            </w:r>
          </w:p>
        </w:tc>
        <w:tc>
          <w:tcPr>
            <w:tcW w:w="2551" w:type="dxa"/>
            <w:vAlign w:val="center"/>
          </w:tcPr>
          <w:p>
            <w:pPr>
              <w:pStyle w:val="12"/>
            </w:pPr>
            <w:r>
              <w:t>25.02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25.02</w:t>
            </w:r>
          </w:p>
        </w:tc>
        <w:tc>
          <w:tcPr>
            <w:tcW w:w="2551" w:type="dxa"/>
            <w:vAlign w:val="center"/>
          </w:tcPr>
          <w:p>
            <w:pPr>
              <w:pStyle w:val="12"/>
            </w:pPr>
            <w:r>
              <w:t>25.02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482.99</w:t>
            </w:r>
          </w:p>
        </w:tc>
        <w:tc>
          <w:tcPr>
            <w:tcW w:w="2551" w:type="dxa"/>
            <w:vAlign w:val="center"/>
          </w:tcPr>
          <w:p>
            <w:pPr>
              <w:pStyle w:val="16"/>
            </w:pPr>
            <w:r>
              <w:t>447.65</w:t>
            </w:r>
          </w:p>
        </w:tc>
        <w:tc>
          <w:tcPr>
            <w:tcW w:w="2551" w:type="dxa"/>
            <w:vAlign w:val="center"/>
          </w:tcPr>
          <w:p>
            <w:pPr>
              <w:pStyle w:val="16"/>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422.50</w:t>
            </w:r>
          </w:p>
        </w:tc>
        <w:tc>
          <w:tcPr>
            <w:tcW w:w="2551" w:type="dxa"/>
            <w:vAlign w:val="center"/>
          </w:tcPr>
          <w:p>
            <w:pPr>
              <w:pStyle w:val="12"/>
            </w:pPr>
            <w:r>
              <w:t>422.50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149.89</w:t>
            </w:r>
          </w:p>
        </w:tc>
        <w:tc>
          <w:tcPr>
            <w:tcW w:w="2551" w:type="dxa"/>
            <w:vAlign w:val="center"/>
          </w:tcPr>
          <w:p>
            <w:pPr>
              <w:pStyle w:val="12"/>
            </w:pPr>
            <w:r>
              <w:t>149.89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109.67</w:t>
            </w:r>
          </w:p>
        </w:tc>
        <w:tc>
          <w:tcPr>
            <w:tcW w:w="2551" w:type="dxa"/>
            <w:vAlign w:val="center"/>
          </w:tcPr>
          <w:p>
            <w:pPr>
              <w:pStyle w:val="12"/>
            </w:pPr>
            <w:r>
              <w:t>109.67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52.36</w:t>
            </w:r>
          </w:p>
        </w:tc>
        <w:tc>
          <w:tcPr>
            <w:tcW w:w="2551" w:type="dxa"/>
            <w:vAlign w:val="center"/>
          </w:tcPr>
          <w:p>
            <w:pPr>
              <w:pStyle w:val="12"/>
            </w:pPr>
            <w:r>
              <w:t>52.36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17.78</w:t>
            </w:r>
          </w:p>
        </w:tc>
        <w:tc>
          <w:tcPr>
            <w:tcW w:w="2551" w:type="dxa"/>
            <w:vAlign w:val="center"/>
          </w:tcPr>
          <w:p>
            <w:pPr>
              <w:pStyle w:val="12"/>
            </w:pPr>
            <w:r>
              <w:t>17.78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46.27</w:t>
            </w:r>
          </w:p>
        </w:tc>
        <w:tc>
          <w:tcPr>
            <w:tcW w:w="2551" w:type="dxa"/>
            <w:vAlign w:val="center"/>
          </w:tcPr>
          <w:p>
            <w:pPr>
              <w:pStyle w:val="12"/>
            </w:pPr>
            <w:r>
              <w:t>46.27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19.82</w:t>
            </w:r>
          </w:p>
        </w:tc>
        <w:tc>
          <w:tcPr>
            <w:tcW w:w="2551" w:type="dxa"/>
            <w:vAlign w:val="center"/>
          </w:tcPr>
          <w:p>
            <w:pPr>
              <w:pStyle w:val="12"/>
            </w:pPr>
            <w:r>
              <w:t>19.82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1.69</w:t>
            </w:r>
          </w:p>
        </w:tc>
        <w:tc>
          <w:tcPr>
            <w:tcW w:w="2551" w:type="dxa"/>
            <w:vAlign w:val="center"/>
          </w:tcPr>
          <w:p>
            <w:pPr>
              <w:pStyle w:val="12"/>
            </w:pPr>
            <w:r>
              <w:t>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25.02</w:t>
            </w:r>
          </w:p>
        </w:tc>
        <w:tc>
          <w:tcPr>
            <w:tcW w:w="2551" w:type="dxa"/>
            <w:vAlign w:val="center"/>
          </w:tcPr>
          <w:p>
            <w:pPr>
              <w:pStyle w:val="12"/>
            </w:pPr>
            <w:r>
              <w:t>25.02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35.34</w:t>
            </w:r>
          </w:p>
        </w:tc>
        <w:tc>
          <w:tcPr>
            <w:tcW w:w="2551" w:type="dxa"/>
            <w:vAlign w:val="center"/>
          </w:tcPr>
          <w:p>
            <w:pPr>
              <w:pStyle w:val="12"/>
            </w:pPr>
          </w:p>
        </w:tc>
        <w:tc>
          <w:tcPr>
            <w:tcW w:w="2551" w:type="dxa"/>
            <w:vAlign w:val="center"/>
          </w:tcPr>
          <w:p>
            <w:pPr>
              <w:pStyle w:val="12"/>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20.34</w:t>
            </w:r>
          </w:p>
        </w:tc>
        <w:tc>
          <w:tcPr>
            <w:tcW w:w="2551" w:type="dxa"/>
            <w:vAlign w:val="center"/>
          </w:tcPr>
          <w:p>
            <w:pPr>
              <w:pStyle w:val="12"/>
            </w:pPr>
          </w:p>
        </w:tc>
        <w:tc>
          <w:tcPr>
            <w:tcW w:w="2551" w:type="dxa"/>
            <w:vAlign w:val="center"/>
          </w:tcPr>
          <w:p>
            <w:pPr>
              <w:pStyle w:val="12"/>
            </w:pPr>
            <w:r>
              <w:t>20.34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25.15</w:t>
            </w:r>
          </w:p>
        </w:tc>
        <w:tc>
          <w:tcPr>
            <w:tcW w:w="2551" w:type="dxa"/>
            <w:vAlign w:val="center"/>
          </w:tcPr>
          <w:p>
            <w:pPr>
              <w:pStyle w:val="12"/>
            </w:pPr>
            <w:r>
              <w:t>25.15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20.44</w:t>
            </w:r>
          </w:p>
        </w:tc>
        <w:tc>
          <w:tcPr>
            <w:tcW w:w="2551" w:type="dxa"/>
            <w:vAlign w:val="center"/>
          </w:tcPr>
          <w:p>
            <w:pPr>
              <w:pStyle w:val="12"/>
            </w:pPr>
            <w:r>
              <w:t>20.44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4.70</w:t>
            </w:r>
          </w:p>
        </w:tc>
        <w:tc>
          <w:tcPr>
            <w:tcW w:w="2551" w:type="dxa"/>
            <w:vAlign w:val="center"/>
          </w:tcPr>
          <w:p>
            <w:pPr>
              <w:pStyle w:val="12"/>
            </w:pPr>
            <w:r>
              <w:t>4.70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130.00</w:t>
            </w:r>
          </w:p>
        </w:tc>
        <w:tc>
          <w:tcPr>
            <w:tcW w:w="2551" w:type="dxa"/>
            <w:vAlign w:val="center"/>
          </w:tcPr>
          <w:p>
            <w:pPr>
              <w:pStyle w:val="16"/>
            </w:pPr>
          </w:p>
        </w:tc>
        <w:tc>
          <w:tcPr>
            <w:tcW w:w="2551" w:type="dxa"/>
            <w:vAlign w:val="center"/>
          </w:tcPr>
          <w:p>
            <w:pPr>
              <w:pStyle w:val="16"/>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130.00</w:t>
            </w:r>
          </w:p>
        </w:tc>
        <w:tc>
          <w:tcPr>
            <w:tcW w:w="2551" w:type="dxa"/>
            <w:vAlign w:val="center"/>
          </w:tcPr>
          <w:p>
            <w:pPr>
              <w:pStyle w:val="12"/>
            </w:pPr>
          </w:p>
        </w:tc>
        <w:tc>
          <w:tcPr>
            <w:tcW w:w="2551"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130.00</w:t>
            </w:r>
          </w:p>
        </w:tc>
        <w:tc>
          <w:tcPr>
            <w:tcW w:w="2551" w:type="dxa"/>
            <w:vAlign w:val="center"/>
          </w:tcPr>
          <w:p>
            <w:pPr>
              <w:pStyle w:val="12"/>
            </w:pPr>
          </w:p>
        </w:tc>
        <w:tc>
          <w:tcPr>
            <w:tcW w:w="2551"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2296099</w:t>
            </w:r>
          </w:p>
        </w:tc>
        <w:tc>
          <w:tcPr>
            <w:tcW w:w="4535" w:type="dxa"/>
            <w:vAlign w:val="center"/>
          </w:tcPr>
          <w:p>
            <w:pPr>
              <w:pStyle w:val="13"/>
            </w:pPr>
            <w:r>
              <w:t>用于其他社会公益事业的彩票公益金支出</w:t>
            </w:r>
          </w:p>
        </w:tc>
        <w:tc>
          <w:tcPr>
            <w:tcW w:w="2551" w:type="dxa"/>
            <w:vAlign w:val="center"/>
          </w:tcPr>
          <w:p>
            <w:pPr>
              <w:pStyle w:val="12"/>
            </w:pPr>
            <w:r>
              <w:t>130.00</w:t>
            </w:r>
          </w:p>
        </w:tc>
        <w:tc>
          <w:tcPr>
            <w:tcW w:w="2551" w:type="dxa"/>
            <w:vAlign w:val="center"/>
          </w:tcPr>
          <w:p>
            <w:pPr>
              <w:pStyle w:val="12"/>
            </w:pPr>
          </w:p>
        </w:tc>
        <w:tc>
          <w:tcPr>
            <w:tcW w:w="2551" w:type="dxa"/>
            <w:vAlign w:val="center"/>
          </w:tcPr>
          <w:p>
            <w:pPr>
              <w:pStyle w:val="12"/>
            </w:pPr>
            <w:r>
              <w:t>130.00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804成安县漳河店镇政府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r>
              <w:t>694.37</w:t>
            </w:r>
          </w:p>
        </w:tc>
        <w:tc>
          <w:tcPr>
            <w:tcW w:w="2381" w:type="dxa"/>
            <w:vAlign w:val="center"/>
          </w:tcPr>
          <w:p>
            <w:pPr>
              <w:pStyle w:val="12"/>
            </w:pPr>
            <w:r>
              <w:t>694.37</w:t>
            </w:r>
          </w:p>
        </w:tc>
        <w:tc>
          <w:tcPr>
            <w:tcW w:w="2381" w:type="dxa"/>
            <w:vAlign w:val="center"/>
          </w:tcPr>
          <w:p>
            <w:pPr>
              <w:pStyle w:val="12"/>
              <w:rPr>
                <w:rFonts w:hint="eastAsia" w:eastAsia="方正书宋_GBK"/>
                <w:lang w:val="en-US" w:eastAsia="zh-CN"/>
              </w:rPr>
            </w:pPr>
            <w:r>
              <w:rPr>
                <w:rFonts w:hint="eastAsia"/>
                <w:lang w:val="en-US" w:eastAsia="zh-CN"/>
              </w:rPr>
              <w:t>0</w:t>
            </w:r>
          </w:p>
        </w:tc>
        <w:tc>
          <w:tcPr>
            <w:tcW w:w="2381" w:type="dxa"/>
            <w:vAlign w:val="center"/>
          </w:tcPr>
          <w:p>
            <w:pPr>
              <w:pStyle w:val="12"/>
              <w:rPr>
                <w:rFonts w:hint="eastAsia" w:eastAsia="方正书宋_GBK"/>
                <w:lang w:val="en-US" w:eastAsia="zh-CN"/>
              </w:rPr>
            </w:pPr>
            <w:r>
              <w:rPr>
                <w:rFonts w:hint="eastAsia"/>
                <w:lang w:val="en-US" w:eastAsia="zh-CN"/>
              </w:rPr>
              <w:t>0</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成安县漳河店镇政府2026年部门预算信息公开情况说明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成安县漳河店镇政府2026年部门预算信息公开情况说明</w:t>
      </w:r>
    </w:p>
    <w:p>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8"/>
        </w:rPr>
        <w:t>按照《中华人民共和国预算法》、《地方预决算公开操作规程》和《关于进一步推进预算公开工作的实施意见》规定，现将成安县漳河店镇政府2026年部门预算公开如下：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ind w:firstLine="600" w:firstLineChars="200"/>
        <w:rPr>
          <w:rFonts w:ascii="仿宋_GB2312" w:hAnsi="楷体" w:eastAsia="仿宋_GB2312"/>
          <w:sz w:val="32"/>
          <w:szCs w:val="32"/>
        </w:rPr>
      </w:pPr>
      <w:r>
        <w:rPr>
          <w:rFonts w:ascii="宋体" w:cs="宋体"/>
          <w:color w:val="000000"/>
          <w:sz w:val="30"/>
          <w:szCs w:val="30"/>
        </w:rPr>
        <w:t>1</w:t>
      </w:r>
      <w:r>
        <w:rPr>
          <w:rFonts w:hint="eastAsia" w:ascii="仿宋_GB2312" w:hAnsi="楷体" w:eastAsia="仿宋_GB2312"/>
          <w:sz w:val="32"/>
          <w:szCs w:val="32"/>
        </w:rPr>
        <w:t>、贯彻党的路线、方针、政策和上级党组织的指示、决定，执行镇党员代表大会党员大会决议，讨论决定本乡的重大问题。</w:t>
      </w:r>
    </w:p>
    <w:p>
      <w:pPr>
        <w:ind w:firstLine="640" w:firstLineChars="200"/>
        <w:rPr>
          <w:rFonts w:hint="eastAsia" w:ascii="仿宋_GB2312" w:hAnsi="楷体" w:eastAsia="仿宋_GB2312"/>
          <w:sz w:val="32"/>
          <w:szCs w:val="32"/>
          <w:lang w:eastAsia="zh-CN"/>
        </w:rPr>
      </w:pPr>
      <w:r>
        <w:rPr>
          <w:rFonts w:ascii="仿宋_GB2312" w:hAnsi="楷体" w:eastAsia="仿宋_GB2312"/>
          <w:sz w:val="32"/>
          <w:szCs w:val="32"/>
        </w:rPr>
        <w:t>2</w:t>
      </w:r>
      <w:r>
        <w:rPr>
          <w:rFonts w:hint="eastAsia" w:ascii="仿宋_GB2312" w:hAnsi="楷体" w:eastAsia="仿宋_GB2312"/>
          <w:sz w:val="32"/>
          <w:szCs w:val="32"/>
        </w:rPr>
        <w:t>、抓好镇党委和村级党组织的思想、组织和作风建设</w:t>
      </w:r>
      <w:r>
        <w:rPr>
          <w:rFonts w:hint="eastAsia" w:ascii="仿宋_GB2312" w:hAnsi="楷体" w:eastAsia="仿宋_GB2312"/>
          <w:sz w:val="32"/>
          <w:szCs w:val="32"/>
          <w:lang w:eastAsia="zh-CN"/>
        </w:rPr>
        <w:t>。</w:t>
      </w:r>
    </w:p>
    <w:p>
      <w:pPr>
        <w:ind w:firstLine="640" w:firstLineChars="20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、领导镇经济建设，引导农村富余劳动力向小城镇转移，促进农村的现代化建设。制定本镇经济和社会发展规划并组织实施。</w:t>
      </w:r>
    </w:p>
    <w:p>
      <w:pPr>
        <w:ind w:firstLine="640" w:firstLineChars="20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、加强农村社会主义民主政治和法治建设，依法行政，规范管理。加强农村社会治安综合治理。贯彻执行党和国家的计划生育政策。</w:t>
      </w:r>
    </w:p>
    <w:p>
      <w:pPr>
        <w:ind w:firstLine="640" w:firstLineChars="200"/>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、领导并支持镇政府依法行使各项行政管理职权。</w:t>
      </w:r>
    </w:p>
    <w:p>
      <w:pPr>
        <w:ind w:firstLine="640" w:firstLineChars="200"/>
        <w:rPr>
          <w:rFonts w:ascii="仿宋_GB2312" w:hAnsi="楷体" w:eastAsia="仿宋_GB2312"/>
          <w:sz w:val="32"/>
          <w:szCs w:val="32"/>
        </w:rPr>
      </w:pPr>
      <w:r>
        <w:rPr>
          <w:rFonts w:ascii="仿宋_GB2312" w:hAnsi="楷体" w:eastAsia="仿宋_GB2312"/>
          <w:sz w:val="32"/>
          <w:szCs w:val="32"/>
        </w:rPr>
        <w:t>6</w:t>
      </w:r>
      <w:r>
        <w:rPr>
          <w:rFonts w:hint="eastAsia" w:ascii="仿宋_GB2312" w:hAnsi="楷体" w:eastAsia="仿宋_GB2312"/>
          <w:sz w:val="32"/>
          <w:szCs w:val="32"/>
        </w:rPr>
        <w:t>、领导人大主席团及经济组织、人民武装和共青团、妇联等人民团体的工作。</w:t>
      </w:r>
    </w:p>
    <w:p>
      <w:pPr>
        <w:ind w:firstLine="640" w:firstLineChars="200"/>
        <w:rPr>
          <w:rFonts w:ascii="仿宋_GB2312" w:hAnsi="楷体" w:eastAsia="仿宋_GB2312"/>
          <w:sz w:val="32"/>
          <w:szCs w:val="32"/>
        </w:rPr>
      </w:pPr>
      <w:r>
        <w:rPr>
          <w:rFonts w:ascii="仿宋_GB2312" w:hAnsi="楷体" w:eastAsia="仿宋_GB2312"/>
          <w:sz w:val="32"/>
          <w:szCs w:val="32"/>
        </w:rPr>
        <w:t>7</w:t>
      </w:r>
      <w:r>
        <w:rPr>
          <w:rFonts w:hint="eastAsia" w:ascii="仿宋_GB2312" w:hAnsi="楷体" w:eastAsia="仿宋_GB2312"/>
          <w:sz w:val="32"/>
          <w:szCs w:val="32"/>
        </w:rPr>
        <w:t>、抓好上级有关部门派驻</w:t>
      </w:r>
      <w:r>
        <w:rPr>
          <w:rFonts w:hint="eastAsia" w:ascii="仿宋_GB2312" w:hAnsi="楷体" w:eastAsia="仿宋_GB2312"/>
          <w:sz w:val="32"/>
          <w:szCs w:val="32"/>
          <w:lang w:eastAsia="zh-CN"/>
        </w:rPr>
        <w:t>镇</w:t>
      </w:r>
      <w:r>
        <w:rPr>
          <w:rFonts w:hint="eastAsia" w:ascii="仿宋_GB2312" w:hAnsi="楷体" w:eastAsia="仿宋_GB2312"/>
          <w:sz w:val="32"/>
          <w:szCs w:val="32"/>
        </w:rPr>
        <w:t>里的工作</w:t>
      </w:r>
      <w:r>
        <w:rPr>
          <w:rFonts w:hint="eastAsia" w:ascii="仿宋_GB2312" w:hAnsi="楷体" w:eastAsia="仿宋_GB2312"/>
          <w:sz w:val="32"/>
          <w:szCs w:val="32"/>
          <w:lang w:eastAsia="zh-CN"/>
        </w:rPr>
        <w:t>，</w:t>
      </w:r>
      <w:r>
        <w:rPr>
          <w:rFonts w:hint="eastAsia" w:ascii="仿宋_GB2312" w:hAnsi="楷体" w:eastAsia="仿宋_GB2312"/>
          <w:sz w:val="32"/>
          <w:szCs w:val="32"/>
        </w:rPr>
        <w:t>承办上级人民政府交办的其他事项</w:t>
      </w:r>
      <w:r>
        <w:rPr>
          <w:rFonts w:hint="eastAsia" w:ascii="仿宋_GB2312" w:hAnsi="楷体" w:eastAsia="仿宋_GB2312"/>
          <w:sz w:val="32"/>
          <w:szCs w:val="32"/>
          <w:lang w:eastAsia="zh-CN"/>
        </w:rPr>
        <w:t>，</w:t>
      </w:r>
      <w:r>
        <w:rPr>
          <w:rFonts w:hint="eastAsia" w:ascii="仿宋_GB2312" w:hAnsi="楷体" w:eastAsia="仿宋_GB2312"/>
          <w:sz w:val="32"/>
          <w:szCs w:val="32"/>
        </w:rPr>
        <w:t>完成上级党组织交办的其他任务。</w:t>
      </w:r>
    </w:p>
    <w:p>
      <w:pPr>
        <w:ind w:firstLine="640" w:firstLineChars="200"/>
        <w:rPr>
          <w:rFonts w:ascii="仿宋_GB2312" w:hAnsi="楷体" w:eastAsia="仿宋_GB2312"/>
          <w:sz w:val="32"/>
          <w:szCs w:val="32"/>
        </w:rPr>
      </w:pPr>
      <w:r>
        <w:rPr>
          <w:rFonts w:ascii="仿宋_GB2312" w:hAnsi="楷体" w:eastAsia="仿宋_GB2312"/>
          <w:sz w:val="32"/>
          <w:szCs w:val="32"/>
        </w:rPr>
        <w:t>8</w:t>
      </w:r>
      <w:r>
        <w:rPr>
          <w:rFonts w:hint="eastAsia" w:ascii="仿宋_GB2312" w:hAnsi="楷体" w:eastAsia="仿宋_GB2312"/>
          <w:sz w:val="32"/>
          <w:szCs w:val="32"/>
        </w:rPr>
        <w:t>、依法管理镇财政，负责本级财政预决算。</w:t>
      </w:r>
    </w:p>
    <w:p>
      <w:pPr>
        <w:ind w:firstLine="640" w:firstLineChars="200"/>
        <w:rPr>
          <w:rFonts w:ascii="仿宋_GB2312" w:hAnsi="楷体" w:eastAsia="仿宋_GB2312"/>
          <w:sz w:val="32"/>
          <w:szCs w:val="32"/>
        </w:rPr>
      </w:pPr>
      <w:r>
        <w:rPr>
          <w:rFonts w:ascii="仿宋_GB2312" w:hAnsi="楷体" w:eastAsia="仿宋_GB2312"/>
          <w:sz w:val="32"/>
          <w:szCs w:val="32"/>
        </w:rPr>
        <w:t>9</w:t>
      </w:r>
      <w:r>
        <w:rPr>
          <w:rFonts w:hint="eastAsia" w:ascii="仿宋_GB2312" w:hAnsi="楷体" w:eastAsia="仿宋_GB2312"/>
          <w:sz w:val="32"/>
          <w:szCs w:val="32"/>
        </w:rPr>
        <w:t>、制定本行政和区域内的经济和社会发展计划，大力培育、发展各类经济服务实体和社会中介组织，推动农村社会化服务体系的发展与完善。</w:t>
      </w:r>
    </w:p>
    <w:p>
      <w:pPr>
        <w:ind w:firstLine="640" w:firstLineChars="200"/>
        <w:rPr>
          <w:rFonts w:ascii="仿宋_GB2312" w:hAnsi="楷体" w:eastAsia="仿宋_GB2312"/>
          <w:sz w:val="32"/>
          <w:szCs w:val="32"/>
        </w:rPr>
      </w:pPr>
      <w:r>
        <w:rPr>
          <w:rFonts w:ascii="仿宋_GB2312" w:hAnsi="楷体" w:eastAsia="仿宋_GB2312"/>
          <w:sz w:val="32"/>
          <w:szCs w:val="32"/>
        </w:rPr>
        <w:t>10</w:t>
      </w:r>
      <w:r>
        <w:rPr>
          <w:rFonts w:hint="eastAsia" w:ascii="仿宋_GB2312" w:hAnsi="楷体" w:eastAsia="仿宋_GB2312"/>
          <w:sz w:val="32"/>
          <w:szCs w:val="32"/>
        </w:rPr>
        <w:t>、加强土地管理、镇村规划建设、生态和生活环境管理与保护。</w:t>
      </w:r>
    </w:p>
    <w:p>
      <w:pPr>
        <w:ind w:firstLine="640" w:firstLineChars="200"/>
        <w:rPr>
          <w:rFonts w:ascii="仿宋_GB2312" w:hAnsi="楷体" w:eastAsia="仿宋_GB2312"/>
          <w:sz w:val="32"/>
          <w:szCs w:val="32"/>
        </w:rPr>
      </w:pPr>
      <w:r>
        <w:rPr>
          <w:rFonts w:ascii="仿宋_GB2312" w:hAnsi="楷体" w:eastAsia="仿宋_GB2312"/>
          <w:sz w:val="32"/>
          <w:szCs w:val="32"/>
        </w:rPr>
        <w:t>11</w:t>
      </w:r>
      <w:r>
        <w:rPr>
          <w:rFonts w:hint="eastAsia" w:ascii="仿宋_GB2312" w:hAnsi="楷体" w:eastAsia="仿宋_GB2312"/>
          <w:sz w:val="32"/>
          <w:szCs w:val="32"/>
        </w:rPr>
        <w:t>、管理民政工作，搞好社会福利事业，推行农村社会养老保险工作。</w:t>
      </w:r>
    </w:p>
    <w:p>
      <w:pPr>
        <w:ind w:firstLine="640" w:firstLineChars="200"/>
        <w:rPr>
          <w:rFonts w:ascii="仿宋_GB2312" w:hAnsi="楷体" w:eastAsia="仿宋_GB2312"/>
          <w:sz w:val="32"/>
          <w:szCs w:val="32"/>
        </w:rPr>
      </w:pPr>
      <w:r>
        <w:rPr>
          <w:rFonts w:ascii="仿宋_GB2312" w:hAnsi="楷体" w:eastAsia="仿宋_GB2312"/>
          <w:sz w:val="32"/>
          <w:szCs w:val="32"/>
        </w:rPr>
        <w:t>12</w:t>
      </w:r>
      <w:r>
        <w:rPr>
          <w:rFonts w:hint="eastAsia" w:ascii="仿宋_GB2312" w:hAnsi="楷体" w:eastAsia="仿宋_GB2312"/>
          <w:sz w:val="32"/>
          <w:szCs w:val="32"/>
        </w:rPr>
        <w:t>、管理和发展文化教育、农业技术、广播、文化、体育、卫生等事业。</w:t>
      </w:r>
    </w:p>
    <w:p>
      <w:pPr>
        <w:ind w:firstLine="640" w:firstLineChars="200"/>
        <w:rPr>
          <w:rFonts w:ascii="仿宋_GB2312" w:hAnsi="楷体" w:eastAsia="仿宋_GB2312"/>
          <w:sz w:val="32"/>
          <w:szCs w:val="32"/>
        </w:rPr>
      </w:pPr>
      <w:r>
        <w:rPr>
          <w:rFonts w:ascii="仿宋_GB2312" w:hAnsi="楷体" w:eastAsia="仿宋_GB2312"/>
          <w:sz w:val="32"/>
          <w:szCs w:val="32"/>
        </w:rPr>
        <w:t>13</w:t>
      </w:r>
      <w:r>
        <w:rPr>
          <w:rFonts w:hint="eastAsia" w:ascii="仿宋_GB2312" w:hAnsi="楷体" w:eastAsia="仿宋_GB2312"/>
          <w:sz w:val="32"/>
          <w:szCs w:val="32"/>
        </w:rPr>
        <w:t>、加强社会治安，调解民事纠纷</w:t>
      </w:r>
      <w:r>
        <w:rPr>
          <w:rFonts w:hint="eastAsia" w:ascii="仿宋_GB2312" w:hAnsi="楷体" w:eastAsia="仿宋_GB2312"/>
          <w:sz w:val="32"/>
          <w:szCs w:val="32"/>
          <w:lang w:eastAsia="zh-CN"/>
        </w:rPr>
        <w:t>，</w:t>
      </w:r>
      <w:r>
        <w:rPr>
          <w:rFonts w:hint="eastAsia" w:ascii="仿宋_GB2312" w:hAnsi="楷体" w:eastAsia="仿宋_GB2312"/>
          <w:sz w:val="32"/>
          <w:szCs w:val="32"/>
        </w:rPr>
        <w:t>保护妇女、儿童和老年人的合法权益。</w:t>
      </w:r>
    </w:p>
    <w:p>
      <w:pPr>
        <w:ind w:firstLine="640" w:firstLineChars="200"/>
        <w:rPr>
          <w:rFonts w:ascii="仿宋_GB2312" w:hAnsi="楷体" w:eastAsia="仿宋_GB2312"/>
          <w:sz w:val="32"/>
          <w:szCs w:val="32"/>
        </w:rPr>
      </w:pPr>
      <w:r>
        <w:rPr>
          <w:rFonts w:ascii="仿宋_GB2312" w:hAnsi="楷体" w:eastAsia="仿宋_GB2312"/>
          <w:sz w:val="32"/>
          <w:szCs w:val="32"/>
        </w:rPr>
        <w:t>14</w:t>
      </w:r>
      <w:r>
        <w:rPr>
          <w:rFonts w:hint="eastAsia" w:ascii="仿宋_GB2312" w:hAnsi="楷体" w:eastAsia="仿宋_GB2312"/>
          <w:sz w:val="32"/>
          <w:szCs w:val="32"/>
        </w:rPr>
        <w:t>、开展社会主义民主法制教育，协调管理本区域内的司法、公安、工商、税务、交通、邮电和电力排灌、金融等部门的工作。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ascii="方正小标宋_GBK" w:hAnsi="方正小标宋_GBK" w:eastAsia="方正小标宋_GBK" w:cs="方正小标宋_GBK"/>
          <w:color w:val="000000"/>
          <w:sz w:val="32"/>
        </w:rPr>
      </w:pPr>
      <w:r>
        <w:rPr>
          <w:rFonts w:ascii="方正小标宋_GBK" w:hAnsi="方正小标宋_GBK" w:eastAsia="方正小标宋_GBK" w:cs="方正小标宋_GBK"/>
          <w:color w:val="000000"/>
          <w:sz w:val="32"/>
        </w:rPr>
        <w:t>部门机构设置情况</w:t>
      </w:r>
    </w:p>
    <w:p>
      <w:pPr>
        <w:autoSpaceDE w:val="0"/>
        <w:autoSpaceDN w:val="0"/>
        <w:adjustRightInd w:val="0"/>
        <w:ind w:firstLine="642"/>
        <w:rPr>
          <w:rFonts w:ascii="仿宋" w:hAnsi="仿宋" w:eastAsia="仿宋" w:cs="仿宋_GB2312"/>
          <w:bCs/>
          <w:sz w:val="32"/>
          <w:szCs w:val="32"/>
        </w:rPr>
      </w:pPr>
      <w:r>
        <w:rPr>
          <w:rFonts w:hint="eastAsia" w:ascii="仿宋" w:hAnsi="仿宋" w:eastAsia="仿宋" w:cs="仿宋_GB2312"/>
          <w:bCs/>
          <w:sz w:val="32"/>
          <w:szCs w:val="32"/>
        </w:rPr>
        <w:t>成安县</w:t>
      </w:r>
      <w:r>
        <w:rPr>
          <w:rFonts w:hint="eastAsia" w:ascii="仿宋" w:hAnsi="仿宋" w:eastAsia="仿宋" w:cs="仿宋_GB2312"/>
          <w:bCs/>
          <w:sz w:val="32"/>
          <w:szCs w:val="32"/>
          <w:lang w:eastAsia="zh-CN"/>
        </w:rPr>
        <w:t>漳河店</w:t>
      </w:r>
      <w:r>
        <w:rPr>
          <w:rFonts w:hint="eastAsia" w:ascii="仿宋" w:hAnsi="仿宋" w:eastAsia="仿宋" w:cs="仿宋_GB2312"/>
          <w:bCs/>
          <w:sz w:val="32"/>
          <w:szCs w:val="32"/>
        </w:rPr>
        <w:t>镇人民政府，预算编码是</w:t>
      </w:r>
      <w:r>
        <w:rPr>
          <w:rFonts w:hint="eastAsia" w:ascii="仿宋" w:hAnsi="仿宋" w:eastAsia="仿宋" w:cs="仿宋_GB2312"/>
          <w:bCs/>
          <w:sz w:val="32"/>
          <w:szCs w:val="32"/>
          <w:lang w:eastAsia="zh-CN"/>
        </w:rPr>
        <w:t>804002</w:t>
      </w:r>
      <w:r>
        <w:rPr>
          <w:rFonts w:hint="eastAsia" w:ascii="仿宋" w:hAnsi="仿宋" w:eastAsia="仿宋" w:cs="仿宋_GB2312"/>
          <w:bCs/>
          <w:sz w:val="32"/>
          <w:szCs w:val="32"/>
        </w:rPr>
        <w:t>，内设</w:t>
      </w:r>
      <w:r>
        <w:rPr>
          <w:rFonts w:hint="eastAsia" w:ascii="仿宋" w:hAnsi="仿宋" w:eastAsia="仿宋" w:cs="仿宋_GB2312"/>
          <w:bCs/>
          <w:sz w:val="32"/>
          <w:szCs w:val="32"/>
          <w:lang w:eastAsia="zh-CN"/>
        </w:rPr>
        <w:t>9</w:t>
      </w:r>
      <w:r>
        <w:rPr>
          <w:rFonts w:hint="eastAsia" w:ascii="仿宋" w:hAnsi="仿宋" w:eastAsia="仿宋" w:cs="仿宋_GB2312"/>
          <w:bCs/>
          <w:sz w:val="32"/>
          <w:szCs w:val="32"/>
        </w:rPr>
        <w:t>个内部机构.</w:t>
      </w:r>
    </w:p>
    <w:tbl>
      <w:tblPr>
        <w:tblStyle w:val="5"/>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317" w:type="dxa"/>
            <w:vMerge w:val="restart"/>
            <w:vAlign w:val="center"/>
          </w:tcPr>
          <w:p>
            <w:pPr>
              <w:jc w:val="center"/>
              <w:rPr>
                <w:b/>
                <w:bCs/>
              </w:rPr>
            </w:pPr>
            <w:r>
              <w:rPr>
                <w:rFonts w:hint="eastAsia" w:ascii="宋体" w:hAnsi="宋体" w:cs="宋体"/>
                <w:b/>
                <w:bCs/>
              </w:rPr>
              <w:t>单位名称</w:t>
            </w:r>
          </w:p>
        </w:tc>
        <w:tc>
          <w:tcPr>
            <w:tcW w:w="1134" w:type="dxa"/>
            <w:vMerge w:val="restart"/>
            <w:vAlign w:val="center"/>
          </w:tcPr>
          <w:p>
            <w:pPr>
              <w:rPr>
                <w:b/>
                <w:bCs/>
              </w:rPr>
            </w:pPr>
            <w:r>
              <w:rPr>
                <w:rFonts w:hint="eastAsia"/>
                <w:b/>
                <w:bCs/>
              </w:rPr>
              <w:t>单位性质</w:t>
            </w:r>
          </w:p>
        </w:tc>
        <w:tc>
          <w:tcPr>
            <w:tcW w:w="1276" w:type="dxa"/>
            <w:vMerge w:val="restart"/>
            <w:vAlign w:val="center"/>
          </w:tcPr>
          <w:p>
            <w:pPr>
              <w:jc w:val="center"/>
              <w:rPr>
                <w:b/>
                <w:bCs/>
              </w:rPr>
            </w:pPr>
            <w:r>
              <w:rPr>
                <w:rFonts w:hint="eastAsia" w:ascii="宋体" w:hAnsi="宋体" w:cs="宋体"/>
                <w:b/>
                <w:bCs/>
              </w:rPr>
              <w:t>单位规格</w:t>
            </w:r>
          </w:p>
        </w:tc>
        <w:tc>
          <w:tcPr>
            <w:tcW w:w="2902" w:type="dxa"/>
            <w:vMerge w:val="restart"/>
            <w:vAlign w:val="center"/>
          </w:tcPr>
          <w:p>
            <w:pPr>
              <w:jc w:val="center"/>
              <w:rPr>
                <w:b/>
                <w:bCs/>
              </w:rPr>
            </w:pPr>
            <w:r>
              <w:rPr>
                <w:rFonts w:hint="eastAsia" w:ascii="宋体" w:hAnsi="宋体" w:cs="宋体"/>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pPr>
              <w:spacing w:line="300" w:lineRule="exact"/>
              <w:jc w:val="center"/>
              <w:outlineLvl w:val="0"/>
              <w:rPr>
                <w:rFonts w:ascii="宋体" w:cs="宋体"/>
                <w:szCs w:val="21"/>
              </w:rPr>
            </w:pPr>
          </w:p>
        </w:tc>
        <w:tc>
          <w:tcPr>
            <w:tcW w:w="1134" w:type="dxa"/>
            <w:vMerge w:val="continue"/>
            <w:vAlign w:val="center"/>
          </w:tcPr>
          <w:p>
            <w:pPr>
              <w:spacing w:line="300" w:lineRule="exact"/>
              <w:jc w:val="center"/>
              <w:outlineLvl w:val="0"/>
              <w:rPr>
                <w:rFonts w:ascii="宋体" w:cs="宋体"/>
                <w:szCs w:val="21"/>
              </w:rPr>
            </w:pPr>
          </w:p>
        </w:tc>
        <w:tc>
          <w:tcPr>
            <w:tcW w:w="1276" w:type="dxa"/>
            <w:vMerge w:val="continue"/>
            <w:vAlign w:val="center"/>
          </w:tcPr>
          <w:p>
            <w:pPr>
              <w:spacing w:line="300" w:lineRule="exact"/>
              <w:jc w:val="center"/>
              <w:outlineLvl w:val="0"/>
              <w:rPr>
                <w:rFonts w:ascii="宋体" w:cs="宋体"/>
                <w:szCs w:val="21"/>
              </w:rPr>
            </w:pPr>
          </w:p>
        </w:tc>
        <w:tc>
          <w:tcPr>
            <w:tcW w:w="2902" w:type="dxa"/>
            <w:vMerge w:val="continue"/>
            <w:vAlign w:val="center"/>
          </w:tcPr>
          <w:p>
            <w:pPr>
              <w:spacing w:line="300" w:lineRule="exact"/>
              <w:jc w:val="center"/>
              <w:outlineLvl w:val="0"/>
              <w:rPr>
                <w:rFonts w:asci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3317" w:type="dxa"/>
            <w:vAlign w:val="center"/>
          </w:tcPr>
          <w:p>
            <w:pPr>
              <w:spacing w:line="300" w:lineRule="exact"/>
              <w:jc w:val="center"/>
              <w:rPr>
                <w:rFonts w:ascii="宋体" w:cs="宋体"/>
                <w:szCs w:val="21"/>
              </w:rPr>
            </w:pPr>
            <w:r>
              <w:rPr>
                <w:rFonts w:hint="eastAsia" w:ascii="宋体" w:hAnsi="宋体" w:cs="宋体"/>
                <w:szCs w:val="21"/>
                <w:lang w:eastAsia="zh-CN"/>
              </w:rPr>
              <w:t>漳河店</w:t>
            </w:r>
            <w:r>
              <w:rPr>
                <w:rFonts w:hint="eastAsia" w:ascii="宋体" w:hAnsi="宋体" w:cs="宋体"/>
                <w:szCs w:val="21"/>
              </w:rPr>
              <w:t>镇政府机关</w:t>
            </w:r>
          </w:p>
        </w:tc>
        <w:tc>
          <w:tcPr>
            <w:tcW w:w="1134" w:type="dxa"/>
            <w:vAlign w:val="center"/>
          </w:tcPr>
          <w:p>
            <w:pPr>
              <w:spacing w:line="300" w:lineRule="exact"/>
              <w:jc w:val="center"/>
              <w:rPr>
                <w:rFonts w:ascii="宋体" w:cs="宋体"/>
                <w:szCs w:val="21"/>
              </w:rPr>
            </w:pPr>
            <w:r>
              <w:rPr>
                <w:rFonts w:hint="eastAsia" w:ascii="宋体" w:hAnsi="宋体" w:cs="宋体"/>
                <w:szCs w:val="21"/>
              </w:rPr>
              <w:t>行政</w:t>
            </w:r>
          </w:p>
        </w:tc>
        <w:tc>
          <w:tcPr>
            <w:tcW w:w="1276" w:type="dxa"/>
            <w:vAlign w:val="center"/>
          </w:tcPr>
          <w:p>
            <w:pPr>
              <w:spacing w:line="300" w:lineRule="exact"/>
              <w:jc w:val="center"/>
              <w:rPr>
                <w:rFonts w:ascii="宋体" w:cs="宋体"/>
                <w:szCs w:val="21"/>
              </w:rPr>
            </w:pPr>
            <w:r>
              <w:rPr>
                <w:rFonts w:hint="eastAsia" w:ascii="宋体" w:hAnsi="宋体" w:cs="宋体"/>
                <w:szCs w:val="21"/>
              </w:rPr>
              <w:t>正科级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3317" w:type="dxa"/>
            <w:vAlign w:val="center"/>
          </w:tcPr>
          <w:p>
            <w:pPr>
              <w:spacing w:line="300" w:lineRule="exact"/>
              <w:jc w:val="center"/>
              <w:rPr>
                <w:rFonts w:ascii="宋体" w:cs="宋体"/>
                <w:szCs w:val="21"/>
                <w:lang w:eastAsia="zh-CN"/>
              </w:rPr>
            </w:pPr>
            <w:r>
              <w:rPr>
                <w:rFonts w:hint="eastAsia" w:ascii="宋体" w:hAnsi="宋体" w:cs="宋体"/>
                <w:color w:val="000000"/>
                <w:szCs w:val="21"/>
                <w:lang w:eastAsia="zh-CN"/>
              </w:rPr>
              <w:t>党政</w:t>
            </w:r>
            <w:r>
              <w:rPr>
                <w:rFonts w:hint="eastAsia" w:ascii="宋体" w:hAnsi="宋体" w:cs="宋体"/>
                <w:color w:val="000000"/>
                <w:szCs w:val="21"/>
              </w:rPr>
              <w:t>综合</w:t>
            </w:r>
            <w:r>
              <w:rPr>
                <w:rFonts w:hint="eastAsia" w:ascii="宋体" w:hAnsi="宋体" w:cs="宋体"/>
                <w:color w:val="000000"/>
                <w:szCs w:val="21"/>
                <w:lang w:eastAsia="zh-CN"/>
              </w:rPr>
              <w:t>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党建工作办公室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应急管理办公室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自然资源和生态环境办公室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综合行政执法队</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行政综合服务中心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农业综合服务中心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退役军人服务站</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社会事业服务中心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bl>
    <w:p>
      <w:pPr>
        <w:spacing w:before="0" w:after="0" w:line="240" w:lineRule="auto"/>
        <w:ind w:firstLine="0"/>
        <w:jc w:val="center"/>
        <w:outlineLvl w:val="9"/>
        <w:rPr>
          <w:rFonts w:ascii="方正小标宋_GBK" w:hAnsi="方正小标宋_GBK" w:eastAsia="方正小标宋_GBK" w:cs="方正小标宋_GBK"/>
          <w:color w:val="000000"/>
          <w:sz w:val="32"/>
        </w:rPr>
      </w:pP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firstLineChars="200"/>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按照预算管理有关规定，目前我省部门预算的编制实行综合预算管理，即全部收入和支出都反映在预算中。成安县漳河店镇政府机关及所属事业单位的收支包含在部门预算中。</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1</w:t>
      </w:r>
      <w:r>
        <w:rPr>
          <w:rFonts w:hint="eastAsia" w:ascii="楷体_GB2312" w:hAnsi="楷体" w:eastAsia="楷体_GB2312"/>
          <w:b/>
          <w:sz w:val="32"/>
          <w:szCs w:val="32"/>
        </w:rPr>
        <w:t>、收入说明</w:t>
      </w:r>
    </w:p>
    <w:p>
      <w:pPr>
        <w:spacing w:line="560" w:lineRule="exact"/>
        <w:ind w:firstLine="640"/>
        <w:rPr>
          <w:rFonts w:ascii="仿宋_GB2312" w:eastAsia="仿宋_GB2312"/>
          <w:sz w:val="32"/>
          <w:szCs w:val="32"/>
        </w:rPr>
      </w:pPr>
      <w:r>
        <w:rPr>
          <w:rFonts w:hint="eastAsia" w:ascii="仿宋_GB2312" w:eastAsia="仿宋_GB2312"/>
          <w:sz w:val="32"/>
          <w:szCs w:val="32"/>
          <w:lang w:eastAsia="zh-CN"/>
        </w:rPr>
        <w:t>2026</w:t>
      </w:r>
      <w:r>
        <w:rPr>
          <w:rFonts w:hint="eastAsia" w:ascii="仿宋_GB2312" w:eastAsia="仿宋_GB2312"/>
          <w:sz w:val="32"/>
          <w:szCs w:val="32"/>
        </w:rPr>
        <w:t>年预算收入</w:t>
      </w:r>
      <w:r>
        <w:rPr>
          <w:rFonts w:hint="eastAsia" w:ascii="仿宋_GB2312" w:eastAsia="仿宋_GB2312"/>
          <w:sz w:val="32"/>
          <w:szCs w:val="32"/>
          <w:lang w:eastAsia="zh-CN"/>
        </w:rPr>
        <w:t>694.37</w:t>
      </w:r>
      <w:r>
        <w:rPr>
          <w:rFonts w:hint="eastAsia" w:ascii="仿宋_GB2312" w:eastAsia="仿宋_GB2312"/>
          <w:sz w:val="32"/>
          <w:szCs w:val="32"/>
        </w:rPr>
        <w:t>万元，其中：一般公共预算收入</w:t>
      </w:r>
      <w:r>
        <w:rPr>
          <w:rFonts w:hint="eastAsia" w:ascii="仿宋_GB2312" w:eastAsia="仿宋_GB2312"/>
          <w:sz w:val="32"/>
          <w:szCs w:val="32"/>
          <w:lang w:eastAsia="zh-CN"/>
        </w:rPr>
        <w:t>694.37</w:t>
      </w:r>
      <w:r>
        <w:rPr>
          <w:rFonts w:hint="eastAsia" w:ascii="仿宋_GB2312" w:eastAsia="仿宋_GB2312"/>
          <w:sz w:val="32"/>
          <w:szCs w:val="32"/>
        </w:rPr>
        <w:t>万元，政府性基金收入</w:t>
      </w:r>
      <w:r>
        <w:rPr>
          <w:rFonts w:ascii="仿宋_GB2312" w:eastAsia="仿宋_GB2312"/>
          <w:sz w:val="32"/>
          <w:szCs w:val="32"/>
        </w:rPr>
        <w:t>0</w:t>
      </w:r>
      <w:r>
        <w:rPr>
          <w:rFonts w:hint="eastAsia" w:ascii="仿宋_GB2312" w:eastAsia="仿宋_GB2312"/>
          <w:sz w:val="32"/>
          <w:szCs w:val="32"/>
        </w:rPr>
        <w:t>万元，国有资本经营收入</w:t>
      </w:r>
      <w:r>
        <w:rPr>
          <w:rFonts w:ascii="仿宋_GB2312" w:eastAsia="仿宋_GB2312"/>
          <w:sz w:val="32"/>
          <w:szCs w:val="32"/>
        </w:rPr>
        <w:t>0</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2</w:t>
      </w:r>
      <w:r>
        <w:rPr>
          <w:rFonts w:hint="eastAsia" w:ascii="楷体_GB2312" w:hAnsi="楷体" w:eastAsia="楷体_GB2312"/>
          <w:b/>
          <w:sz w:val="32"/>
          <w:szCs w:val="32"/>
        </w:rPr>
        <w:t>、支出说明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年支出预算</w:t>
      </w:r>
      <w:r>
        <w:rPr>
          <w:rFonts w:hint="eastAsia" w:ascii="仿宋_GB2312" w:eastAsia="仿宋_GB2312"/>
          <w:sz w:val="32"/>
          <w:szCs w:val="32"/>
          <w:lang w:eastAsia="zh-CN"/>
        </w:rPr>
        <w:t>694.37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482.99</w:t>
      </w:r>
      <w:r>
        <w:rPr>
          <w:rFonts w:hint="eastAsia" w:ascii="仿宋_GB2312" w:hAnsi="仿宋_GB2312" w:eastAsia="仿宋_GB2312" w:cs="仿宋_GB2312"/>
          <w:sz w:val="32"/>
          <w:szCs w:val="32"/>
        </w:rPr>
        <w:t>万元，包括人员经费</w:t>
      </w:r>
      <w:r>
        <w:rPr>
          <w:rFonts w:hint="eastAsia" w:ascii="仿宋_GB2312" w:hAnsi="仿宋_GB2312" w:eastAsia="仿宋_GB2312" w:cs="仿宋_GB2312"/>
          <w:sz w:val="32"/>
          <w:szCs w:val="32"/>
          <w:lang w:val="en-US" w:eastAsia="zh-CN"/>
        </w:rPr>
        <w:t>447.65</w:t>
      </w:r>
      <w:r>
        <w:rPr>
          <w:rFonts w:hint="eastAsia" w:ascii="仿宋_GB2312" w:hAnsi="仿宋_GB2312" w:eastAsia="仿宋_GB2312" w:cs="仿宋_GB2312"/>
          <w:sz w:val="32"/>
          <w:szCs w:val="32"/>
        </w:rPr>
        <w:t>万元和日常公用经费</w:t>
      </w:r>
      <w:r>
        <w:rPr>
          <w:rFonts w:hint="eastAsia" w:ascii="仿宋_GB2312" w:hAnsi="仿宋_GB2312" w:eastAsia="仿宋_GB2312" w:cs="仿宋_GB2312"/>
          <w:sz w:val="32"/>
          <w:szCs w:val="32"/>
          <w:lang w:val="en-US" w:eastAsia="zh-CN"/>
        </w:rPr>
        <w:t>35.35</w:t>
      </w:r>
      <w:r>
        <w:rPr>
          <w:rFonts w:hint="eastAsia" w:ascii="仿宋_GB2312" w:hAnsi="仿宋_GB2312" w:eastAsia="仿宋_GB2312" w:cs="仿宋_GB2312"/>
          <w:sz w:val="32"/>
          <w:szCs w:val="32"/>
        </w:rPr>
        <w:t>万元。其中项目支出</w:t>
      </w:r>
      <w:r>
        <w:rPr>
          <w:rFonts w:hint="eastAsia" w:ascii="仿宋_GB2312" w:hAnsi="仿宋_GB2312" w:eastAsia="仿宋_GB2312" w:cs="仿宋_GB2312"/>
          <w:sz w:val="32"/>
          <w:szCs w:val="32"/>
          <w:lang w:val="en-US" w:eastAsia="zh-CN"/>
        </w:rPr>
        <w:t>211.38</w:t>
      </w:r>
      <w:r>
        <w:rPr>
          <w:rFonts w:hint="eastAsia" w:ascii="仿宋_GB2312" w:hAnsi="仿宋_GB2312" w:eastAsia="仿宋_GB2312" w:cs="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3</w:t>
      </w:r>
      <w:r>
        <w:rPr>
          <w:rFonts w:hint="eastAsia" w:ascii="楷体_GB2312" w:hAnsi="楷体" w:eastAsia="楷体_GB2312"/>
          <w:b/>
          <w:sz w:val="32"/>
          <w:szCs w:val="32"/>
        </w:rPr>
        <w:t>、比上年增减变化情况</w:t>
      </w:r>
    </w:p>
    <w:p>
      <w:pPr>
        <w:spacing w:line="560" w:lineRule="exact"/>
        <w:ind w:firstLine="640"/>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年预算收支安排</w:t>
      </w:r>
      <w:r>
        <w:rPr>
          <w:rFonts w:hint="eastAsia" w:ascii="仿宋_GB2312" w:hAnsi="仿宋_GB2312" w:eastAsia="仿宋_GB2312" w:cs="仿宋_GB2312"/>
          <w:sz w:val="32"/>
          <w:szCs w:val="32"/>
          <w:lang w:eastAsia="zh-CN"/>
        </w:rPr>
        <w:t>694.37</w:t>
      </w:r>
      <w:r>
        <w:rPr>
          <w:rFonts w:hint="eastAsia" w:ascii="仿宋_GB2312" w:hAnsi="仿宋_GB2312" w:eastAsia="仿宋_GB2312" w:cs="仿宋_GB2312"/>
          <w:sz w:val="32"/>
          <w:szCs w:val="32"/>
        </w:rPr>
        <w:t>万元，较</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15.18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人员经费减少</w:t>
      </w:r>
      <w:r>
        <w:rPr>
          <w:rFonts w:hint="eastAsia" w:ascii="仿宋_GB2312" w:hAnsi="仿宋_GB2312" w:eastAsia="仿宋_GB2312" w:cs="仿宋_GB2312"/>
          <w:sz w:val="32"/>
          <w:szCs w:val="32"/>
          <w:lang w:val="en-US" w:eastAsia="zh-CN"/>
        </w:rPr>
        <w:t>24.72</w:t>
      </w:r>
      <w:r>
        <w:rPr>
          <w:rFonts w:hint="eastAsia" w:ascii="仿宋_GB2312" w:hAnsi="仿宋_GB2312" w:eastAsia="仿宋_GB2312" w:cs="仿宋_GB2312"/>
          <w:sz w:val="32"/>
          <w:szCs w:val="32"/>
          <w:lang w:eastAsia="zh-CN"/>
        </w:rPr>
        <w:t>万元，项目支出增加</w:t>
      </w:r>
      <w:r>
        <w:rPr>
          <w:rFonts w:hint="eastAsia" w:ascii="仿宋_GB2312" w:hAnsi="仿宋_GB2312" w:eastAsia="仿宋_GB2312" w:cs="仿宋_GB2312"/>
          <w:sz w:val="32"/>
          <w:szCs w:val="32"/>
          <w:lang w:val="en-US" w:eastAsia="zh-CN"/>
        </w:rPr>
        <w:t>7.73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项目增加，人员经费支出减少。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firstLineChars="200"/>
        <w:outlineLvl w:val="2"/>
        <w:rPr>
          <w:rFonts w:hint="eastAsia" w:eastAsia="仿宋_GB2312"/>
          <w:lang w:eastAsia="zh-CN"/>
        </w:rPr>
      </w:pPr>
      <w:r>
        <w:rPr>
          <w:rFonts w:hint="eastAsia" w:ascii="仿宋_GB2312" w:eastAsia="仿宋_GB2312"/>
          <w:sz w:val="32"/>
          <w:szCs w:val="32"/>
        </w:rPr>
        <w:t>机关运行经费共计安排</w:t>
      </w:r>
      <w:r>
        <w:rPr>
          <w:rFonts w:hint="eastAsia" w:ascii="仿宋_GB2312" w:eastAsia="仿宋_GB2312"/>
          <w:sz w:val="32"/>
          <w:szCs w:val="32"/>
          <w:lang w:val="en-US" w:eastAsia="zh-CN"/>
        </w:rPr>
        <w:t>35.34</w:t>
      </w:r>
      <w:r>
        <w:rPr>
          <w:rFonts w:hint="eastAsia" w:ascii="仿宋_GB2312" w:eastAsia="仿宋_GB2312"/>
          <w:sz w:val="32"/>
          <w:szCs w:val="32"/>
        </w:rPr>
        <w:t>万元，主要用</w:t>
      </w:r>
      <w:r>
        <w:rPr>
          <w:rFonts w:hint="eastAsia" w:ascii="仿宋_GB2312" w:hAnsi="Calibri" w:eastAsia="仿宋_GB2312" w:cs="仿宋_GB2312"/>
          <w:sz w:val="30"/>
          <w:szCs w:val="30"/>
        </w:rPr>
        <w:t>办公费、差旅费、电费、其他支出等</w:t>
      </w:r>
      <w:r>
        <w:rPr>
          <w:rFonts w:hint="eastAsia" w:ascii="仿宋_GB2312" w:hAnsi="Calibri" w:eastAsia="仿宋_GB2312" w:cs="仿宋_GB2312"/>
          <w:sz w:val="30"/>
          <w:szCs w:val="30"/>
          <w:lang w:eastAsia="zh-CN"/>
        </w:rPr>
        <w:t>。</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年，我单位“三公”经费预算安排</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增加0万元</w:t>
      </w:r>
      <w:r>
        <w:rPr>
          <w:rFonts w:hint="eastAsia" w:ascii="仿宋_GB2312" w:hAnsi="仿宋_GB2312" w:eastAsia="仿宋_GB2312" w:cs="仿宋_GB2312"/>
          <w:color w:val="000000"/>
          <w:sz w:val="32"/>
          <w:szCs w:val="32"/>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、制定本行政和区域内的经济和社会发展计划，大力培育、发展各类经济服务实体和社会中介组织，推动农村社会化服务体系的发展与完善。</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、加强土地管理、镇村规划建设、生态和生活环境管理与保护。</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、依法管理镇财政，负责本级财政预决算。</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、管理和发展文化教育、农业技术、广播、文化、体育、卫生等事业。</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、保护国有、集体、个人合法财产和公民的人身权利。</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、开展社会主义民主法制教育，协调管理本区域内的司法、公安、工商、税务、交通、邮电和电力排灌、金融等部门的工作。</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、加强社会治安，调解民事纠纷。保护妇女、儿童和老年人的合法权益。</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、执行计划生育政策，控制人口增长。</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、管理民政工作，搞好社会福利事业，推行农村社会养老保险工作。办理兵役事宜。</w:t>
      </w:r>
    </w:p>
    <w:p>
      <w:pPr>
        <w:autoSpaceDE w:val="0"/>
        <w:autoSpaceDN w:val="0"/>
        <w:adjustRightInd w:val="0"/>
        <w:spacing w:line="560" w:lineRule="exact"/>
        <w:ind w:left="198" w:firstLine="640" w:firstLineChars="20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、承办上级人民政府交办的其他事项</w:t>
      </w:r>
      <w:r>
        <w:rPr>
          <w:rFonts w:hint="eastAsia" w:ascii="仿宋_GB2312" w:eastAsia="仿宋_GB2312"/>
          <w:sz w:val="32"/>
          <w:szCs w:val="32"/>
          <w:lang w:eastAsia="zh-CN"/>
        </w:rPr>
        <w:t>，</w:t>
      </w:r>
      <w:r>
        <w:rPr>
          <w:rFonts w:hint="eastAsia" w:ascii="仿宋_GB2312" w:eastAsia="仿宋_GB2312"/>
          <w:sz w:val="32"/>
          <w:szCs w:val="32"/>
        </w:rPr>
        <w:t>抓好上级有关部门派给镇里的工作</w:t>
      </w:r>
      <w:r>
        <w:rPr>
          <w:rFonts w:hint="eastAsia" w:ascii="仿宋_GB2312" w:eastAsia="仿宋_GB2312"/>
          <w:sz w:val="32"/>
          <w:szCs w:val="32"/>
          <w:lang w:eastAsia="zh-CN"/>
        </w:rPr>
        <w:t>。</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、贯彻党的路线、方针、政策和上级党组织的指示、决定，执行镇党员代表大会党员大会决议，讨论决定本乡的重大问题。</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、抓好镇党委和村级党组织的思想、组织和作风建设</w:t>
      </w:r>
      <w:r>
        <w:rPr>
          <w:rFonts w:ascii="仿宋_GB2312" w:eastAsia="仿宋_GB2312"/>
          <w:sz w:val="32"/>
          <w:szCs w:val="32"/>
        </w:rPr>
        <w:t>.</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、领导镇经济建设，引导农村富余劳动力向小城镇转移，促进农村的现代化建设。制定本镇经济和社会发展规划并组织实施。</w:t>
      </w:r>
    </w:p>
    <w:p>
      <w:pPr>
        <w:autoSpaceDE w:val="0"/>
        <w:autoSpaceDN w:val="0"/>
        <w:adjustRightInd w:val="0"/>
        <w:spacing w:line="560" w:lineRule="exact"/>
        <w:ind w:left="198" w:firstLine="640" w:firstLineChars="200"/>
        <w:rPr>
          <w:rFonts w:ascii="仿宋_GB2312" w:eastAsia="仿宋_GB2312" w:cstheme="minorBidi"/>
          <w:sz w:val="32"/>
          <w:szCs w:val="32"/>
        </w:rPr>
      </w:pPr>
      <w:r>
        <w:rPr>
          <w:rFonts w:ascii="仿宋_GB2312" w:eastAsia="仿宋_GB2312"/>
          <w:sz w:val="32"/>
          <w:szCs w:val="32"/>
        </w:rPr>
        <w:t>14</w:t>
      </w:r>
      <w:r>
        <w:rPr>
          <w:rFonts w:hint="eastAsia" w:ascii="仿宋_GB2312" w:eastAsia="仿宋_GB2312"/>
          <w:sz w:val="32"/>
          <w:szCs w:val="32"/>
        </w:rPr>
        <w:t>、加强农村社会主义民主政治和法治建设，依法行政，规范管理。加强农村社会治安综合治理。贯彻</w:t>
      </w:r>
      <w:r>
        <w:rPr>
          <w:rFonts w:hint="eastAsia" w:ascii="仿宋_GB2312" w:eastAsia="仿宋_GB2312" w:cstheme="minorBidi"/>
          <w:sz w:val="32"/>
          <w:szCs w:val="32"/>
        </w:rPr>
        <w:t>执行党和国家的计划生育政策。</w:t>
      </w:r>
    </w:p>
    <w:p>
      <w:pPr>
        <w:autoSpaceDE w:val="0"/>
        <w:autoSpaceDN w:val="0"/>
        <w:adjustRightInd w:val="0"/>
        <w:spacing w:line="560" w:lineRule="exact"/>
        <w:ind w:left="198" w:firstLine="640" w:firstLineChars="200"/>
        <w:rPr>
          <w:rFonts w:ascii="仿宋_GB2312" w:eastAsia="仿宋_GB2312" w:cstheme="minorBidi"/>
          <w:sz w:val="32"/>
          <w:szCs w:val="32"/>
        </w:rPr>
      </w:pPr>
      <w:r>
        <w:rPr>
          <w:rFonts w:ascii="仿宋_GB2312" w:eastAsia="仿宋_GB2312" w:cstheme="minorBidi"/>
          <w:sz w:val="32"/>
          <w:szCs w:val="32"/>
        </w:rPr>
        <w:t>15</w:t>
      </w:r>
      <w:r>
        <w:rPr>
          <w:rFonts w:hint="eastAsia" w:ascii="仿宋_GB2312" w:eastAsia="仿宋_GB2312" w:cstheme="minorBidi"/>
          <w:sz w:val="32"/>
          <w:szCs w:val="32"/>
        </w:rPr>
        <w:t>、领导并支持镇政府依法行使各项行政管理职权。</w:t>
      </w:r>
    </w:p>
    <w:p>
      <w:pPr>
        <w:autoSpaceDE w:val="0"/>
        <w:autoSpaceDN w:val="0"/>
        <w:adjustRightInd w:val="0"/>
        <w:spacing w:line="560" w:lineRule="exact"/>
        <w:ind w:left="198" w:firstLine="640" w:firstLineChars="200"/>
        <w:rPr>
          <w:rFonts w:ascii="仿宋_GB2312" w:eastAsia="仿宋_GB2312" w:cstheme="minorBidi"/>
          <w:sz w:val="32"/>
          <w:szCs w:val="32"/>
        </w:rPr>
      </w:pPr>
      <w:r>
        <w:rPr>
          <w:rFonts w:ascii="仿宋_GB2312" w:eastAsia="仿宋_GB2312" w:cstheme="minorBidi"/>
          <w:sz w:val="32"/>
          <w:szCs w:val="32"/>
        </w:rPr>
        <w:t>16</w:t>
      </w:r>
      <w:r>
        <w:rPr>
          <w:rFonts w:hint="eastAsia" w:ascii="仿宋_GB2312" w:eastAsia="仿宋_GB2312" w:cstheme="minorBidi"/>
          <w:sz w:val="32"/>
          <w:szCs w:val="32"/>
        </w:rPr>
        <w:t>、领导人大主席团及经济组织、人民武装和共青团、妇联等人民团体的工作。</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全面推进农村的基层政权建设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强化基层治理,提供公共服务,大力加强基层政权建设稳定。逐步由管理型向服务</w:t>
      </w:r>
      <w:r>
        <w:rPr>
          <w:rFonts w:hint="eastAsia" w:ascii="仿宋_GB2312" w:hAnsi="仿宋_GB2312" w:eastAsia="仿宋_GB2312" w:cs="仿宋_GB2312"/>
          <w:sz w:val="32"/>
          <w:szCs w:val="32"/>
          <w:lang w:eastAsia="zh-CN"/>
        </w:rPr>
        <w:t>转变。</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2、统筹城乡发展，不断夯实经济社会发展基础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加强对农村劳动力的职业培训就业及劳动技能培训,扩大农村富余劳动力就业。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3、民生事务管理工作</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拥军优属、救灾扶贫,妥善安置残疾人就业,多安置贫困人</w:t>
      </w:r>
      <w:r>
        <w:rPr>
          <w:rFonts w:hint="eastAsia" w:ascii="仿宋_GB2312" w:hAnsi="仿宋_GB2312" w:eastAsia="仿宋_GB2312" w:cs="仿宋_GB2312"/>
          <w:sz w:val="32"/>
          <w:szCs w:val="32"/>
          <w:lang w:eastAsia="zh-CN"/>
        </w:rPr>
        <w:t>口到公益性岗位就业。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4、积极宣传国家的方针政策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不断改进文化广播各项业务工作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活跃党委、政府及上级有关部门交</w:t>
      </w:r>
      <w:r>
        <w:rPr>
          <w:rFonts w:hint="eastAsia" w:ascii="仿宋_GB2312" w:hAnsi="仿宋_GB2312" w:eastAsia="仿宋_GB2312" w:cs="仿宋_GB2312"/>
          <w:sz w:val="32"/>
          <w:szCs w:val="32"/>
          <w:lang w:eastAsia="zh-CN"/>
        </w:rPr>
        <w:t>办的</w:t>
      </w:r>
      <w:r>
        <w:rPr>
          <w:rFonts w:hint="eastAsia" w:ascii="仿宋_GB2312" w:hAnsi="仿宋_GB2312" w:eastAsia="仿宋_GB2312" w:cs="仿宋_GB2312"/>
          <w:sz w:val="32"/>
          <w:szCs w:val="32"/>
        </w:rPr>
        <w:t>宣传国家的方针政农民文化生办的其他工作。活跃农村文化农村文化活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加强社会主义精神文明</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，多举办文化宣传活动</w:t>
      </w:r>
      <w:r>
        <w:rPr>
          <w:rFonts w:hint="eastAsia" w:ascii="仿宋_GB2312" w:hAnsi="仿宋_GB2312" w:eastAsia="仿宋_GB2312" w:cs="仿宋_GB2312"/>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5、农村环境综合治理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加强农村环境综合治理工作,建设美好生活家园。通过修路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治理坑塘等提高</w:t>
      </w:r>
      <w:r>
        <w:rPr>
          <w:rFonts w:hint="eastAsia" w:ascii="仿宋_GB2312" w:hAnsi="仿宋_GB2312" w:eastAsia="仿宋_GB2312" w:cs="仿宋_GB2312"/>
          <w:sz w:val="32"/>
          <w:szCs w:val="32"/>
          <w:lang w:eastAsia="zh-CN"/>
        </w:rPr>
        <w:t>环境卫生，提高</w:t>
      </w:r>
      <w:r>
        <w:rPr>
          <w:rFonts w:hint="eastAsia" w:ascii="仿宋_GB2312" w:hAnsi="仿宋_GB2312" w:eastAsia="仿宋_GB2312" w:cs="仿宋_GB2312"/>
          <w:sz w:val="32"/>
          <w:szCs w:val="32"/>
        </w:rPr>
        <w:t>群众生活素质</w:t>
      </w:r>
      <w:r>
        <w:rPr>
          <w:rFonts w:hint="eastAsia" w:ascii="仿宋_GB2312" w:hAnsi="仿宋_GB2312" w:eastAsia="仿宋_GB2312" w:cs="仿宋_GB2312"/>
          <w:sz w:val="32"/>
          <w:szCs w:val="32"/>
          <w:lang w:eastAsia="zh-CN"/>
        </w:rPr>
        <w:t>，达到群众满意。</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6、成立防火防汛应急组织,储备确保群众防火、防汛等突发应急物资,保障人民群众财产确保群众生命、财产安全,避免发生险情发生险情</w:t>
      </w:r>
      <w:r>
        <w:rPr>
          <w:rFonts w:hint="eastAsia" w:ascii="仿宋_GB2312" w:hAnsi="仿宋_GB2312" w:eastAsia="仿宋_GB2312" w:cs="仿宋_GB2312"/>
          <w:sz w:val="32"/>
          <w:szCs w:val="32"/>
          <w:lang w:eastAsia="zh-CN"/>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1、强产业推进结构调整</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发扬"优势区位、整村推进、连片发展"的工作思路</w:t>
      </w:r>
      <w:r>
        <w:rPr>
          <w:rFonts w:hint="eastAsia" w:ascii="仿宋_GB2312" w:eastAsia="仿宋_GB2312" w:cstheme="minorBidi"/>
          <w:sz w:val="32"/>
          <w:szCs w:val="32"/>
          <w:lang w:eastAsia="zh-CN"/>
        </w:rPr>
        <w:t>，</w:t>
      </w:r>
      <w:r>
        <w:rPr>
          <w:rFonts w:hint="eastAsia" w:ascii="仿宋_GB2312" w:eastAsia="仿宋_GB2312" w:cstheme="minorBidi"/>
          <w:sz w:val="32"/>
          <w:szCs w:val="32"/>
        </w:rPr>
        <w:t>抢抓机遇</w:t>
      </w:r>
      <w:r>
        <w:rPr>
          <w:rFonts w:hint="eastAsia" w:ascii="仿宋_GB2312" w:eastAsia="仿宋_GB2312" w:cstheme="minorBidi"/>
          <w:sz w:val="32"/>
          <w:szCs w:val="32"/>
          <w:lang w:eastAsia="zh-CN"/>
        </w:rPr>
        <w:t>巩固</w:t>
      </w:r>
      <w:r>
        <w:rPr>
          <w:rFonts w:hint="eastAsia" w:ascii="仿宋_GB2312" w:eastAsia="仿宋_GB2312" w:cstheme="minorBidi"/>
          <w:sz w:val="32"/>
          <w:szCs w:val="32"/>
        </w:rPr>
        <w:t>精准扶贫</w:t>
      </w:r>
      <w:r>
        <w:rPr>
          <w:rFonts w:hint="eastAsia" w:ascii="仿宋_GB2312" w:eastAsia="仿宋_GB2312" w:cstheme="minorBidi"/>
          <w:sz w:val="32"/>
          <w:szCs w:val="32"/>
          <w:lang w:eastAsia="zh-CN"/>
        </w:rPr>
        <w:t>成果，</w:t>
      </w:r>
      <w:r>
        <w:rPr>
          <w:rFonts w:hint="eastAsia" w:ascii="仿宋_GB2312" w:eastAsia="仿宋_GB2312" w:cstheme="minorBidi"/>
          <w:sz w:val="32"/>
          <w:szCs w:val="32"/>
        </w:rPr>
        <w:t>结合</w:t>
      </w:r>
      <w:r>
        <w:rPr>
          <w:rFonts w:hint="eastAsia" w:ascii="仿宋_GB2312" w:eastAsia="仿宋_GB2312" w:cstheme="minorBidi"/>
          <w:sz w:val="32"/>
          <w:szCs w:val="32"/>
          <w:lang w:eastAsia="zh-CN"/>
        </w:rPr>
        <w:t>我镇食用菌产业优势，</w:t>
      </w:r>
      <w:r>
        <w:rPr>
          <w:rFonts w:hint="eastAsia" w:ascii="仿宋_GB2312" w:eastAsia="仿宋_GB2312" w:cstheme="minorBidi"/>
          <w:sz w:val="32"/>
          <w:szCs w:val="32"/>
        </w:rPr>
        <w:t>科学规划,推进重点村的</w:t>
      </w:r>
      <w:r>
        <w:rPr>
          <w:rFonts w:hint="eastAsia" w:ascii="仿宋_GB2312" w:eastAsia="仿宋_GB2312" w:cstheme="minorBidi"/>
          <w:sz w:val="32"/>
          <w:szCs w:val="32"/>
          <w:lang w:eastAsia="zh-CN"/>
        </w:rPr>
        <w:t>食用菌</w:t>
      </w:r>
      <w:r>
        <w:rPr>
          <w:rFonts w:hint="eastAsia" w:ascii="仿宋_GB2312" w:eastAsia="仿宋_GB2312" w:cstheme="minorBidi"/>
          <w:sz w:val="32"/>
          <w:szCs w:val="32"/>
        </w:rPr>
        <w:t>项目落地实施</w:t>
      </w:r>
      <w:r>
        <w:rPr>
          <w:rFonts w:hint="eastAsia" w:ascii="仿宋_GB2312" w:eastAsia="仿宋_GB2312" w:cstheme="minorBidi"/>
          <w:sz w:val="32"/>
          <w:szCs w:val="32"/>
          <w:lang w:eastAsia="zh-CN"/>
        </w:rPr>
        <w:t>，</w:t>
      </w:r>
      <w:r>
        <w:rPr>
          <w:rFonts w:hint="eastAsia" w:ascii="仿宋_GB2312" w:eastAsia="仿宋_GB2312" w:cstheme="minorBidi"/>
          <w:sz w:val="32"/>
          <w:szCs w:val="32"/>
        </w:rPr>
        <w:t>大力发展建成特色产业带。</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2、抓民生促和谐,共享发展成果</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以抓民生为重点，加大工作力度,落实各项惠民政策,从解决人民群众最关心、最现实的重点难点实事做起,完善基础设施、健全保障机制、提升服务水平,实现发展成果人人共享</w:t>
      </w:r>
      <w:r>
        <w:rPr>
          <w:rFonts w:hint="eastAsia" w:ascii="仿宋_GB2312" w:eastAsia="仿宋_GB2312" w:cstheme="minorBidi"/>
          <w:sz w:val="32"/>
          <w:szCs w:val="32"/>
          <w:lang w:eastAsia="zh-CN"/>
        </w:rPr>
        <w:t>，</w:t>
      </w:r>
      <w:r>
        <w:rPr>
          <w:rFonts w:hint="eastAsia" w:ascii="仿宋_GB2312" w:eastAsia="仿宋_GB2312" w:cstheme="minorBidi"/>
          <w:sz w:val="32"/>
          <w:szCs w:val="32"/>
        </w:rPr>
        <w:t>打造和谐乡镇。</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3、加强环境治理和生态环境保护工作</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树立“大综治”格局理念将社会综合治理工作作为各项工作重中之重落实责任、健全制度、强化措施以建设“和谐环保乡镇”为目标,调整产业结构，发展绿化产业，增加污染，进一步清理小散乱污企业。加大禁烧力度，对农村各种陋俗进行疏导，移风易俗。开展保护蓝天行动。对加强创新社会管理,营造安全稳定和谐的绿色生产生态环境。</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4、促进农村经济发展，壮大村集体经济。</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为更好为“三农”服务将工作放在促进经济发展、加强社会管理、提供公共服务和维护农村稳定四项职能上来,具体保障措施如下:促进经济发展。主要包括:(1)科学制定本地产业发展规划谋划适应乡镇实际的经济发展模式</w:t>
      </w:r>
      <w:r>
        <w:rPr>
          <w:rFonts w:hint="eastAsia" w:ascii="仿宋_GB2312" w:eastAsia="仿宋_GB2312" w:cstheme="minorBidi"/>
          <w:sz w:val="32"/>
          <w:szCs w:val="32"/>
          <w:lang w:eastAsia="zh-CN"/>
        </w:rPr>
        <w:t>；</w:t>
      </w:r>
      <w:r>
        <w:rPr>
          <w:rFonts w:hint="eastAsia" w:ascii="仿宋_GB2312" w:eastAsia="仿宋_GB2312" w:cstheme="minorBidi"/>
          <w:sz w:val="32"/>
          <w:szCs w:val="32"/>
        </w:rPr>
        <w:t>(2)推进农业结构调整</w:t>
      </w:r>
      <w:r>
        <w:rPr>
          <w:rFonts w:hint="eastAsia" w:ascii="仿宋_GB2312" w:eastAsia="仿宋_GB2312" w:cstheme="minorBidi"/>
          <w:sz w:val="32"/>
          <w:szCs w:val="32"/>
          <w:lang w:eastAsia="zh-CN"/>
        </w:rPr>
        <w:t>动</w:t>
      </w:r>
      <w:r>
        <w:rPr>
          <w:rFonts w:hint="eastAsia" w:ascii="仿宋_GB2312" w:eastAsia="仿宋_GB2312" w:cstheme="minorBidi"/>
          <w:sz w:val="32"/>
          <w:szCs w:val="32"/>
        </w:rPr>
        <w:t>力提高农业产业化和农民进入市场的组织化水平促进粮食生产稳定发展农民持续增收</w:t>
      </w:r>
      <w:r>
        <w:rPr>
          <w:rFonts w:hint="eastAsia" w:ascii="仿宋_GB2312" w:eastAsia="仿宋_GB2312" w:cstheme="minorBidi"/>
          <w:sz w:val="32"/>
          <w:szCs w:val="32"/>
          <w:lang w:eastAsia="zh-CN"/>
        </w:rPr>
        <w:t>；</w:t>
      </w:r>
      <w:r>
        <w:rPr>
          <w:rFonts w:hint="eastAsia" w:ascii="仿宋_GB2312" w:eastAsia="仿宋_GB2312" w:cstheme="minorBidi"/>
          <w:sz w:val="32"/>
          <w:szCs w:val="32"/>
        </w:rPr>
        <w:t>(3)营造良好的发展环境促进招商引资和项目建设</w:t>
      </w:r>
      <w:r>
        <w:rPr>
          <w:rFonts w:hint="eastAsia" w:ascii="仿宋_GB2312" w:eastAsia="仿宋_GB2312" w:cstheme="minorBidi"/>
          <w:sz w:val="32"/>
          <w:szCs w:val="32"/>
          <w:lang w:eastAsia="zh-CN"/>
        </w:rPr>
        <w:t>；</w:t>
      </w:r>
      <w:r>
        <w:rPr>
          <w:rFonts w:hint="eastAsia" w:ascii="仿宋_GB2312" w:eastAsia="仿宋_GB2312" w:cstheme="minorBidi"/>
          <w:sz w:val="32"/>
          <w:szCs w:val="32"/>
        </w:rPr>
        <w:t>(4)增强农村集体组织经济实力大力发展民营经济促进中小企业相对集中,培育和发展农民与业合作组织和中介组织壮大第二、第三产业加快城镇化进程</w:t>
      </w:r>
      <w:r>
        <w:rPr>
          <w:rFonts w:hint="eastAsia" w:ascii="仿宋_GB2312" w:eastAsia="仿宋_GB2312" w:cstheme="minorBidi"/>
          <w:sz w:val="32"/>
          <w:szCs w:val="32"/>
          <w:lang w:eastAsia="zh-CN"/>
        </w:rPr>
        <w:t>，</w:t>
      </w:r>
      <w:r>
        <w:rPr>
          <w:rFonts w:hint="eastAsia" w:ascii="仿宋_GB2312" w:eastAsia="仿宋_GB2312" w:cstheme="minorBidi"/>
          <w:sz w:val="32"/>
          <w:szCs w:val="32"/>
        </w:rPr>
        <w:t>抓好组织实施。</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5、提供公共服务</w:t>
      </w:r>
      <w:r>
        <w:rPr>
          <w:rFonts w:hint="eastAsia" w:ascii="仿宋_GB2312" w:eastAsia="仿宋_GB2312" w:cstheme="minorBidi"/>
          <w:sz w:val="32"/>
          <w:szCs w:val="32"/>
          <w:lang w:eastAsia="zh-CN"/>
        </w:rPr>
        <w:t>，</w:t>
      </w:r>
      <w:r>
        <w:rPr>
          <w:rFonts w:hint="eastAsia" w:ascii="仿宋_GB2312" w:eastAsia="仿宋_GB2312" w:cstheme="minorBidi"/>
          <w:sz w:val="32"/>
          <w:szCs w:val="32"/>
        </w:rPr>
        <w:t>维护农村稳定</w:t>
      </w:r>
      <w:r>
        <w:rPr>
          <w:rFonts w:hint="eastAsia" w:ascii="仿宋_GB2312" w:eastAsia="仿宋_GB2312" w:cstheme="minorBidi"/>
          <w:sz w:val="32"/>
          <w:szCs w:val="32"/>
          <w:lang w:eastAsia="zh-CN"/>
        </w:rPr>
        <w:t>。</w:t>
      </w:r>
    </w:p>
    <w:p>
      <w:pPr>
        <w:pStyle w:val="24"/>
        <w:ind w:left="0" w:leftChars="0" w:firstLine="0" w:firstLineChars="0"/>
      </w:pPr>
    </w:p>
    <w:p>
      <w:pPr>
        <w:pStyle w:val="24"/>
        <w:ind w:left="0" w:leftChars="0" w:firstLine="0" w:firstLineChars="0"/>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tabs>
          <w:tab w:val="left" w:pos="8337"/>
        </w:tabs>
        <w:spacing w:before="10" w:after="10" w:line="360" w:lineRule="auto"/>
        <w:ind w:firstLine="960" w:firstLineChars="300"/>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我部门无主管的专项资金预算</w:t>
      </w:r>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1、漳河店镇政府财政所财政差额补贴绩效目标表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13042426P00000510022R</w:t>
            </w:r>
          </w:p>
        </w:tc>
        <w:tc>
          <w:tcPr>
            <w:tcW w:w="2835" w:type="dxa"/>
            <w:vAlign w:val="center"/>
          </w:tcPr>
          <w:p>
            <w:pPr>
              <w:pStyle w:val="11"/>
            </w:pPr>
            <w:r>
              <w:t>项目名称</w:t>
            </w:r>
          </w:p>
        </w:tc>
        <w:tc>
          <w:tcPr>
            <w:tcW w:w="6095" w:type="dxa"/>
            <w:gridSpan w:val="3"/>
            <w:vAlign w:val="center"/>
          </w:tcPr>
          <w:p>
            <w:pPr>
              <w:pStyle w:val="13"/>
            </w:pPr>
            <w:r>
              <w:t>漳河店镇政府财政所财政差额补贴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保证机关正常运转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1.05</w:t>
            </w:r>
          </w:p>
        </w:tc>
        <w:tc>
          <w:tcPr>
            <w:tcW w:w="2835" w:type="dxa"/>
            <w:vAlign w:val="center"/>
          </w:tcPr>
          <w:p>
            <w:pPr>
              <w:pStyle w:val="14"/>
            </w:pPr>
            <w:r>
              <w:t>2.10</w:t>
            </w:r>
          </w:p>
        </w:tc>
        <w:tc>
          <w:tcPr>
            <w:tcW w:w="2551" w:type="dxa"/>
            <w:vAlign w:val="center"/>
          </w:tcPr>
          <w:p>
            <w:pPr>
              <w:pStyle w:val="14"/>
            </w:pPr>
            <w:r>
              <w:t>3.15</w:t>
            </w:r>
          </w:p>
        </w:tc>
        <w:tc>
          <w:tcPr>
            <w:tcW w:w="3544" w:type="dxa"/>
            <w:gridSpan w:val="2"/>
            <w:vAlign w:val="center"/>
          </w:tcPr>
          <w:p>
            <w:pPr>
              <w:pStyle w:val="14"/>
            </w:pPr>
            <w:r>
              <w:t>4.20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1.目标内容1用于差补人员工资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单位享受差补人员的人数</w:t>
            </w:r>
          </w:p>
        </w:tc>
        <w:tc>
          <w:tcPr>
            <w:tcW w:w="5386" w:type="dxa"/>
            <w:vAlign w:val="center"/>
          </w:tcPr>
          <w:p>
            <w:pPr>
              <w:pStyle w:val="13"/>
            </w:pPr>
            <w:r>
              <w:t>单位享受差补人员的人数</w:t>
            </w:r>
          </w:p>
        </w:tc>
        <w:tc>
          <w:tcPr>
            <w:tcW w:w="2268" w:type="dxa"/>
            <w:vAlign w:val="center"/>
          </w:tcPr>
          <w:p>
            <w:pPr>
              <w:pStyle w:val="13"/>
            </w:pPr>
            <w:r>
              <w:t>6人</w:t>
            </w:r>
          </w:p>
        </w:tc>
        <w:tc>
          <w:tcPr>
            <w:tcW w:w="1276" w:type="dxa"/>
            <w:vAlign w:val="center"/>
          </w:tcPr>
          <w:p>
            <w:pPr>
              <w:pStyle w:val="13"/>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差补工资发放率</w:t>
            </w:r>
          </w:p>
        </w:tc>
        <w:tc>
          <w:tcPr>
            <w:tcW w:w="5386" w:type="dxa"/>
            <w:vAlign w:val="center"/>
          </w:tcPr>
          <w:p>
            <w:pPr>
              <w:pStyle w:val="13"/>
            </w:pPr>
            <w:r>
              <w:t>差补工资发放率</w:t>
            </w:r>
          </w:p>
        </w:tc>
        <w:tc>
          <w:tcPr>
            <w:tcW w:w="2268" w:type="dxa"/>
            <w:vAlign w:val="center"/>
          </w:tcPr>
          <w:p>
            <w:pPr>
              <w:pStyle w:val="13"/>
            </w:pPr>
            <w:r>
              <w:t>100百分比</w:t>
            </w:r>
          </w:p>
        </w:tc>
        <w:tc>
          <w:tcPr>
            <w:tcW w:w="1276" w:type="dxa"/>
            <w:vAlign w:val="center"/>
          </w:tcPr>
          <w:p>
            <w:pPr>
              <w:pStyle w:val="13"/>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每年12月份前发放差补工资</w:t>
            </w:r>
          </w:p>
        </w:tc>
        <w:tc>
          <w:tcPr>
            <w:tcW w:w="5386" w:type="dxa"/>
            <w:vAlign w:val="center"/>
          </w:tcPr>
          <w:p>
            <w:pPr>
              <w:pStyle w:val="13"/>
            </w:pPr>
            <w:r>
              <w:t>每年12月份前发放差补工资</w:t>
            </w:r>
          </w:p>
        </w:tc>
        <w:tc>
          <w:tcPr>
            <w:tcW w:w="2268" w:type="dxa"/>
            <w:vAlign w:val="center"/>
          </w:tcPr>
          <w:p>
            <w:pPr>
              <w:pStyle w:val="13"/>
            </w:pPr>
            <w:r>
              <w:t>每年12月份前发放差补工资</w:t>
            </w:r>
          </w:p>
        </w:tc>
        <w:tc>
          <w:tcPr>
            <w:tcW w:w="1276" w:type="dxa"/>
            <w:vAlign w:val="center"/>
          </w:tcPr>
          <w:p>
            <w:pPr>
              <w:pStyle w:val="13"/>
            </w:pPr>
            <w:r>
              <w:t>实际发放差补工资的时间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每人每年发放资金金额</w:t>
            </w:r>
          </w:p>
        </w:tc>
        <w:tc>
          <w:tcPr>
            <w:tcW w:w="5386" w:type="dxa"/>
            <w:vAlign w:val="center"/>
          </w:tcPr>
          <w:p>
            <w:pPr>
              <w:pStyle w:val="13"/>
            </w:pPr>
            <w:r>
              <w:t>每人每年发放资金金额</w:t>
            </w:r>
          </w:p>
        </w:tc>
        <w:tc>
          <w:tcPr>
            <w:tcW w:w="2268" w:type="dxa"/>
            <w:vAlign w:val="center"/>
          </w:tcPr>
          <w:p>
            <w:pPr>
              <w:pStyle w:val="13"/>
            </w:pPr>
            <w:r>
              <w:t>6000元/人/年</w:t>
            </w:r>
          </w:p>
        </w:tc>
        <w:tc>
          <w:tcPr>
            <w:tcW w:w="1276" w:type="dxa"/>
            <w:vAlign w:val="center"/>
          </w:tcPr>
          <w:p>
            <w:pPr>
              <w:pStyle w:val="13"/>
            </w:pPr>
            <w:r>
              <w:t>实际发放差补工资金额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提高工作效率</w:t>
            </w:r>
          </w:p>
        </w:tc>
        <w:tc>
          <w:tcPr>
            <w:tcW w:w="1276" w:type="dxa"/>
            <w:vAlign w:val="center"/>
          </w:tcPr>
          <w:p>
            <w:pPr>
              <w:pStyle w:val="13"/>
            </w:pPr>
            <w:r>
              <w:t>实际提高工作效率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有效提高工作质量</w:t>
            </w:r>
          </w:p>
        </w:tc>
        <w:tc>
          <w:tcPr>
            <w:tcW w:w="5386" w:type="dxa"/>
            <w:vAlign w:val="center"/>
          </w:tcPr>
          <w:p>
            <w:pPr>
              <w:pStyle w:val="13"/>
            </w:pPr>
            <w:r>
              <w:t>有效提高工作质量</w:t>
            </w:r>
          </w:p>
        </w:tc>
        <w:tc>
          <w:tcPr>
            <w:tcW w:w="2268" w:type="dxa"/>
            <w:vAlign w:val="center"/>
          </w:tcPr>
          <w:p>
            <w:pPr>
              <w:pStyle w:val="13"/>
            </w:pPr>
            <w:r>
              <w:t>有效提高工作质量</w:t>
            </w:r>
          </w:p>
        </w:tc>
        <w:tc>
          <w:tcPr>
            <w:tcW w:w="1276" w:type="dxa"/>
            <w:vAlign w:val="center"/>
          </w:tcPr>
          <w:p>
            <w:pPr>
              <w:pStyle w:val="13"/>
            </w:pPr>
            <w:r>
              <w:t>有效提高工作质量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享受差补人员的满意度</w:t>
            </w:r>
          </w:p>
        </w:tc>
        <w:tc>
          <w:tcPr>
            <w:tcW w:w="5386" w:type="dxa"/>
            <w:vAlign w:val="center"/>
          </w:tcPr>
          <w:p>
            <w:pPr>
              <w:pStyle w:val="13"/>
            </w:pPr>
            <w:r>
              <w:t>享受差补人员的满意度</w:t>
            </w:r>
          </w:p>
        </w:tc>
        <w:tc>
          <w:tcPr>
            <w:tcW w:w="2268" w:type="dxa"/>
            <w:vAlign w:val="center"/>
          </w:tcPr>
          <w:p>
            <w:pPr>
              <w:pStyle w:val="13"/>
            </w:pPr>
            <w:r>
              <w:t>≥96百分比</w:t>
            </w:r>
          </w:p>
        </w:tc>
        <w:tc>
          <w:tcPr>
            <w:tcW w:w="1276" w:type="dxa"/>
            <w:vAlign w:val="center"/>
          </w:tcPr>
          <w:p>
            <w:pPr>
              <w:pStyle w:val="13"/>
            </w:pPr>
            <w:r>
              <w:t>调查差补人员得出满意度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eastAsia="zh-CN"/>
        </w:rPr>
        <w:t>2026</w:t>
      </w:r>
      <w:r>
        <w:rPr>
          <w:rFonts w:ascii="方正仿宋_GBK" w:hAnsi="方正仿宋_GBK" w:eastAsia="方正仿宋_GBK" w:cs="方正仿宋_GBK"/>
          <w:color w:val="000000"/>
          <w:sz w:val="28"/>
        </w:rPr>
        <w:t>年度中央彩票公益金漳河店镇郭坊姜营农村道路修建工程绩效目标表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13042425P00339110514E</w:t>
            </w:r>
          </w:p>
        </w:tc>
        <w:tc>
          <w:tcPr>
            <w:tcW w:w="2835" w:type="dxa"/>
            <w:vAlign w:val="center"/>
          </w:tcPr>
          <w:p>
            <w:pPr>
              <w:pStyle w:val="11"/>
            </w:pPr>
            <w:r>
              <w:t>项目名称</w:t>
            </w:r>
          </w:p>
        </w:tc>
        <w:tc>
          <w:tcPr>
            <w:tcW w:w="6095" w:type="dxa"/>
            <w:gridSpan w:val="3"/>
            <w:vAlign w:val="center"/>
          </w:tcPr>
          <w:p>
            <w:pPr>
              <w:pStyle w:val="13"/>
            </w:pPr>
            <w:r>
              <w:rPr>
                <w:rFonts w:hint="eastAsia"/>
                <w:lang w:eastAsia="zh-CN"/>
              </w:rPr>
              <w:t>2026</w:t>
            </w:r>
            <w:r>
              <w:t>年度中央彩票公益金漳河店镇郭坊姜营农村道路修建工程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用于支付郭坊姜营道路建设工程款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32.50</w:t>
            </w:r>
          </w:p>
        </w:tc>
        <w:tc>
          <w:tcPr>
            <w:tcW w:w="2835" w:type="dxa"/>
            <w:vAlign w:val="center"/>
          </w:tcPr>
          <w:p>
            <w:pPr>
              <w:pStyle w:val="14"/>
            </w:pPr>
            <w:r>
              <w:t>65.00</w:t>
            </w:r>
          </w:p>
        </w:tc>
        <w:tc>
          <w:tcPr>
            <w:tcW w:w="2551" w:type="dxa"/>
            <w:vAlign w:val="center"/>
          </w:tcPr>
          <w:p>
            <w:pPr>
              <w:pStyle w:val="14"/>
            </w:pPr>
            <w:r>
              <w:t>97.50</w:t>
            </w:r>
          </w:p>
        </w:tc>
        <w:tc>
          <w:tcPr>
            <w:tcW w:w="3544" w:type="dxa"/>
            <w:gridSpan w:val="2"/>
            <w:vAlign w:val="center"/>
          </w:tcPr>
          <w:p>
            <w:pPr>
              <w:pStyle w:val="14"/>
            </w:pPr>
            <w:r>
              <w:t>130.00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1.方便群众出行，提高群众幸福指数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硬化道路面积</w:t>
            </w:r>
          </w:p>
        </w:tc>
        <w:tc>
          <w:tcPr>
            <w:tcW w:w="5386" w:type="dxa"/>
            <w:vAlign w:val="center"/>
          </w:tcPr>
          <w:p>
            <w:pPr>
              <w:pStyle w:val="13"/>
            </w:pPr>
            <w:r>
              <w:t>实际验收硬化道路面积</w:t>
            </w:r>
          </w:p>
        </w:tc>
        <w:tc>
          <w:tcPr>
            <w:tcW w:w="2268" w:type="dxa"/>
            <w:vAlign w:val="center"/>
          </w:tcPr>
          <w:p>
            <w:pPr>
              <w:pStyle w:val="13"/>
            </w:pPr>
            <w:r>
              <w:t>≥12000平方米</w:t>
            </w:r>
          </w:p>
        </w:tc>
        <w:tc>
          <w:tcPr>
            <w:tcW w:w="1276" w:type="dxa"/>
            <w:vAlign w:val="center"/>
          </w:tcPr>
          <w:p>
            <w:pPr>
              <w:pStyle w:val="13"/>
            </w:pPr>
            <w:r>
              <w:t>结算 竣工图纸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通过验收的工程量占建设总量的比率</w:t>
            </w:r>
          </w:p>
        </w:tc>
        <w:tc>
          <w:tcPr>
            <w:tcW w:w="2268" w:type="dxa"/>
            <w:vAlign w:val="center"/>
          </w:tcPr>
          <w:p>
            <w:pPr>
              <w:pStyle w:val="13"/>
            </w:pPr>
            <w:r>
              <w:t>≥95百分比</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工程施工天数</w:t>
            </w:r>
          </w:p>
        </w:tc>
        <w:tc>
          <w:tcPr>
            <w:tcW w:w="2268" w:type="dxa"/>
            <w:vAlign w:val="center"/>
          </w:tcPr>
          <w:p>
            <w:pPr>
              <w:pStyle w:val="13"/>
            </w:pPr>
            <w:r>
              <w:t>≤60天</w:t>
            </w:r>
          </w:p>
        </w:tc>
        <w:tc>
          <w:tcPr>
            <w:tcW w:w="1276" w:type="dxa"/>
            <w:vAlign w:val="center"/>
          </w:tcPr>
          <w:p>
            <w:pPr>
              <w:pStyle w:val="13"/>
            </w:pPr>
            <w:r>
              <w:t>竣工报告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每平米成本</w:t>
            </w:r>
          </w:p>
        </w:tc>
        <w:tc>
          <w:tcPr>
            <w:tcW w:w="5386" w:type="dxa"/>
            <w:vAlign w:val="center"/>
          </w:tcPr>
          <w:p>
            <w:pPr>
              <w:pStyle w:val="13"/>
            </w:pPr>
            <w:r>
              <w:t>硬化道路每平米成本</w:t>
            </w:r>
          </w:p>
        </w:tc>
        <w:tc>
          <w:tcPr>
            <w:tcW w:w="2268" w:type="dxa"/>
            <w:vAlign w:val="center"/>
          </w:tcPr>
          <w:p>
            <w:pPr>
              <w:pStyle w:val="13"/>
            </w:pPr>
            <w:r>
              <w:t>≤108元</w:t>
            </w:r>
          </w:p>
        </w:tc>
        <w:tc>
          <w:tcPr>
            <w:tcW w:w="1276" w:type="dxa"/>
            <w:vAlign w:val="center"/>
          </w:tcPr>
          <w:p>
            <w:pPr>
              <w:pStyle w:val="13"/>
            </w:pPr>
            <w:r>
              <w:t>财务手续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道路硬化完成后方便群众出行</w:t>
            </w:r>
          </w:p>
        </w:tc>
        <w:tc>
          <w:tcPr>
            <w:tcW w:w="5386" w:type="dxa"/>
            <w:vAlign w:val="center"/>
          </w:tcPr>
          <w:p>
            <w:pPr>
              <w:pStyle w:val="13"/>
            </w:pPr>
            <w:r>
              <w:t>道路硬化完成后方便群众出行</w:t>
            </w:r>
          </w:p>
        </w:tc>
        <w:tc>
          <w:tcPr>
            <w:tcW w:w="2268" w:type="dxa"/>
            <w:vAlign w:val="center"/>
          </w:tcPr>
          <w:p>
            <w:pPr>
              <w:pStyle w:val="13"/>
            </w:pPr>
            <w:r>
              <w:t>有所提高</w:t>
            </w:r>
          </w:p>
        </w:tc>
        <w:tc>
          <w:tcPr>
            <w:tcW w:w="1276" w:type="dxa"/>
            <w:vAlign w:val="center"/>
          </w:tcPr>
          <w:p>
            <w:pPr>
              <w:pStyle w:val="13"/>
            </w:pPr>
            <w:r>
              <w:t>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长期满足人民群众对高生活质量的需求</w:t>
            </w:r>
          </w:p>
        </w:tc>
        <w:tc>
          <w:tcPr>
            <w:tcW w:w="5386" w:type="dxa"/>
            <w:vAlign w:val="center"/>
          </w:tcPr>
          <w:p>
            <w:pPr>
              <w:pStyle w:val="13"/>
            </w:pPr>
            <w:r>
              <w:t>长期满足人民群众对高生活质量的需求</w:t>
            </w:r>
          </w:p>
        </w:tc>
        <w:tc>
          <w:tcPr>
            <w:tcW w:w="2268" w:type="dxa"/>
            <w:vAlign w:val="center"/>
          </w:tcPr>
          <w:p>
            <w:pPr>
              <w:pStyle w:val="13"/>
            </w:pPr>
            <w:r>
              <w:t>生活质量提高</w:t>
            </w:r>
          </w:p>
        </w:tc>
        <w:tc>
          <w:tcPr>
            <w:tcW w:w="1276" w:type="dxa"/>
            <w:vAlign w:val="center"/>
          </w:tcPr>
          <w:p>
            <w:pPr>
              <w:pStyle w:val="13"/>
            </w:pPr>
            <w:r>
              <w:t>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提高服务对象的满意度</w:t>
            </w:r>
          </w:p>
        </w:tc>
        <w:tc>
          <w:tcPr>
            <w:tcW w:w="5386" w:type="dxa"/>
            <w:vAlign w:val="center"/>
          </w:tcPr>
          <w:p>
            <w:pPr>
              <w:pStyle w:val="13"/>
            </w:pPr>
            <w:r>
              <w:t>满意人数占全部村民比率整体满意度</w:t>
            </w:r>
          </w:p>
        </w:tc>
        <w:tc>
          <w:tcPr>
            <w:tcW w:w="2268" w:type="dxa"/>
            <w:vAlign w:val="center"/>
          </w:tcPr>
          <w:p>
            <w:pPr>
              <w:pStyle w:val="13"/>
            </w:pPr>
            <w:r>
              <w:t>≥95百分比</w:t>
            </w:r>
          </w:p>
        </w:tc>
        <w:tc>
          <w:tcPr>
            <w:tcW w:w="1276" w:type="dxa"/>
            <w:vAlign w:val="center"/>
          </w:tcPr>
          <w:p>
            <w:pPr>
              <w:pStyle w:val="13"/>
            </w:pPr>
            <w:r>
              <w:t>入户调查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3、漳河店镇村级组织办公经费绩效目标表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13042426P00003310018X</w:t>
            </w:r>
          </w:p>
        </w:tc>
        <w:tc>
          <w:tcPr>
            <w:tcW w:w="2835" w:type="dxa"/>
            <w:vAlign w:val="center"/>
          </w:tcPr>
          <w:p>
            <w:pPr>
              <w:pStyle w:val="11"/>
            </w:pPr>
            <w:r>
              <w:t>项目名称</w:t>
            </w:r>
          </w:p>
        </w:tc>
        <w:tc>
          <w:tcPr>
            <w:tcW w:w="6095" w:type="dxa"/>
            <w:gridSpan w:val="3"/>
            <w:vAlign w:val="center"/>
          </w:tcPr>
          <w:p>
            <w:pPr>
              <w:pStyle w:val="13"/>
            </w:pPr>
            <w:r>
              <w:t>漳河店镇村级组织办公经费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44.21</w:t>
            </w:r>
          </w:p>
        </w:tc>
        <w:tc>
          <w:tcPr>
            <w:tcW w:w="2835" w:type="dxa"/>
            <w:vAlign w:val="center"/>
          </w:tcPr>
          <w:p>
            <w:pPr>
              <w:pStyle w:val="11"/>
            </w:pPr>
            <w:r>
              <w:t>其中：财政    资金</w:t>
            </w:r>
          </w:p>
        </w:tc>
        <w:tc>
          <w:tcPr>
            <w:tcW w:w="2551" w:type="dxa"/>
            <w:vAlign w:val="center"/>
          </w:tcPr>
          <w:p>
            <w:pPr>
              <w:pStyle w:val="13"/>
            </w:pPr>
            <w:r>
              <w:t>44.21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用于支付26村村级办公费用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11.05</w:t>
            </w:r>
          </w:p>
        </w:tc>
        <w:tc>
          <w:tcPr>
            <w:tcW w:w="2835" w:type="dxa"/>
            <w:vAlign w:val="center"/>
          </w:tcPr>
          <w:p>
            <w:pPr>
              <w:pStyle w:val="14"/>
            </w:pPr>
            <w:r>
              <w:t>22.11</w:t>
            </w:r>
          </w:p>
        </w:tc>
        <w:tc>
          <w:tcPr>
            <w:tcW w:w="2551" w:type="dxa"/>
            <w:vAlign w:val="center"/>
          </w:tcPr>
          <w:p>
            <w:pPr>
              <w:pStyle w:val="14"/>
            </w:pPr>
            <w:r>
              <w:t>33.16</w:t>
            </w:r>
          </w:p>
        </w:tc>
        <w:tc>
          <w:tcPr>
            <w:tcW w:w="3544" w:type="dxa"/>
            <w:gridSpan w:val="2"/>
            <w:vAlign w:val="center"/>
          </w:tcPr>
          <w:p>
            <w:pPr>
              <w:pStyle w:val="14"/>
            </w:pPr>
            <w:r>
              <w:t>44.21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1.用于支付村级办公费用。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发放村级转移支付的村数量</w:t>
            </w:r>
          </w:p>
        </w:tc>
        <w:tc>
          <w:tcPr>
            <w:tcW w:w="5386" w:type="dxa"/>
            <w:vAlign w:val="center"/>
          </w:tcPr>
          <w:p>
            <w:pPr>
              <w:pStyle w:val="13"/>
            </w:pPr>
            <w:r>
              <w:t>发放村级转移支付的村数量</w:t>
            </w:r>
          </w:p>
        </w:tc>
        <w:tc>
          <w:tcPr>
            <w:tcW w:w="2268" w:type="dxa"/>
            <w:vAlign w:val="center"/>
          </w:tcPr>
          <w:p>
            <w:pPr>
              <w:pStyle w:val="13"/>
            </w:pPr>
            <w:r>
              <w:t>26个</w:t>
            </w:r>
          </w:p>
        </w:tc>
        <w:tc>
          <w:tcPr>
            <w:tcW w:w="1276" w:type="dxa"/>
            <w:vAlign w:val="center"/>
          </w:tcPr>
          <w:p>
            <w:pPr>
              <w:pStyle w:val="13"/>
            </w:pPr>
            <w:r>
              <w:t>实际发放凭证为依据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每村每年发放村级转移支付金额</w:t>
            </w:r>
          </w:p>
        </w:tc>
        <w:tc>
          <w:tcPr>
            <w:tcW w:w="5386" w:type="dxa"/>
            <w:vAlign w:val="center"/>
          </w:tcPr>
          <w:p>
            <w:pPr>
              <w:pStyle w:val="13"/>
            </w:pPr>
            <w:r>
              <w:t>每村每年发放村级转移支付金额</w:t>
            </w:r>
          </w:p>
        </w:tc>
        <w:tc>
          <w:tcPr>
            <w:tcW w:w="2268" w:type="dxa"/>
            <w:vAlign w:val="center"/>
          </w:tcPr>
          <w:p>
            <w:pPr>
              <w:pStyle w:val="13"/>
            </w:pPr>
            <w:r>
              <w:t>≥18070元/村/年</w:t>
            </w:r>
          </w:p>
        </w:tc>
        <w:tc>
          <w:tcPr>
            <w:tcW w:w="1276" w:type="dxa"/>
            <w:vAlign w:val="center"/>
          </w:tcPr>
          <w:p>
            <w:pPr>
              <w:pStyle w:val="13"/>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村级转移支付拨款率</w:t>
            </w:r>
          </w:p>
        </w:tc>
        <w:tc>
          <w:tcPr>
            <w:tcW w:w="5386" w:type="dxa"/>
            <w:vAlign w:val="center"/>
          </w:tcPr>
          <w:p>
            <w:pPr>
              <w:pStyle w:val="13"/>
            </w:pPr>
            <w:r>
              <w:t>村级转移支付对各村拨款率</w:t>
            </w:r>
          </w:p>
        </w:tc>
        <w:tc>
          <w:tcPr>
            <w:tcW w:w="2268" w:type="dxa"/>
            <w:vAlign w:val="center"/>
          </w:tcPr>
          <w:p>
            <w:pPr>
              <w:pStyle w:val="13"/>
            </w:pPr>
            <w:r>
              <w:t>100百分比</w:t>
            </w:r>
          </w:p>
        </w:tc>
        <w:tc>
          <w:tcPr>
            <w:tcW w:w="1276" w:type="dxa"/>
            <w:vAlign w:val="center"/>
          </w:tcPr>
          <w:p>
            <w:pPr>
              <w:pStyle w:val="13"/>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村级转移支付在每月月底前发放</w:t>
            </w:r>
          </w:p>
        </w:tc>
        <w:tc>
          <w:tcPr>
            <w:tcW w:w="5386" w:type="dxa"/>
            <w:vAlign w:val="center"/>
          </w:tcPr>
          <w:p>
            <w:pPr>
              <w:pStyle w:val="13"/>
            </w:pPr>
            <w:r>
              <w:t>村级转移支付在每月月底前发放</w:t>
            </w:r>
          </w:p>
        </w:tc>
        <w:tc>
          <w:tcPr>
            <w:tcW w:w="2268" w:type="dxa"/>
            <w:vAlign w:val="center"/>
          </w:tcPr>
          <w:p>
            <w:pPr>
              <w:pStyle w:val="13"/>
            </w:pPr>
            <w:r>
              <w:t>100百分比</w:t>
            </w:r>
          </w:p>
        </w:tc>
        <w:tc>
          <w:tcPr>
            <w:tcW w:w="1276" w:type="dxa"/>
            <w:vAlign w:val="center"/>
          </w:tcPr>
          <w:p>
            <w:pPr>
              <w:pStyle w:val="13"/>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提高镇村两级工作效率</w:t>
            </w:r>
          </w:p>
        </w:tc>
        <w:tc>
          <w:tcPr>
            <w:tcW w:w="5386" w:type="dxa"/>
            <w:vAlign w:val="center"/>
          </w:tcPr>
          <w:p>
            <w:pPr>
              <w:pStyle w:val="13"/>
            </w:pPr>
            <w:r>
              <w:t>提高镇村两级工作效率</w:t>
            </w:r>
          </w:p>
        </w:tc>
        <w:tc>
          <w:tcPr>
            <w:tcW w:w="2268" w:type="dxa"/>
            <w:vAlign w:val="center"/>
          </w:tcPr>
          <w:p>
            <w:pPr>
              <w:pStyle w:val="13"/>
            </w:pPr>
            <w:r>
              <w:t>提高镇村两级工作效率</w:t>
            </w:r>
          </w:p>
        </w:tc>
        <w:tc>
          <w:tcPr>
            <w:tcW w:w="1276" w:type="dxa"/>
            <w:vAlign w:val="center"/>
          </w:tcPr>
          <w:p>
            <w:pPr>
              <w:pStyle w:val="13"/>
            </w:pPr>
            <w:r>
              <w:t>提高镇村两级工作效率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保障日常办公</w:t>
            </w:r>
          </w:p>
        </w:tc>
        <w:tc>
          <w:tcPr>
            <w:tcW w:w="5386" w:type="dxa"/>
            <w:vAlign w:val="center"/>
          </w:tcPr>
          <w:p>
            <w:pPr>
              <w:pStyle w:val="13"/>
            </w:pPr>
            <w:r>
              <w:t>保障日常办公</w:t>
            </w:r>
          </w:p>
        </w:tc>
        <w:tc>
          <w:tcPr>
            <w:tcW w:w="2268" w:type="dxa"/>
            <w:vAlign w:val="center"/>
          </w:tcPr>
          <w:p>
            <w:pPr>
              <w:pStyle w:val="13"/>
            </w:pPr>
            <w:r>
              <w:t>保障日常办公</w:t>
            </w:r>
          </w:p>
        </w:tc>
        <w:tc>
          <w:tcPr>
            <w:tcW w:w="1276" w:type="dxa"/>
            <w:vAlign w:val="center"/>
          </w:tcPr>
          <w:p>
            <w:pPr>
              <w:pStyle w:val="13"/>
            </w:pPr>
            <w:r>
              <w:t>保障日常办公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村级转移支付发放的满意度</w:t>
            </w:r>
          </w:p>
        </w:tc>
        <w:tc>
          <w:tcPr>
            <w:tcW w:w="5386" w:type="dxa"/>
            <w:vAlign w:val="center"/>
          </w:tcPr>
          <w:p>
            <w:pPr>
              <w:pStyle w:val="13"/>
            </w:pPr>
            <w:r>
              <w:t>村级转移支付发放的满意度</w:t>
            </w:r>
          </w:p>
        </w:tc>
        <w:tc>
          <w:tcPr>
            <w:tcW w:w="2268" w:type="dxa"/>
            <w:vAlign w:val="center"/>
          </w:tcPr>
          <w:p>
            <w:pPr>
              <w:pStyle w:val="13"/>
            </w:pPr>
            <w:r>
              <w:t>≥96百分比</w:t>
            </w:r>
          </w:p>
        </w:tc>
        <w:tc>
          <w:tcPr>
            <w:tcW w:w="1276" w:type="dxa"/>
            <w:vAlign w:val="center"/>
          </w:tcPr>
          <w:p>
            <w:pPr>
              <w:pStyle w:val="13"/>
            </w:pPr>
            <w:r>
              <w:t>自筹人员及各村对工资及转移支付发放的满意度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4、漳河店镇党委值班值守视频系统服务费绩效目标表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13042426P00002810024G</w:t>
            </w:r>
          </w:p>
        </w:tc>
        <w:tc>
          <w:tcPr>
            <w:tcW w:w="2835" w:type="dxa"/>
            <w:vAlign w:val="center"/>
          </w:tcPr>
          <w:p>
            <w:pPr>
              <w:pStyle w:val="11"/>
            </w:pPr>
            <w:r>
              <w:t>项目名称</w:t>
            </w:r>
          </w:p>
        </w:tc>
        <w:tc>
          <w:tcPr>
            <w:tcW w:w="6095" w:type="dxa"/>
            <w:gridSpan w:val="3"/>
            <w:vAlign w:val="center"/>
          </w:tcPr>
          <w:p>
            <w:pPr>
              <w:pStyle w:val="13"/>
            </w:pPr>
            <w:r>
              <w:t>漳河店镇党委值班值守视频系统服务费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用于支付应急管理系统的费用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1.用于支付应急管理系统的费用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全镇安装党委应急值守调度系统套数</w:t>
            </w:r>
          </w:p>
        </w:tc>
        <w:tc>
          <w:tcPr>
            <w:tcW w:w="5386" w:type="dxa"/>
            <w:vAlign w:val="center"/>
          </w:tcPr>
          <w:p>
            <w:pPr>
              <w:pStyle w:val="13"/>
            </w:pPr>
            <w:r>
              <w:t>全镇安装党委应急值守调度系统套数</w:t>
            </w:r>
          </w:p>
        </w:tc>
        <w:tc>
          <w:tcPr>
            <w:tcW w:w="2268" w:type="dxa"/>
            <w:vAlign w:val="center"/>
          </w:tcPr>
          <w:p>
            <w:pPr>
              <w:pStyle w:val="13"/>
            </w:pPr>
            <w:r>
              <w:t>1套</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验收系统运行良好，提高应急调度能力。</w:t>
            </w:r>
          </w:p>
        </w:tc>
        <w:tc>
          <w:tcPr>
            <w:tcW w:w="5386" w:type="dxa"/>
            <w:vAlign w:val="center"/>
          </w:tcPr>
          <w:p>
            <w:pPr>
              <w:pStyle w:val="13"/>
            </w:pPr>
            <w:r>
              <w:t>验收系统运行良好，提高应急调度能力。</w:t>
            </w:r>
          </w:p>
        </w:tc>
        <w:tc>
          <w:tcPr>
            <w:tcW w:w="2268" w:type="dxa"/>
            <w:vAlign w:val="center"/>
          </w:tcPr>
          <w:p>
            <w:pPr>
              <w:pStyle w:val="13"/>
            </w:pPr>
            <w:r>
              <w:t>验收系统运行良好，提高应急调度能力。</w:t>
            </w:r>
          </w:p>
        </w:tc>
        <w:tc>
          <w:tcPr>
            <w:tcW w:w="1276" w:type="dxa"/>
            <w:vAlign w:val="center"/>
          </w:tcPr>
          <w:p>
            <w:pPr>
              <w:pStyle w:val="13"/>
            </w:pPr>
            <w:r>
              <w:t>验收系统运行良好，提高应急调度能力。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应急值守调度系统信息技术服务年限</w:t>
            </w:r>
          </w:p>
        </w:tc>
        <w:tc>
          <w:tcPr>
            <w:tcW w:w="5386" w:type="dxa"/>
            <w:vAlign w:val="center"/>
          </w:tcPr>
          <w:p>
            <w:pPr>
              <w:pStyle w:val="13"/>
            </w:pPr>
            <w:r>
              <w:t>应急值守调度系统信息技术服务年限</w:t>
            </w:r>
          </w:p>
        </w:tc>
        <w:tc>
          <w:tcPr>
            <w:tcW w:w="2268" w:type="dxa"/>
            <w:vAlign w:val="center"/>
          </w:tcPr>
          <w:p>
            <w:pPr>
              <w:pStyle w:val="13"/>
            </w:pPr>
            <w:r>
              <w:t>1年</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每年每套应急调度系统信息服务费</w:t>
            </w:r>
          </w:p>
        </w:tc>
        <w:tc>
          <w:tcPr>
            <w:tcW w:w="5386" w:type="dxa"/>
            <w:vAlign w:val="center"/>
          </w:tcPr>
          <w:p>
            <w:pPr>
              <w:pStyle w:val="13"/>
            </w:pPr>
            <w:r>
              <w:t>每年每套应急调度系统信息服务费</w:t>
            </w:r>
          </w:p>
        </w:tc>
        <w:tc>
          <w:tcPr>
            <w:tcW w:w="2268" w:type="dxa"/>
            <w:vAlign w:val="center"/>
          </w:tcPr>
          <w:p>
            <w:pPr>
              <w:pStyle w:val="13"/>
            </w:pPr>
            <w:r>
              <w:t>5万元</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提升应急调度能力，及时发现事故减少经济损失。</w:t>
            </w:r>
          </w:p>
        </w:tc>
        <w:tc>
          <w:tcPr>
            <w:tcW w:w="5386" w:type="dxa"/>
            <w:vAlign w:val="center"/>
          </w:tcPr>
          <w:p>
            <w:pPr>
              <w:pStyle w:val="13"/>
            </w:pPr>
            <w:r>
              <w:t>提升应急调度能力，及时发现事故减少经济损失。</w:t>
            </w:r>
          </w:p>
        </w:tc>
        <w:tc>
          <w:tcPr>
            <w:tcW w:w="2268" w:type="dxa"/>
            <w:vAlign w:val="center"/>
          </w:tcPr>
          <w:p>
            <w:pPr>
              <w:pStyle w:val="13"/>
            </w:pPr>
            <w:r>
              <w:t>提升应急调度能力，及时发现事故减少经济损失。</w:t>
            </w:r>
          </w:p>
        </w:tc>
        <w:tc>
          <w:tcPr>
            <w:tcW w:w="1276" w:type="dxa"/>
            <w:vAlign w:val="center"/>
          </w:tcPr>
          <w:p>
            <w:pPr>
              <w:pStyle w:val="13"/>
            </w:pPr>
            <w:r>
              <w:t>提升应急调度能力，及时发现事故减少经济损失。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发放应急事故及时调度解决率</w:t>
            </w:r>
          </w:p>
        </w:tc>
        <w:tc>
          <w:tcPr>
            <w:tcW w:w="5386" w:type="dxa"/>
            <w:vAlign w:val="center"/>
          </w:tcPr>
          <w:p>
            <w:pPr>
              <w:pStyle w:val="13"/>
            </w:pPr>
            <w:r>
              <w:t>发放应急事故及时调度解决率</w:t>
            </w:r>
          </w:p>
        </w:tc>
        <w:tc>
          <w:tcPr>
            <w:tcW w:w="2268" w:type="dxa"/>
            <w:vAlign w:val="center"/>
          </w:tcPr>
          <w:p>
            <w:pPr>
              <w:pStyle w:val="13"/>
            </w:pPr>
            <w:r>
              <w:t>100百分比</w:t>
            </w:r>
          </w:p>
        </w:tc>
        <w:tc>
          <w:tcPr>
            <w:tcW w:w="1276" w:type="dxa"/>
            <w:vAlign w:val="center"/>
          </w:tcPr>
          <w:p>
            <w:pPr>
              <w:pStyle w:val="13"/>
            </w:pPr>
            <w:r>
              <w:t>发放应急事故及时调度解决率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发现焚烧等破坏环保事故，及时解决，保护环境。</w:t>
            </w:r>
          </w:p>
        </w:tc>
        <w:tc>
          <w:tcPr>
            <w:tcW w:w="5386" w:type="dxa"/>
            <w:vAlign w:val="center"/>
          </w:tcPr>
          <w:p>
            <w:pPr>
              <w:pStyle w:val="13"/>
            </w:pPr>
            <w:r>
              <w:t>发现焚烧等破坏环保事故，及时解决，保护环境。</w:t>
            </w:r>
          </w:p>
        </w:tc>
        <w:tc>
          <w:tcPr>
            <w:tcW w:w="2268" w:type="dxa"/>
            <w:vAlign w:val="center"/>
          </w:tcPr>
          <w:p>
            <w:pPr>
              <w:pStyle w:val="13"/>
            </w:pPr>
            <w:r>
              <w:t>发现焚烧等破坏环保事故，及时解决，保护环境。</w:t>
            </w:r>
          </w:p>
        </w:tc>
        <w:tc>
          <w:tcPr>
            <w:tcW w:w="1276" w:type="dxa"/>
            <w:vAlign w:val="center"/>
          </w:tcPr>
          <w:p>
            <w:pPr>
              <w:pStyle w:val="13"/>
            </w:pPr>
            <w:r>
              <w:t>发现焚烧等破坏环保事故，及时解决，保护环境。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可持续服务期限为一年</w:t>
            </w:r>
          </w:p>
        </w:tc>
        <w:tc>
          <w:tcPr>
            <w:tcW w:w="5386" w:type="dxa"/>
            <w:vAlign w:val="center"/>
          </w:tcPr>
          <w:p>
            <w:pPr>
              <w:pStyle w:val="13"/>
            </w:pPr>
            <w:r>
              <w:t>可持续服务期限为一年</w:t>
            </w:r>
          </w:p>
        </w:tc>
        <w:tc>
          <w:tcPr>
            <w:tcW w:w="2268" w:type="dxa"/>
            <w:vAlign w:val="center"/>
          </w:tcPr>
          <w:p>
            <w:pPr>
              <w:pStyle w:val="13"/>
            </w:pPr>
            <w:r>
              <w:t>1可持续服务期限为一年</w:t>
            </w:r>
          </w:p>
        </w:tc>
        <w:tc>
          <w:tcPr>
            <w:tcW w:w="1276" w:type="dxa"/>
            <w:vAlign w:val="center"/>
          </w:tcPr>
          <w:p>
            <w:pPr>
              <w:pStyle w:val="13"/>
            </w:pPr>
            <w:r>
              <w:t>可持续服务期限为一年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100百分比</w:t>
            </w:r>
          </w:p>
        </w:tc>
        <w:tc>
          <w:tcPr>
            <w:tcW w:w="1276" w:type="dxa"/>
            <w:vAlign w:val="center"/>
          </w:tcPr>
          <w:p>
            <w:pPr>
              <w:pStyle w:val="13"/>
            </w:pPr>
            <w:r>
              <w:t>调查镇村干部得出满意度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5、漳河店镇禁燃禁烧经费绩效目标表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13042426P00003110009A</w:t>
            </w:r>
          </w:p>
        </w:tc>
        <w:tc>
          <w:tcPr>
            <w:tcW w:w="2835" w:type="dxa"/>
            <w:vAlign w:val="center"/>
          </w:tcPr>
          <w:p>
            <w:pPr>
              <w:pStyle w:val="11"/>
            </w:pPr>
            <w:r>
              <w:t>项目名称</w:t>
            </w:r>
          </w:p>
        </w:tc>
        <w:tc>
          <w:tcPr>
            <w:tcW w:w="6095" w:type="dxa"/>
            <w:gridSpan w:val="3"/>
            <w:vAlign w:val="center"/>
          </w:tcPr>
          <w:p>
            <w:pPr>
              <w:pStyle w:val="13"/>
            </w:pPr>
            <w:r>
              <w:t>漳河店镇禁燃禁烧经费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用于禁烧经费工作支出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1.用于禁烧经费工作支出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完成的图幅数量</w:t>
            </w:r>
          </w:p>
        </w:tc>
        <w:tc>
          <w:tcPr>
            <w:tcW w:w="5386" w:type="dxa"/>
            <w:vAlign w:val="center"/>
          </w:tcPr>
          <w:p>
            <w:pPr>
              <w:pStyle w:val="13"/>
            </w:pPr>
            <w:r>
              <w:t>制作各村禁烧宣传条幅数量</w:t>
            </w:r>
          </w:p>
        </w:tc>
        <w:tc>
          <w:tcPr>
            <w:tcW w:w="2268" w:type="dxa"/>
            <w:vAlign w:val="center"/>
          </w:tcPr>
          <w:p>
            <w:pPr>
              <w:pStyle w:val="13"/>
            </w:pPr>
            <w:r>
              <w:t>≥165条</w:t>
            </w:r>
          </w:p>
        </w:tc>
        <w:tc>
          <w:tcPr>
            <w:tcW w:w="1276" w:type="dxa"/>
            <w:vAlign w:val="center"/>
          </w:tcPr>
          <w:p>
            <w:pPr>
              <w:pStyle w:val="13"/>
            </w:pPr>
            <w:r>
              <w:t>实际制作数量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清理沿线影响运行安全因素数量</w:t>
            </w:r>
          </w:p>
        </w:tc>
        <w:tc>
          <w:tcPr>
            <w:tcW w:w="5386" w:type="dxa"/>
            <w:vAlign w:val="center"/>
          </w:tcPr>
          <w:p>
            <w:pPr>
              <w:pStyle w:val="13"/>
            </w:pPr>
            <w:r>
              <w:t>清理各村道路沿线禁烧隐患次数</w:t>
            </w:r>
          </w:p>
        </w:tc>
        <w:tc>
          <w:tcPr>
            <w:tcW w:w="2268" w:type="dxa"/>
            <w:vAlign w:val="center"/>
          </w:tcPr>
          <w:p>
            <w:pPr>
              <w:pStyle w:val="13"/>
            </w:pPr>
            <w:r>
              <w:t>≥12次</w:t>
            </w:r>
          </w:p>
        </w:tc>
        <w:tc>
          <w:tcPr>
            <w:tcW w:w="1276" w:type="dxa"/>
            <w:vAlign w:val="center"/>
          </w:tcPr>
          <w:p>
            <w:pPr>
              <w:pStyle w:val="13"/>
            </w:pPr>
            <w:r>
              <w:t>实际清理次数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制作条幅和清理隐患的项目验收合格率</w:t>
            </w:r>
          </w:p>
        </w:tc>
        <w:tc>
          <w:tcPr>
            <w:tcW w:w="2268" w:type="dxa"/>
            <w:vAlign w:val="center"/>
          </w:tcPr>
          <w:p>
            <w:pPr>
              <w:pStyle w:val="13"/>
            </w:pPr>
            <w:r>
              <w:t>≥96百分比</w:t>
            </w:r>
          </w:p>
        </w:tc>
        <w:tc>
          <w:tcPr>
            <w:tcW w:w="1276" w:type="dxa"/>
            <w:vAlign w:val="center"/>
          </w:tcPr>
          <w:p>
            <w:pPr>
              <w:pStyle w:val="13"/>
            </w:pPr>
            <w:r>
              <w:t>专人验收得出合格率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清理禁烧隐患工作的完成时效每月月底前</w:t>
            </w:r>
          </w:p>
        </w:tc>
        <w:tc>
          <w:tcPr>
            <w:tcW w:w="2268" w:type="dxa"/>
            <w:vAlign w:val="center"/>
          </w:tcPr>
          <w:p>
            <w:pPr>
              <w:pStyle w:val="13"/>
            </w:pPr>
            <w:r>
              <w:t>每月月底前完成清理任务</w:t>
            </w:r>
          </w:p>
        </w:tc>
        <w:tc>
          <w:tcPr>
            <w:tcW w:w="1276" w:type="dxa"/>
            <w:vAlign w:val="center"/>
          </w:tcPr>
          <w:p>
            <w:pPr>
              <w:pStyle w:val="13"/>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各村制作宣传条幅每条成本单价</w:t>
            </w:r>
          </w:p>
        </w:tc>
        <w:tc>
          <w:tcPr>
            <w:tcW w:w="2268" w:type="dxa"/>
            <w:vAlign w:val="center"/>
          </w:tcPr>
          <w:p>
            <w:pPr>
              <w:pStyle w:val="13"/>
            </w:pPr>
            <w:r>
              <w:t>≤60元/条</w:t>
            </w:r>
          </w:p>
        </w:tc>
        <w:tc>
          <w:tcPr>
            <w:tcW w:w="1276" w:type="dxa"/>
            <w:vAlign w:val="center"/>
          </w:tcPr>
          <w:p>
            <w:pPr>
              <w:pStyle w:val="13"/>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全镇各村清理禁烧隐患费用</w:t>
            </w:r>
          </w:p>
        </w:tc>
        <w:tc>
          <w:tcPr>
            <w:tcW w:w="2268" w:type="dxa"/>
            <w:vAlign w:val="center"/>
          </w:tcPr>
          <w:p>
            <w:pPr>
              <w:pStyle w:val="13"/>
            </w:pPr>
            <w:r>
              <w:t>1.5万元/次</w:t>
            </w:r>
          </w:p>
        </w:tc>
        <w:tc>
          <w:tcPr>
            <w:tcW w:w="1276" w:type="dxa"/>
            <w:vAlign w:val="center"/>
          </w:tcPr>
          <w:p>
            <w:pPr>
              <w:pStyle w:val="13"/>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对社会经济发展的影响</w:t>
            </w:r>
          </w:p>
        </w:tc>
        <w:tc>
          <w:tcPr>
            <w:tcW w:w="5386" w:type="dxa"/>
            <w:vAlign w:val="center"/>
          </w:tcPr>
          <w:p>
            <w:pPr>
              <w:pStyle w:val="13"/>
            </w:pPr>
            <w:r>
              <w:t>有效控制各类火灾，减少经济损失。</w:t>
            </w:r>
          </w:p>
        </w:tc>
        <w:tc>
          <w:tcPr>
            <w:tcW w:w="2268" w:type="dxa"/>
            <w:vAlign w:val="center"/>
          </w:tcPr>
          <w:p>
            <w:pPr>
              <w:pStyle w:val="13"/>
            </w:pPr>
            <w:r>
              <w:t>有效控制各类火灾，减少经济损失。</w:t>
            </w:r>
          </w:p>
        </w:tc>
        <w:tc>
          <w:tcPr>
            <w:tcW w:w="1276" w:type="dxa"/>
            <w:vAlign w:val="center"/>
          </w:tcPr>
          <w:p>
            <w:pPr>
              <w:pStyle w:val="13"/>
            </w:pPr>
            <w:r>
              <w:t>有效控制各类火灾，减少经济损失。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降低事故发生率</w:t>
            </w:r>
          </w:p>
        </w:tc>
        <w:tc>
          <w:tcPr>
            <w:tcW w:w="5386" w:type="dxa"/>
            <w:vAlign w:val="center"/>
          </w:tcPr>
          <w:p>
            <w:pPr>
              <w:pStyle w:val="13"/>
            </w:pPr>
            <w:r>
              <w:t>禁烧秸秆及燃放烟花爆竹显著降低事故。</w:t>
            </w:r>
          </w:p>
        </w:tc>
        <w:tc>
          <w:tcPr>
            <w:tcW w:w="2268" w:type="dxa"/>
            <w:vAlign w:val="center"/>
          </w:tcPr>
          <w:p>
            <w:pPr>
              <w:pStyle w:val="13"/>
            </w:pPr>
            <w:r>
              <w:t>禁烧秸秆及燃放烟花爆竹显著降低事故。</w:t>
            </w:r>
          </w:p>
        </w:tc>
        <w:tc>
          <w:tcPr>
            <w:tcW w:w="1276" w:type="dxa"/>
            <w:vAlign w:val="center"/>
          </w:tcPr>
          <w:p>
            <w:pPr>
              <w:pStyle w:val="13"/>
            </w:pPr>
            <w:r>
              <w:t>禁烧秸秆及燃放烟花爆竹显著降低事故。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改善生态环境质量，降低污染指数</w:t>
            </w:r>
          </w:p>
        </w:tc>
        <w:tc>
          <w:tcPr>
            <w:tcW w:w="2268" w:type="dxa"/>
            <w:vAlign w:val="center"/>
          </w:tcPr>
          <w:p>
            <w:pPr>
              <w:pStyle w:val="13"/>
            </w:pPr>
            <w:r>
              <w:t>改善生态环境质量，降低污染指数</w:t>
            </w:r>
          </w:p>
        </w:tc>
        <w:tc>
          <w:tcPr>
            <w:tcW w:w="1276" w:type="dxa"/>
            <w:vAlign w:val="center"/>
          </w:tcPr>
          <w:p>
            <w:pPr>
              <w:pStyle w:val="13"/>
            </w:pPr>
            <w:r>
              <w:t>改善生态环境质量，降低污染指数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可持续防止大气污染，净化空气。</w:t>
            </w:r>
          </w:p>
        </w:tc>
        <w:tc>
          <w:tcPr>
            <w:tcW w:w="2268" w:type="dxa"/>
            <w:vAlign w:val="center"/>
          </w:tcPr>
          <w:p>
            <w:pPr>
              <w:pStyle w:val="13"/>
            </w:pPr>
            <w:r>
              <w:t>可持续防止大气污染，净化空气。</w:t>
            </w:r>
          </w:p>
        </w:tc>
        <w:tc>
          <w:tcPr>
            <w:tcW w:w="1276" w:type="dxa"/>
            <w:vAlign w:val="center"/>
          </w:tcPr>
          <w:p>
            <w:pPr>
              <w:pStyle w:val="13"/>
            </w:pPr>
            <w:r>
              <w:t>可持续防止大气污染，净化空气。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各村受益群众对禁烧禁燃环境改善的满意度</w:t>
            </w:r>
          </w:p>
        </w:tc>
        <w:tc>
          <w:tcPr>
            <w:tcW w:w="2268" w:type="dxa"/>
            <w:vAlign w:val="center"/>
          </w:tcPr>
          <w:p>
            <w:pPr>
              <w:pStyle w:val="13"/>
            </w:pPr>
            <w:r>
              <w:t>≥98百分比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6、漳河店镇乡镇转移支付绩效目标表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13042426P000032100188</w:t>
            </w:r>
          </w:p>
        </w:tc>
        <w:tc>
          <w:tcPr>
            <w:tcW w:w="2835" w:type="dxa"/>
            <w:vAlign w:val="center"/>
          </w:tcPr>
          <w:p>
            <w:pPr>
              <w:pStyle w:val="11"/>
            </w:pPr>
            <w:r>
              <w:t>项目名称</w:t>
            </w:r>
          </w:p>
        </w:tc>
        <w:tc>
          <w:tcPr>
            <w:tcW w:w="6095" w:type="dxa"/>
            <w:gridSpan w:val="3"/>
            <w:vAlign w:val="center"/>
          </w:tcPr>
          <w:p>
            <w:pPr>
              <w:pStyle w:val="13"/>
            </w:pPr>
            <w:r>
              <w:t>漳河店镇乡镇转移支付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122.97</w:t>
            </w:r>
          </w:p>
        </w:tc>
        <w:tc>
          <w:tcPr>
            <w:tcW w:w="2835" w:type="dxa"/>
            <w:vAlign w:val="center"/>
          </w:tcPr>
          <w:p>
            <w:pPr>
              <w:pStyle w:val="11"/>
            </w:pPr>
            <w:r>
              <w:t>其中：财政    资金</w:t>
            </w:r>
          </w:p>
        </w:tc>
        <w:tc>
          <w:tcPr>
            <w:tcW w:w="2551" w:type="dxa"/>
            <w:vAlign w:val="center"/>
          </w:tcPr>
          <w:p>
            <w:pPr>
              <w:pStyle w:val="13"/>
            </w:pPr>
            <w:r>
              <w:t>122.97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用于支付自筹人员工资。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30.73</w:t>
            </w:r>
          </w:p>
        </w:tc>
        <w:tc>
          <w:tcPr>
            <w:tcW w:w="2835" w:type="dxa"/>
            <w:vAlign w:val="center"/>
          </w:tcPr>
          <w:p>
            <w:pPr>
              <w:pStyle w:val="14"/>
            </w:pPr>
            <w:r>
              <w:t>61.45</w:t>
            </w:r>
          </w:p>
        </w:tc>
        <w:tc>
          <w:tcPr>
            <w:tcW w:w="2551" w:type="dxa"/>
            <w:vAlign w:val="center"/>
          </w:tcPr>
          <w:p>
            <w:pPr>
              <w:pStyle w:val="14"/>
            </w:pPr>
            <w:r>
              <w:t>92.18</w:t>
            </w:r>
          </w:p>
        </w:tc>
        <w:tc>
          <w:tcPr>
            <w:tcW w:w="3544" w:type="dxa"/>
            <w:gridSpan w:val="2"/>
            <w:vAlign w:val="center"/>
          </w:tcPr>
          <w:p>
            <w:pPr>
              <w:pStyle w:val="14"/>
            </w:pPr>
            <w:r>
              <w:t>122.97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1.用于支付自筹人员工资。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发放自筹人员工资的人数</w:t>
            </w:r>
          </w:p>
        </w:tc>
        <w:tc>
          <w:tcPr>
            <w:tcW w:w="5386" w:type="dxa"/>
            <w:vAlign w:val="center"/>
          </w:tcPr>
          <w:p>
            <w:pPr>
              <w:pStyle w:val="13"/>
            </w:pPr>
            <w:r>
              <w:t>发放自筹人员工资的人数</w:t>
            </w:r>
          </w:p>
        </w:tc>
        <w:tc>
          <w:tcPr>
            <w:tcW w:w="2268" w:type="dxa"/>
            <w:vAlign w:val="center"/>
          </w:tcPr>
          <w:p>
            <w:pPr>
              <w:pStyle w:val="13"/>
            </w:pPr>
            <w:r>
              <w:t>56人</w:t>
            </w:r>
          </w:p>
        </w:tc>
        <w:tc>
          <w:tcPr>
            <w:tcW w:w="1276" w:type="dxa"/>
            <w:vAlign w:val="center"/>
          </w:tcPr>
          <w:p>
            <w:pPr>
              <w:pStyle w:val="13"/>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自筹人员工资的发放率</w:t>
            </w:r>
          </w:p>
        </w:tc>
        <w:tc>
          <w:tcPr>
            <w:tcW w:w="5386" w:type="dxa"/>
            <w:vAlign w:val="center"/>
          </w:tcPr>
          <w:p>
            <w:pPr>
              <w:pStyle w:val="13"/>
            </w:pPr>
            <w:r>
              <w:t>自筹人员工资的发放率</w:t>
            </w:r>
          </w:p>
        </w:tc>
        <w:tc>
          <w:tcPr>
            <w:tcW w:w="2268" w:type="dxa"/>
            <w:vAlign w:val="center"/>
          </w:tcPr>
          <w:p>
            <w:pPr>
              <w:pStyle w:val="13"/>
            </w:pPr>
            <w:r>
              <w:t>100百分比</w:t>
            </w:r>
          </w:p>
        </w:tc>
        <w:tc>
          <w:tcPr>
            <w:tcW w:w="1276" w:type="dxa"/>
            <w:vAlign w:val="center"/>
          </w:tcPr>
          <w:p>
            <w:pPr>
              <w:pStyle w:val="13"/>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自筹人员工资在每月月底前发放</w:t>
            </w:r>
          </w:p>
        </w:tc>
        <w:tc>
          <w:tcPr>
            <w:tcW w:w="5386" w:type="dxa"/>
            <w:vAlign w:val="center"/>
          </w:tcPr>
          <w:p>
            <w:pPr>
              <w:pStyle w:val="13"/>
            </w:pPr>
            <w:r>
              <w:t>自筹人员工资在每月月底前发放</w:t>
            </w:r>
          </w:p>
        </w:tc>
        <w:tc>
          <w:tcPr>
            <w:tcW w:w="2268" w:type="dxa"/>
            <w:vAlign w:val="center"/>
          </w:tcPr>
          <w:p>
            <w:pPr>
              <w:pStyle w:val="13"/>
            </w:pPr>
            <w:r>
              <w:t>自筹人员工资在每月月底前发放</w:t>
            </w:r>
          </w:p>
        </w:tc>
        <w:tc>
          <w:tcPr>
            <w:tcW w:w="1276" w:type="dxa"/>
            <w:vAlign w:val="center"/>
          </w:tcPr>
          <w:p>
            <w:pPr>
              <w:pStyle w:val="13"/>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自筹人员每人每月工资</w:t>
            </w:r>
          </w:p>
        </w:tc>
        <w:tc>
          <w:tcPr>
            <w:tcW w:w="5386" w:type="dxa"/>
            <w:vAlign w:val="center"/>
          </w:tcPr>
          <w:p>
            <w:pPr>
              <w:pStyle w:val="13"/>
            </w:pPr>
            <w:r>
              <w:t>自筹人员每人每月工资</w:t>
            </w:r>
          </w:p>
        </w:tc>
        <w:tc>
          <w:tcPr>
            <w:tcW w:w="2268" w:type="dxa"/>
            <w:vAlign w:val="center"/>
          </w:tcPr>
          <w:p>
            <w:pPr>
              <w:pStyle w:val="13"/>
            </w:pPr>
            <w:r>
              <w:t>≤2765元</w:t>
            </w:r>
          </w:p>
        </w:tc>
        <w:tc>
          <w:tcPr>
            <w:tcW w:w="1276" w:type="dxa"/>
            <w:vAlign w:val="center"/>
          </w:tcPr>
          <w:p>
            <w:pPr>
              <w:pStyle w:val="13"/>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提高工作效率</w:t>
            </w:r>
          </w:p>
        </w:tc>
        <w:tc>
          <w:tcPr>
            <w:tcW w:w="1276" w:type="dxa"/>
            <w:vAlign w:val="center"/>
          </w:tcPr>
          <w:p>
            <w:pPr>
              <w:pStyle w:val="13"/>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保障日常办公</w:t>
            </w:r>
          </w:p>
        </w:tc>
        <w:tc>
          <w:tcPr>
            <w:tcW w:w="5386" w:type="dxa"/>
            <w:vAlign w:val="center"/>
          </w:tcPr>
          <w:p>
            <w:pPr>
              <w:pStyle w:val="13"/>
            </w:pPr>
            <w:r>
              <w:t>保障日常办公</w:t>
            </w:r>
          </w:p>
        </w:tc>
        <w:tc>
          <w:tcPr>
            <w:tcW w:w="2268" w:type="dxa"/>
            <w:vAlign w:val="center"/>
          </w:tcPr>
          <w:p>
            <w:pPr>
              <w:pStyle w:val="13"/>
            </w:pPr>
            <w:r>
              <w:t>保障日常办公</w:t>
            </w:r>
          </w:p>
        </w:tc>
        <w:tc>
          <w:tcPr>
            <w:tcW w:w="1276" w:type="dxa"/>
            <w:vAlign w:val="center"/>
          </w:tcPr>
          <w:p>
            <w:pPr>
              <w:pStyle w:val="13"/>
            </w:pPr>
            <w:r>
              <w:t>保障日常办公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工作人员的满意度</w:t>
            </w:r>
          </w:p>
        </w:tc>
        <w:tc>
          <w:tcPr>
            <w:tcW w:w="5386" w:type="dxa"/>
            <w:vAlign w:val="center"/>
          </w:tcPr>
          <w:p>
            <w:pPr>
              <w:pStyle w:val="13"/>
            </w:pPr>
            <w:r>
              <w:t>工作人员的满意度</w:t>
            </w:r>
          </w:p>
        </w:tc>
        <w:tc>
          <w:tcPr>
            <w:tcW w:w="2268" w:type="dxa"/>
            <w:vAlign w:val="center"/>
          </w:tcPr>
          <w:p>
            <w:pPr>
              <w:pStyle w:val="13"/>
            </w:pPr>
            <w:r>
              <w:t>100百分比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7、漳河店镇信访经费绩效目标表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13042426P00003510010C</w:t>
            </w:r>
          </w:p>
        </w:tc>
        <w:tc>
          <w:tcPr>
            <w:tcW w:w="2835" w:type="dxa"/>
            <w:vAlign w:val="center"/>
          </w:tcPr>
          <w:p>
            <w:pPr>
              <w:pStyle w:val="11"/>
            </w:pPr>
            <w:r>
              <w:t>项目名称</w:t>
            </w:r>
          </w:p>
        </w:tc>
        <w:tc>
          <w:tcPr>
            <w:tcW w:w="6095" w:type="dxa"/>
            <w:gridSpan w:val="3"/>
            <w:vAlign w:val="center"/>
          </w:tcPr>
          <w:p>
            <w:pPr>
              <w:pStyle w:val="13"/>
            </w:pPr>
            <w:r>
              <w:t>漳河店镇信访经费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用于信访工作经费， 保证正常运转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11.25</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1.用于信访工作经费.保证正常运转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督办信访案件数</w:t>
            </w:r>
          </w:p>
        </w:tc>
        <w:tc>
          <w:tcPr>
            <w:tcW w:w="5386" w:type="dxa"/>
            <w:vAlign w:val="center"/>
          </w:tcPr>
          <w:p>
            <w:pPr>
              <w:pStyle w:val="13"/>
            </w:pPr>
            <w:r>
              <w:t>处理信访事务数量</w:t>
            </w:r>
          </w:p>
        </w:tc>
        <w:tc>
          <w:tcPr>
            <w:tcW w:w="2268" w:type="dxa"/>
            <w:vAlign w:val="center"/>
          </w:tcPr>
          <w:p>
            <w:pPr>
              <w:pStyle w:val="13"/>
            </w:pPr>
            <w:r>
              <w:t>≥15件</w:t>
            </w:r>
          </w:p>
        </w:tc>
        <w:tc>
          <w:tcPr>
            <w:tcW w:w="1276" w:type="dxa"/>
            <w:vAlign w:val="center"/>
          </w:tcPr>
          <w:p>
            <w:pPr>
              <w:pStyle w:val="13"/>
            </w:pPr>
            <w:r>
              <w:t>实际处理信访事务数量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群众信访工作及时完成率</w:t>
            </w:r>
          </w:p>
        </w:tc>
        <w:tc>
          <w:tcPr>
            <w:tcW w:w="2268" w:type="dxa"/>
            <w:vAlign w:val="center"/>
          </w:tcPr>
          <w:p>
            <w:pPr>
              <w:pStyle w:val="13"/>
            </w:pPr>
            <w:r>
              <w:t>100百分比</w:t>
            </w:r>
          </w:p>
        </w:tc>
        <w:tc>
          <w:tcPr>
            <w:tcW w:w="1276" w:type="dxa"/>
            <w:vAlign w:val="center"/>
          </w:tcPr>
          <w:p>
            <w:pPr>
              <w:pStyle w:val="13"/>
            </w:pPr>
            <w:r>
              <w:t>实际处理信访事务时间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处理信访事务必须在10日内办结</w:t>
            </w:r>
          </w:p>
        </w:tc>
        <w:tc>
          <w:tcPr>
            <w:tcW w:w="2268" w:type="dxa"/>
            <w:vAlign w:val="center"/>
          </w:tcPr>
          <w:p>
            <w:pPr>
              <w:pStyle w:val="13"/>
            </w:pPr>
            <w:r>
              <w:t>&lt;10日</w:t>
            </w:r>
          </w:p>
        </w:tc>
        <w:tc>
          <w:tcPr>
            <w:tcW w:w="1276" w:type="dxa"/>
            <w:vAlign w:val="center"/>
          </w:tcPr>
          <w:p>
            <w:pPr>
              <w:pStyle w:val="13"/>
            </w:pPr>
            <w:r>
              <w:t>实际处理事务所需时间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处理各项信访事务资金控制金额</w:t>
            </w:r>
          </w:p>
        </w:tc>
        <w:tc>
          <w:tcPr>
            <w:tcW w:w="2268" w:type="dxa"/>
            <w:vAlign w:val="center"/>
          </w:tcPr>
          <w:p>
            <w:pPr>
              <w:pStyle w:val="13"/>
            </w:pPr>
            <w:r>
              <w:t>≤1万</w:t>
            </w:r>
          </w:p>
        </w:tc>
        <w:tc>
          <w:tcPr>
            <w:tcW w:w="1276" w:type="dxa"/>
            <w:vAlign w:val="center"/>
          </w:tcPr>
          <w:p>
            <w:pPr>
              <w:pStyle w:val="13"/>
            </w:pPr>
            <w:r>
              <w:t>实际处理信访事务耗费资金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保障社会稳定性</w:t>
            </w:r>
          </w:p>
        </w:tc>
        <w:tc>
          <w:tcPr>
            <w:tcW w:w="2268" w:type="dxa"/>
            <w:vAlign w:val="center"/>
          </w:tcPr>
          <w:p>
            <w:pPr>
              <w:pStyle w:val="13"/>
            </w:pPr>
            <w:r>
              <w:t>保障社会稳定性</w:t>
            </w:r>
          </w:p>
        </w:tc>
        <w:tc>
          <w:tcPr>
            <w:tcW w:w="1276" w:type="dxa"/>
            <w:vAlign w:val="center"/>
          </w:tcPr>
          <w:p>
            <w:pPr>
              <w:pStyle w:val="13"/>
            </w:pPr>
            <w:r>
              <w:t>保障社会稳定性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可持续降低群众上访数量，保证社会稳定。</w:t>
            </w:r>
          </w:p>
        </w:tc>
        <w:tc>
          <w:tcPr>
            <w:tcW w:w="2268" w:type="dxa"/>
            <w:vAlign w:val="center"/>
          </w:tcPr>
          <w:p>
            <w:pPr>
              <w:pStyle w:val="13"/>
            </w:pPr>
            <w:r>
              <w:t>可持续降低群众上访数量，保证社会稳定。</w:t>
            </w:r>
          </w:p>
        </w:tc>
        <w:tc>
          <w:tcPr>
            <w:tcW w:w="1276" w:type="dxa"/>
            <w:vAlign w:val="center"/>
          </w:tcPr>
          <w:p>
            <w:pPr>
              <w:pStyle w:val="13"/>
            </w:pPr>
            <w:r>
              <w:t>可持续降低群众上访数量，保证社会稳定。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≥96百分比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804成安县漳河店镇政府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highlight w:val="none"/>
        </w:rPr>
      </w:pPr>
      <w:r>
        <w:rPr>
          <w:rFonts w:ascii="方正书宋_GBK" w:hAnsi="方正书宋_GBK" w:eastAsia="方正书宋_GBK" w:cs="方正书宋_GBK"/>
          <w:color w:val="000000"/>
          <w:sz w:val="21"/>
        </w:rPr>
        <w:t>注：无政府采购预算，空表列示。</w:t>
      </w:r>
      <w:r>
        <w:rPr>
          <w:rFonts w:ascii="Times New Roman" w:hAnsi="Times New Roman" w:eastAsia="方正仿宋_GBK" w:cs="Times New Roman"/>
          <w:color w:val="000000"/>
          <w:sz w:val="32"/>
          <w:highlight w:val="none"/>
        </w:rPr>
        <w:t xml:space="preserve"> </w:t>
      </w:r>
    </w:p>
    <w:p>
      <w:pPr>
        <w:shd w:val="clea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成安县漳河店镇政府（含所属单位）上年末固定资产金额为</w:t>
      </w:r>
      <w:r>
        <w:rPr>
          <w:rFonts w:hint="eastAsia" w:eastAsia="方正仿宋_GBK" w:cs="Times New Roman"/>
          <w:b w:val="0"/>
          <w:color w:val="000000"/>
          <w:sz w:val="28"/>
          <w:lang w:val="en-US" w:eastAsia="zh-CN"/>
        </w:rPr>
        <w:t>476</w:t>
      </w:r>
      <w:r>
        <w:rPr>
          <w:rFonts w:ascii="Times New Roman" w:hAnsi="Times New Roman" w:eastAsia="方正仿宋_GBK" w:cs="Times New Roman"/>
          <w:b w:val="0"/>
          <w:color w:val="000000"/>
          <w:sz w:val="28"/>
        </w:rPr>
        <w:t>万元。本年度拟购置固定资产总额为0.00万元，已按要求列入政府采购预算，详见政府采购预算表。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804001成安县漳河店镇政府机关本级</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asciiTheme="minorEastAsia" w:hAnsiTheme="minorEastAsia" w:eastAsiaTheme="minorEastAsia"/>
                <w:lang w:val="en-US" w:eastAsia="zh-CN"/>
              </w:rPr>
              <w:t>5</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资产总额</w:t>
            </w:r>
          </w:p>
        </w:tc>
        <w:tc>
          <w:tcPr>
            <w:tcW w:w="4933" w:type="dxa"/>
            <w:vAlign w:val="center"/>
          </w:tcPr>
          <w:p>
            <w:pPr>
              <w:pStyle w:val="14"/>
            </w:pPr>
            <w:r>
              <w:rPr>
                <w:rFonts w:hint="eastAsia"/>
              </w:rPr>
              <w:t>——</w:t>
            </w:r>
          </w:p>
        </w:tc>
        <w:tc>
          <w:tcPr>
            <w:tcW w:w="4933" w:type="dxa"/>
            <w:vAlign w:val="center"/>
          </w:tcPr>
          <w:p>
            <w:pPr>
              <w:pStyle w:val="12"/>
              <w:jc w:val="center"/>
              <w:rPr>
                <w:rFonts w:hint="default" w:eastAsia="方正书宋_GBK"/>
                <w:lang w:val="en-US" w:eastAsia="zh-CN"/>
              </w:rPr>
            </w:pPr>
            <w:r>
              <w:rPr>
                <w:rFonts w:hint="eastAsia"/>
                <w:lang w:val="en-US" w:eastAsia="zh-CN"/>
              </w:rP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rPr>
                <w:rFonts w:hint="eastAsia"/>
              </w:rPr>
              <w:t>1、房屋（平方米）</w:t>
            </w:r>
          </w:p>
        </w:tc>
        <w:tc>
          <w:tcPr>
            <w:tcW w:w="4933" w:type="dxa"/>
            <w:vAlign w:val="center"/>
          </w:tcPr>
          <w:p>
            <w:pPr>
              <w:pStyle w:val="14"/>
            </w:pPr>
            <w:r>
              <w:rPr>
                <w:rFonts w:hint="eastAsia"/>
              </w:rPr>
              <w:t>1500</w:t>
            </w:r>
          </w:p>
        </w:tc>
        <w:tc>
          <w:tcPr>
            <w:tcW w:w="4933" w:type="dxa"/>
            <w:vAlign w:val="center"/>
          </w:tcPr>
          <w:p>
            <w:pPr>
              <w:pStyle w:val="12"/>
              <w:jc w:val="center"/>
              <w:rPr>
                <w:rFonts w:hint="default" w:eastAsia="方正书宋_GBK"/>
                <w:lang w:val="en-US" w:eastAsia="zh-CN"/>
              </w:rPr>
            </w:pPr>
            <w:r>
              <w:rPr>
                <w:rFonts w:hint="eastAsia"/>
                <w:lang w:val="en-US" w:eastAsia="zh-CN"/>
              </w:rP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rPr>
                <w:rFonts w:hint="eastAsia"/>
              </w:rPr>
              <w:t>其中：办公用房（平方米）</w:t>
            </w:r>
          </w:p>
        </w:tc>
        <w:tc>
          <w:tcPr>
            <w:tcW w:w="4933" w:type="dxa"/>
            <w:vAlign w:val="center"/>
          </w:tcPr>
          <w:p>
            <w:pPr>
              <w:pStyle w:val="14"/>
            </w:pPr>
            <w:r>
              <w:rPr>
                <w:rFonts w:hint="eastAsia"/>
              </w:rPr>
              <w:t>1500</w:t>
            </w:r>
          </w:p>
        </w:tc>
        <w:tc>
          <w:tcPr>
            <w:tcW w:w="4933" w:type="dxa"/>
            <w:vAlign w:val="center"/>
          </w:tcPr>
          <w:p>
            <w:pPr>
              <w:pStyle w:val="12"/>
              <w:jc w:val="center"/>
              <w:rPr>
                <w:rFonts w:hint="default" w:eastAsia="方正书宋_GBK"/>
                <w:lang w:val="en-US" w:eastAsia="zh-CN"/>
              </w:rPr>
            </w:pPr>
            <w:r>
              <w:rPr>
                <w:rFonts w:hint="eastAsia"/>
                <w:lang w:val="en-US" w:eastAsia="zh-CN"/>
              </w:rP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sz w:val="22"/>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sz w:val="22"/>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0</w:t>
            </w:r>
          </w:p>
        </w:tc>
        <w:tc>
          <w:tcPr>
            <w:tcW w:w="4933"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宋体" w:hAnsi="宋体"/>
                <w:sz w:val="22"/>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118</w:t>
            </w:r>
          </w:p>
        </w:tc>
        <w:tc>
          <w:tcPr>
            <w:tcW w:w="493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165</w:t>
            </w:r>
          </w:p>
        </w:tc>
      </w:tr>
    </w:tbl>
    <w:p>
      <w:pPr>
        <w:spacing w:before="0" w:after="0" w:line="240" w:lineRule="auto"/>
        <w:ind w:firstLine="420"/>
        <w:jc w:val="left"/>
        <w:outlineLvl w:val="9"/>
      </w:pPr>
      <w:bookmarkStart w:id="20" w:name="_GoBack"/>
      <w:bookmarkEnd w:id="20"/>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78618"/>
    <w:multiLevelType w:val="singleLevel"/>
    <w:tmpl w:val="7FD7861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EDF15E8"/>
    <w:rsid w:val="7EFF35F5"/>
    <w:rsid w:val="FCFEA9A7"/>
    <w:rsid w:val="FFEF8C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TotalTime>1</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2026-03-06T23:56:00Z</dcterms:created>
  <dc:creator>user</dc:creator>
  <cp:lastModifiedBy>阳光点点</cp:lastModifiedBy>
  <cp:lastPrinted>2026-03-06T16:26:00Z</cp:lastPrinted>
  <dcterms:modified xsi:type="dcterms:W3CDTF">2026-03-06T09:08:03Z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AD40CE53601ABF09893EA969A233CD95</vt:lpwstr>
  </property>
</Properties>
</file>