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9</w:t>
      </w:r>
    </w:p>
    <w:p>
      <w:pPr>
        <w:pStyle w:val="3"/>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end"/>
      </w:r>
      <w:r>
        <w:rPr>
          <w:rFonts w:hint="eastAsia"/>
          <w:lang w:val="en-US" w:eastAsia="zh-CN"/>
        </w:rPr>
        <w:t>10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bookmarkStart w:id="20" w:name="_GoBack"/>
      <w:bookmarkEnd w:id="20"/>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fldChar w:fldCharType="end"/>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w:t>
      </w:r>
      <w:r>
        <w:fldChar w:fldCharType="end"/>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w:t>
      </w:r>
      <w:r>
        <w:fldChar w:fldCharType="end"/>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19</w:t>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20</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30.72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30.72</w:t>
            </w:r>
          </w:p>
        </w:tc>
        <w:tc>
          <w:tcPr>
            <w:tcW w:w="4535" w:type="dxa"/>
            <w:vAlign w:val="center"/>
          </w:tcPr>
          <w:p>
            <w:pPr>
              <w:pStyle w:val="15"/>
            </w:pPr>
            <w:r>
              <w:t>本年支出合计</w:t>
            </w:r>
          </w:p>
        </w:tc>
        <w:tc>
          <w:tcPr>
            <w:tcW w:w="2126" w:type="dxa"/>
            <w:vAlign w:val="center"/>
          </w:tcPr>
          <w:p>
            <w:pPr>
              <w:pStyle w:val="16"/>
            </w:pPr>
            <w:r>
              <w:t>30.72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30.72</w:t>
            </w:r>
          </w:p>
        </w:tc>
        <w:tc>
          <w:tcPr>
            <w:tcW w:w="4535" w:type="dxa"/>
            <w:vAlign w:val="center"/>
          </w:tcPr>
          <w:p>
            <w:pPr>
              <w:pStyle w:val="15"/>
            </w:pPr>
            <w:r>
              <w:t>支出总计</w:t>
            </w:r>
          </w:p>
        </w:tc>
        <w:tc>
          <w:tcPr>
            <w:tcW w:w="2126" w:type="dxa"/>
            <w:vAlign w:val="center"/>
          </w:tcPr>
          <w:p>
            <w:pPr>
              <w:pStyle w:val="16"/>
            </w:pPr>
            <w:r>
              <w:t>30.72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39"/>
        <w:gridCol w:w="1590"/>
        <w:gridCol w:w="956"/>
        <w:gridCol w:w="1134"/>
        <w:gridCol w:w="1134"/>
        <w:gridCol w:w="931"/>
        <w:gridCol w:w="1245"/>
        <w:gridCol w:w="1080"/>
        <w:gridCol w:w="1170"/>
        <w:gridCol w:w="124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3310"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76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729" w:type="dxa"/>
            <w:gridSpan w:val="2"/>
            <w:vAlign w:val="center"/>
          </w:tcPr>
          <w:p>
            <w:pPr>
              <w:pStyle w:val="11"/>
            </w:pPr>
            <w:r>
              <w:t>功能分类科目</w:t>
            </w:r>
          </w:p>
        </w:tc>
        <w:tc>
          <w:tcPr>
            <w:tcW w:w="956"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39" w:type="dxa"/>
            <w:vAlign w:val="center"/>
          </w:tcPr>
          <w:p>
            <w:pPr>
              <w:pStyle w:val="11"/>
            </w:pPr>
            <w:r>
              <w:t>科目    编码</w:t>
            </w:r>
          </w:p>
        </w:tc>
        <w:tc>
          <w:tcPr>
            <w:tcW w:w="1590" w:type="dxa"/>
            <w:vAlign w:val="center"/>
          </w:tcPr>
          <w:p>
            <w:pPr>
              <w:pStyle w:val="11"/>
            </w:pPr>
            <w:r>
              <w:t>科目名称</w:t>
            </w:r>
          </w:p>
        </w:tc>
        <w:tc>
          <w:tcPr>
            <w:tcW w:w="956"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931" w:type="dxa"/>
            <w:vAlign w:val="center"/>
          </w:tcPr>
          <w:p>
            <w:pPr>
              <w:pStyle w:val="11"/>
            </w:pPr>
            <w:r>
              <w:t>财政专户 收入</w:t>
            </w:r>
          </w:p>
        </w:tc>
        <w:tc>
          <w:tcPr>
            <w:tcW w:w="1245" w:type="dxa"/>
            <w:vAlign w:val="center"/>
          </w:tcPr>
          <w:p>
            <w:pPr>
              <w:pStyle w:val="11"/>
            </w:pPr>
            <w:r>
              <w:t>事业收入</w:t>
            </w:r>
          </w:p>
        </w:tc>
        <w:tc>
          <w:tcPr>
            <w:tcW w:w="1080" w:type="dxa"/>
            <w:vAlign w:val="center"/>
          </w:tcPr>
          <w:p>
            <w:pPr>
              <w:pStyle w:val="11"/>
            </w:pPr>
            <w:r>
              <w:t>经营收入</w:t>
            </w:r>
          </w:p>
        </w:tc>
        <w:tc>
          <w:tcPr>
            <w:tcW w:w="1170" w:type="dxa"/>
            <w:vAlign w:val="center"/>
          </w:tcPr>
          <w:p>
            <w:pPr>
              <w:pStyle w:val="11"/>
            </w:pPr>
            <w:r>
              <w:t>上级补助收入</w:t>
            </w:r>
          </w:p>
        </w:tc>
        <w:tc>
          <w:tcPr>
            <w:tcW w:w="124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39" w:type="dxa"/>
            <w:vAlign w:val="center"/>
          </w:tcPr>
          <w:p>
            <w:pPr>
              <w:pStyle w:val="11"/>
            </w:pPr>
            <w:r>
              <w:t>1</w:t>
            </w:r>
          </w:p>
        </w:tc>
        <w:tc>
          <w:tcPr>
            <w:tcW w:w="1590" w:type="dxa"/>
            <w:vAlign w:val="center"/>
          </w:tcPr>
          <w:p>
            <w:pPr>
              <w:pStyle w:val="11"/>
            </w:pPr>
            <w:r>
              <w:t>2</w:t>
            </w:r>
          </w:p>
        </w:tc>
        <w:tc>
          <w:tcPr>
            <w:tcW w:w="956"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931" w:type="dxa"/>
            <w:vAlign w:val="center"/>
          </w:tcPr>
          <w:p>
            <w:pPr>
              <w:pStyle w:val="11"/>
            </w:pPr>
            <w:r>
              <w:t>6</w:t>
            </w:r>
          </w:p>
        </w:tc>
        <w:tc>
          <w:tcPr>
            <w:tcW w:w="1245" w:type="dxa"/>
            <w:vAlign w:val="center"/>
          </w:tcPr>
          <w:p>
            <w:pPr>
              <w:pStyle w:val="11"/>
            </w:pPr>
            <w:r>
              <w:t>7</w:t>
            </w:r>
          </w:p>
        </w:tc>
        <w:tc>
          <w:tcPr>
            <w:tcW w:w="1080" w:type="dxa"/>
            <w:vAlign w:val="center"/>
          </w:tcPr>
          <w:p>
            <w:pPr>
              <w:pStyle w:val="11"/>
            </w:pPr>
            <w:r>
              <w:t>8</w:t>
            </w:r>
          </w:p>
        </w:tc>
        <w:tc>
          <w:tcPr>
            <w:tcW w:w="1170" w:type="dxa"/>
            <w:vAlign w:val="center"/>
          </w:tcPr>
          <w:p>
            <w:pPr>
              <w:pStyle w:val="11"/>
            </w:pPr>
            <w:r>
              <w:t>9</w:t>
            </w:r>
          </w:p>
        </w:tc>
        <w:tc>
          <w:tcPr>
            <w:tcW w:w="124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1139" w:type="dxa"/>
            <w:vAlign w:val="center"/>
          </w:tcPr>
          <w:p>
            <w:pPr>
              <w:pStyle w:val="17"/>
            </w:pPr>
          </w:p>
        </w:tc>
        <w:tc>
          <w:tcPr>
            <w:tcW w:w="1590" w:type="dxa"/>
            <w:vAlign w:val="center"/>
          </w:tcPr>
          <w:p>
            <w:pPr>
              <w:pStyle w:val="15"/>
            </w:pPr>
            <w:r>
              <w:t>合计</w:t>
            </w:r>
          </w:p>
        </w:tc>
        <w:tc>
          <w:tcPr>
            <w:tcW w:w="956" w:type="dxa"/>
            <w:vAlign w:val="center"/>
          </w:tcPr>
          <w:p>
            <w:pPr>
              <w:pStyle w:val="16"/>
            </w:pPr>
            <w:r>
              <w:t>30.72</w:t>
            </w:r>
          </w:p>
        </w:tc>
        <w:tc>
          <w:tcPr>
            <w:tcW w:w="1134" w:type="dxa"/>
            <w:vAlign w:val="center"/>
          </w:tcPr>
          <w:p>
            <w:pPr>
              <w:pStyle w:val="16"/>
            </w:pPr>
            <w:r>
              <w:t>30.72</w:t>
            </w:r>
          </w:p>
        </w:tc>
        <w:tc>
          <w:tcPr>
            <w:tcW w:w="1134" w:type="dxa"/>
            <w:vAlign w:val="center"/>
          </w:tcPr>
          <w:p>
            <w:pPr>
              <w:pStyle w:val="16"/>
            </w:pPr>
            <w:r>
              <w:t>30.72</w:t>
            </w:r>
          </w:p>
        </w:tc>
        <w:tc>
          <w:tcPr>
            <w:tcW w:w="931" w:type="dxa"/>
            <w:vAlign w:val="center"/>
          </w:tcPr>
          <w:p>
            <w:pPr>
              <w:pStyle w:val="16"/>
            </w:pPr>
          </w:p>
        </w:tc>
        <w:tc>
          <w:tcPr>
            <w:tcW w:w="1245" w:type="dxa"/>
            <w:vAlign w:val="center"/>
          </w:tcPr>
          <w:p>
            <w:pPr>
              <w:pStyle w:val="16"/>
            </w:pPr>
          </w:p>
        </w:tc>
        <w:tc>
          <w:tcPr>
            <w:tcW w:w="1080" w:type="dxa"/>
            <w:vAlign w:val="center"/>
          </w:tcPr>
          <w:p>
            <w:pPr>
              <w:pStyle w:val="16"/>
            </w:pPr>
          </w:p>
        </w:tc>
        <w:tc>
          <w:tcPr>
            <w:tcW w:w="1170" w:type="dxa"/>
            <w:vAlign w:val="center"/>
          </w:tcPr>
          <w:p>
            <w:pPr>
              <w:pStyle w:val="16"/>
            </w:pPr>
          </w:p>
        </w:tc>
        <w:tc>
          <w:tcPr>
            <w:tcW w:w="124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1139" w:type="dxa"/>
            <w:vAlign w:val="center"/>
          </w:tcPr>
          <w:p>
            <w:pPr>
              <w:pStyle w:val="13"/>
            </w:pPr>
            <w:r>
              <w:t>207</w:t>
            </w:r>
          </w:p>
        </w:tc>
        <w:tc>
          <w:tcPr>
            <w:tcW w:w="1590" w:type="dxa"/>
            <w:vAlign w:val="center"/>
          </w:tcPr>
          <w:p>
            <w:pPr>
              <w:pStyle w:val="13"/>
            </w:pPr>
            <w:r>
              <w:t>文化旅游体育与传媒支出</w:t>
            </w:r>
          </w:p>
        </w:tc>
        <w:tc>
          <w:tcPr>
            <w:tcW w:w="956" w:type="dxa"/>
            <w:vAlign w:val="center"/>
          </w:tcPr>
          <w:p>
            <w:pPr>
              <w:pStyle w:val="12"/>
            </w:pPr>
            <w:r>
              <w:t>25.05</w:t>
            </w:r>
          </w:p>
        </w:tc>
        <w:tc>
          <w:tcPr>
            <w:tcW w:w="1134" w:type="dxa"/>
            <w:vAlign w:val="center"/>
          </w:tcPr>
          <w:p>
            <w:pPr>
              <w:pStyle w:val="12"/>
            </w:pPr>
            <w:r>
              <w:t>25.05</w:t>
            </w:r>
          </w:p>
        </w:tc>
        <w:tc>
          <w:tcPr>
            <w:tcW w:w="1134" w:type="dxa"/>
            <w:vAlign w:val="center"/>
          </w:tcPr>
          <w:p>
            <w:pPr>
              <w:pStyle w:val="12"/>
            </w:pPr>
            <w:r>
              <w:t>25.05</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1139" w:type="dxa"/>
            <w:vAlign w:val="center"/>
          </w:tcPr>
          <w:p>
            <w:pPr>
              <w:pStyle w:val="13"/>
            </w:pPr>
            <w:r>
              <w:t>20701</w:t>
            </w:r>
          </w:p>
        </w:tc>
        <w:tc>
          <w:tcPr>
            <w:tcW w:w="1590" w:type="dxa"/>
            <w:vAlign w:val="center"/>
          </w:tcPr>
          <w:p>
            <w:pPr>
              <w:pStyle w:val="13"/>
            </w:pPr>
            <w:r>
              <w:t>文化和旅游</w:t>
            </w:r>
          </w:p>
        </w:tc>
        <w:tc>
          <w:tcPr>
            <w:tcW w:w="956" w:type="dxa"/>
            <w:vAlign w:val="center"/>
          </w:tcPr>
          <w:p>
            <w:pPr>
              <w:pStyle w:val="12"/>
            </w:pPr>
            <w:r>
              <w:t>25.05</w:t>
            </w:r>
          </w:p>
        </w:tc>
        <w:tc>
          <w:tcPr>
            <w:tcW w:w="1134" w:type="dxa"/>
            <w:vAlign w:val="center"/>
          </w:tcPr>
          <w:p>
            <w:pPr>
              <w:pStyle w:val="12"/>
            </w:pPr>
            <w:r>
              <w:t>25.05</w:t>
            </w:r>
          </w:p>
        </w:tc>
        <w:tc>
          <w:tcPr>
            <w:tcW w:w="1134" w:type="dxa"/>
            <w:vAlign w:val="center"/>
          </w:tcPr>
          <w:p>
            <w:pPr>
              <w:pStyle w:val="12"/>
            </w:pPr>
            <w:r>
              <w:t>25.05</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1139" w:type="dxa"/>
            <w:vAlign w:val="center"/>
          </w:tcPr>
          <w:p>
            <w:pPr>
              <w:pStyle w:val="13"/>
            </w:pPr>
            <w:r>
              <w:t>2070101</w:t>
            </w:r>
          </w:p>
        </w:tc>
        <w:tc>
          <w:tcPr>
            <w:tcW w:w="1590" w:type="dxa"/>
            <w:vAlign w:val="center"/>
          </w:tcPr>
          <w:p>
            <w:pPr>
              <w:pStyle w:val="13"/>
            </w:pPr>
            <w:r>
              <w:t>行政运行</w:t>
            </w:r>
          </w:p>
        </w:tc>
        <w:tc>
          <w:tcPr>
            <w:tcW w:w="956" w:type="dxa"/>
            <w:vAlign w:val="center"/>
          </w:tcPr>
          <w:p>
            <w:pPr>
              <w:pStyle w:val="12"/>
            </w:pPr>
            <w:r>
              <w:t>25.05</w:t>
            </w:r>
          </w:p>
        </w:tc>
        <w:tc>
          <w:tcPr>
            <w:tcW w:w="1134" w:type="dxa"/>
            <w:vAlign w:val="center"/>
          </w:tcPr>
          <w:p>
            <w:pPr>
              <w:pStyle w:val="12"/>
            </w:pPr>
            <w:r>
              <w:t>25.05</w:t>
            </w:r>
          </w:p>
        </w:tc>
        <w:tc>
          <w:tcPr>
            <w:tcW w:w="1134" w:type="dxa"/>
            <w:vAlign w:val="center"/>
          </w:tcPr>
          <w:p>
            <w:pPr>
              <w:pStyle w:val="12"/>
            </w:pPr>
            <w:r>
              <w:t>25.05</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1139" w:type="dxa"/>
            <w:vAlign w:val="center"/>
          </w:tcPr>
          <w:p>
            <w:pPr>
              <w:pStyle w:val="13"/>
            </w:pPr>
            <w:r>
              <w:t>208</w:t>
            </w:r>
          </w:p>
        </w:tc>
        <w:tc>
          <w:tcPr>
            <w:tcW w:w="1590" w:type="dxa"/>
            <w:vAlign w:val="center"/>
          </w:tcPr>
          <w:p>
            <w:pPr>
              <w:pStyle w:val="13"/>
            </w:pPr>
            <w:r>
              <w:t>社会保障和就业支出</w:t>
            </w:r>
          </w:p>
        </w:tc>
        <w:tc>
          <w:tcPr>
            <w:tcW w:w="956" w:type="dxa"/>
            <w:vAlign w:val="center"/>
          </w:tcPr>
          <w:p>
            <w:pPr>
              <w:pStyle w:val="12"/>
            </w:pPr>
            <w:r>
              <w:t>2.57</w:t>
            </w:r>
          </w:p>
        </w:tc>
        <w:tc>
          <w:tcPr>
            <w:tcW w:w="1134" w:type="dxa"/>
            <w:vAlign w:val="center"/>
          </w:tcPr>
          <w:p>
            <w:pPr>
              <w:pStyle w:val="12"/>
            </w:pPr>
            <w:r>
              <w:t>2.57</w:t>
            </w:r>
          </w:p>
        </w:tc>
        <w:tc>
          <w:tcPr>
            <w:tcW w:w="1134" w:type="dxa"/>
            <w:vAlign w:val="center"/>
          </w:tcPr>
          <w:p>
            <w:pPr>
              <w:pStyle w:val="12"/>
            </w:pPr>
            <w:r>
              <w:t>2.57</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1139" w:type="dxa"/>
            <w:vAlign w:val="center"/>
          </w:tcPr>
          <w:p>
            <w:pPr>
              <w:pStyle w:val="13"/>
            </w:pPr>
            <w:r>
              <w:t>20805</w:t>
            </w:r>
          </w:p>
        </w:tc>
        <w:tc>
          <w:tcPr>
            <w:tcW w:w="1590" w:type="dxa"/>
            <w:vAlign w:val="center"/>
          </w:tcPr>
          <w:p>
            <w:pPr>
              <w:pStyle w:val="13"/>
            </w:pPr>
            <w:r>
              <w:t>行政事业单位养老支出</w:t>
            </w:r>
          </w:p>
        </w:tc>
        <w:tc>
          <w:tcPr>
            <w:tcW w:w="956" w:type="dxa"/>
            <w:vAlign w:val="center"/>
          </w:tcPr>
          <w:p>
            <w:pPr>
              <w:pStyle w:val="12"/>
            </w:pPr>
            <w:r>
              <w:t>2.49</w:t>
            </w:r>
          </w:p>
        </w:tc>
        <w:tc>
          <w:tcPr>
            <w:tcW w:w="1134" w:type="dxa"/>
            <w:vAlign w:val="center"/>
          </w:tcPr>
          <w:p>
            <w:pPr>
              <w:pStyle w:val="12"/>
            </w:pPr>
            <w:r>
              <w:t>2.49</w:t>
            </w:r>
          </w:p>
        </w:tc>
        <w:tc>
          <w:tcPr>
            <w:tcW w:w="1134" w:type="dxa"/>
            <w:vAlign w:val="center"/>
          </w:tcPr>
          <w:p>
            <w:pPr>
              <w:pStyle w:val="12"/>
            </w:pPr>
            <w:r>
              <w:t>2.49</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1139" w:type="dxa"/>
            <w:vAlign w:val="center"/>
          </w:tcPr>
          <w:p>
            <w:pPr>
              <w:pStyle w:val="13"/>
            </w:pPr>
            <w:r>
              <w:t>2080505</w:t>
            </w:r>
          </w:p>
        </w:tc>
        <w:tc>
          <w:tcPr>
            <w:tcW w:w="1590" w:type="dxa"/>
            <w:vAlign w:val="center"/>
          </w:tcPr>
          <w:p>
            <w:pPr>
              <w:pStyle w:val="13"/>
            </w:pPr>
            <w:r>
              <w:t>机关事业单位基本养老保险缴费支出</w:t>
            </w:r>
          </w:p>
        </w:tc>
        <w:tc>
          <w:tcPr>
            <w:tcW w:w="956" w:type="dxa"/>
            <w:vAlign w:val="center"/>
          </w:tcPr>
          <w:p>
            <w:pPr>
              <w:pStyle w:val="12"/>
            </w:pPr>
            <w:r>
              <w:t>2.49</w:t>
            </w:r>
          </w:p>
        </w:tc>
        <w:tc>
          <w:tcPr>
            <w:tcW w:w="1134" w:type="dxa"/>
            <w:vAlign w:val="center"/>
          </w:tcPr>
          <w:p>
            <w:pPr>
              <w:pStyle w:val="12"/>
            </w:pPr>
            <w:r>
              <w:t>2.49</w:t>
            </w:r>
          </w:p>
        </w:tc>
        <w:tc>
          <w:tcPr>
            <w:tcW w:w="1134" w:type="dxa"/>
            <w:vAlign w:val="center"/>
          </w:tcPr>
          <w:p>
            <w:pPr>
              <w:pStyle w:val="12"/>
            </w:pPr>
            <w:r>
              <w:t>2.49</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1139" w:type="dxa"/>
            <w:vAlign w:val="center"/>
          </w:tcPr>
          <w:p>
            <w:pPr>
              <w:pStyle w:val="13"/>
            </w:pPr>
            <w:r>
              <w:t>20827</w:t>
            </w:r>
          </w:p>
        </w:tc>
        <w:tc>
          <w:tcPr>
            <w:tcW w:w="1590" w:type="dxa"/>
            <w:vAlign w:val="center"/>
          </w:tcPr>
          <w:p>
            <w:pPr>
              <w:pStyle w:val="13"/>
            </w:pPr>
            <w:r>
              <w:t>财政对其他社会保险基金的补助</w:t>
            </w:r>
          </w:p>
        </w:tc>
        <w:tc>
          <w:tcPr>
            <w:tcW w:w="956" w:type="dxa"/>
            <w:vAlign w:val="center"/>
          </w:tcPr>
          <w:p>
            <w:pPr>
              <w:pStyle w:val="12"/>
            </w:pPr>
            <w:r>
              <w:t>0.08</w:t>
            </w:r>
          </w:p>
        </w:tc>
        <w:tc>
          <w:tcPr>
            <w:tcW w:w="1134" w:type="dxa"/>
            <w:vAlign w:val="center"/>
          </w:tcPr>
          <w:p>
            <w:pPr>
              <w:pStyle w:val="12"/>
            </w:pPr>
            <w:r>
              <w:t>0.08</w:t>
            </w:r>
          </w:p>
        </w:tc>
        <w:tc>
          <w:tcPr>
            <w:tcW w:w="1134" w:type="dxa"/>
            <w:vAlign w:val="center"/>
          </w:tcPr>
          <w:p>
            <w:pPr>
              <w:pStyle w:val="12"/>
            </w:pPr>
            <w:r>
              <w:t>0.08</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1139" w:type="dxa"/>
            <w:vAlign w:val="center"/>
          </w:tcPr>
          <w:p>
            <w:pPr>
              <w:pStyle w:val="13"/>
            </w:pPr>
            <w:r>
              <w:t>2082702</w:t>
            </w:r>
          </w:p>
        </w:tc>
        <w:tc>
          <w:tcPr>
            <w:tcW w:w="1590" w:type="dxa"/>
            <w:vAlign w:val="center"/>
          </w:tcPr>
          <w:p>
            <w:pPr>
              <w:pStyle w:val="13"/>
            </w:pPr>
            <w:r>
              <w:t>财政对工伤保险基金的补助</w:t>
            </w:r>
          </w:p>
        </w:tc>
        <w:tc>
          <w:tcPr>
            <w:tcW w:w="956" w:type="dxa"/>
            <w:vAlign w:val="center"/>
          </w:tcPr>
          <w:p>
            <w:pPr>
              <w:pStyle w:val="12"/>
            </w:pPr>
            <w:r>
              <w:t>0.08</w:t>
            </w:r>
          </w:p>
        </w:tc>
        <w:tc>
          <w:tcPr>
            <w:tcW w:w="1134" w:type="dxa"/>
            <w:vAlign w:val="center"/>
          </w:tcPr>
          <w:p>
            <w:pPr>
              <w:pStyle w:val="12"/>
            </w:pPr>
            <w:r>
              <w:t>0.08</w:t>
            </w:r>
          </w:p>
        </w:tc>
        <w:tc>
          <w:tcPr>
            <w:tcW w:w="1134" w:type="dxa"/>
            <w:vAlign w:val="center"/>
          </w:tcPr>
          <w:p>
            <w:pPr>
              <w:pStyle w:val="12"/>
            </w:pPr>
            <w:r>
              <w:t>0.08</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1139" w:type="dxa"/>
            <w:vAlign w:val="center"/>
          </w:tcPr>
          <w:p>
            <w:pPr>
              <w:pStyle w:val="13"/>
            </w:pPr>
            <w:r>
              <w:t>210</w:t>
            </w:r>
          </w:p>
        </w:tc>
        <w:tc>
          <w:tcPr>
            <w:tcW w:w="1590" w:type="dxa"/>
            <w:vAlign w:val="center"/>
          </w:tcPr>
          <w:p>
            <w:pPr>
              <w:pStyle w:val="13"/>
            </w:pPr>
            <w:r>
              <w:t>卫生健康支出</w:t>
            </w:r>
          </w:p>
        </w:tc>
        <w:tc>
          <w:tcPr>
            <w:tcW w:w="956" w:type="dxa"/>
            <w:vAlign w:val="center"/>
          </w:tcPr>
          <w:p>
            <w:pPr>
              <w:pStyle w:val="12"/>
            </w:pPr>
            <w:r>
              <w:t>1.24</w:t>
            </w:r>
          </w:p>
        </w:tc>
        <w:tc>
          <w:tcPr>
            <w:tcW w:w="1134" w:type="dxa"/>
            <w:vAlign w:val="center"/>
          </w:tcPr>
          <w:p>
            <w:pPr>
              <w:pStyle w:val="12"/>
            </w:pPr>
            <w:r>
              <w:t>1.24</w:t>
            </w:r>
          </w:p>
        </w:tc>
        <w:tc>
          <w:tcPr>
            <w:tcW w:w="1134" w:type="dxa"/>
            <w:vAlign w:val="center"/>
          </w:tcPr>
          <w:p>
            <w:pPr>
              <w:pStyle w:val="12"/>
            </w:pPr>
            <w:r>
              <w:t>1.24</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1139" w:type="dxa"/>
            <w:vAlign w:val="center"/>
          </w:tcPr>
          <w:p>
            <w:pPr>
              <w:pStyle w:val="13"/>
            </w:pPr>
            <w:r>
              <w:t>21011</w:t>
            </w:r>
          </w:p>
        </w:tc>
        <w:tc>
          <w:tcPr>
            <w:tcW w:w="1590" w:type="dxa"/>
            <w:vAlign w:val="center"/>
          </w:tcPr>
          <w:p>
            <w:pPr>
              <w:pStyle w:val="13"/>
            </w:pPr>
            <w:r>
              <w:t>行政事业单位医疗</w:t>
            </w:r>
          </w:p>
        </w:tc>
        <w:tc>
          <w:tcPr>
            <w:tcW w:w="956" w:type="dxa"/>
            <w:vAlign w:val="center"/>
          </w:tcPr>
          <w:p>
            <w:pPr>
              <w:pStyle w:val="12"/>
            </w:pPr>
            <w:r>
              <w:t>0.01</w:t>
            </w:r>
          </w:p>
        </w:tc>
        <w:tc>
          <w:tcPr>
            <w:tcW w:w="1134" w:type="dxa"/>
            <w:vAlign w:val="center"/>
          </w:tcPr>
          <w:p>
            <w:pPr>
              <w:pStyle w:val="12"/>
            </w:pPr>
            <w:r>
              <w:t>0.01</w:t>
            </w:r>
          </w:p>
        </w:tc>
        <w:tc>
          <w:tcPr>
            <w:tcW w:w="1134" w:type="dxa"/>
            <w:vAlign w:val="center"/>
          </w:tcPr>
          <w:p>
            <w:pPr>
              <w:pStyle w:val="12"/>
            </w:pPr>
            <w:r>
              <w:t>0.01</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1139" w:type="dxa"/>
            <w:vAlign w:val="center"/>
          </w:tcPr>
          <w:p>
            <w:pPr>
              <w:pStyle w:val="13"/>
            </w:pPr>
            <w:r>
              <w:t>2101101</w:t>
            </w:r>
          </w:p>
        </w:tc>
        <w:tc>
          <w:tcPr>
            <w:tcW w:w="1590" w:type="dxa"/>
            <w:vAlign w:val="center"/>
          </w:tcPr>
          <w:p>
            <w:pPr>
              <w:pStyle w:val="13"/>
            </w:pPr>
            <w:r>
              <w:t>行政单位医疗</w:t>
            </w:r>
          </w:p>
        </w:tc>
        <w:tc>
          <w:tcPr>
            <w:tcW w:w="956" w:type="dxa"/>
            <w:vAlign w:val="center"/>
          </w:tcPr>
          <w:p>
            <w:pPr>
              <w:pStyle w:val="12"/>
            </w:pPr>
            <w:r>
              <w:t>0.01</w:t>
            </w:r>
          </w:p>
        </w:tc>
        <w:tc>
          <w:tcPr>
            <w:tcW w:w="1134" w:type="dxa"/>
            <w:vAlign w:val="center"/>
          </w:tcPr>
          <w:p>
            <w:pPr>
              <w:pStyle w:val="12"/>
            </w:pPr>
            <w:r>
              <w:t>0.01</w:t>
            </w:r>
          </w:p>
        </w:tc>
        <w:tc>
          <w:tcPr>
            <w:tcW w:w="1134" w:type="dxa"/>
            <w:vAlign w:val="center"/>
          </w:tcPr>
          <w:p>
            <w:pPr>
              <w:pStyle w:val="12"/>
            </w:pPr>
            <w:r>
              <w:t>0.01</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1139" w:type="dxa"/>
            <w:vAlign w:val="center"/>
          </w:tcPr>
          <w:p>
            <w:pPr>
              <w:pStyle w:val="13"/>
            </w:pPr>
            <w:r>
              <w:t>21012</w:t>
            </w:r>
          </w:p>
        </w:tc>
        <w:tc>
          <w:tcPr>
            <w:tcW w:w="1590" w:type="dxa"/>
            <w:vAlign w:val="center"/>
          </w:tcPr>
          <w:p>
            <w:pPr>
              <w:pStyle w:val="13"/>
            </w:pPr>
            <w:r>
              <w:t>财政对基本医疗保险基金的补助</w:t>
            </w:r>
          </w:p>
        </w:tc>
        <w:tc>
          <w:tcPr>
            <w:tcW w:w="956" w:type="dxa"/>
            <w:vAlign w:val="center"/>
          </w:tcPr>
          <w:p>
            <w:pPr>
              <w:pStyle w:val="12"/>
            </w:pPr>
            <w:r>
              <w:t>1.23</w:t>
            </w:r>
          </w:p>
        </w:tc>
        <w:tc>
          <w:tcPr>
            <w:tcW w:w="1134" w:type="dxa"/>
            <w:vAlign w:val="center"/>
          </w:tcPr>
          <w:p>
            <w:pPr>
              <w:pStyle w:val="12"/>
            </w:pPr>
            <w:r>
              <w:t>1.23</w:t>
            </w:r>
          </w:p>
        </w:tc>
        <w:tc>
          <w:tcPr>
            <w:tcW w:w="1134" w:type="dxa"/>
            <w:vAlign w:val="center"/>
          </w:tcPr>
          <w:p>
            <w:pPr>
              <w:pStyle w:val="12"/>
            </w:pPr>
            <w:r>
              <w:t>1.23</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1139" w:type="dxa"/>
            <w:vAlign w:val="center"/>
          </w:tcPr>
          <w:p>
            <w:pPr>
              <w:pStyle w:val="13"/>
            </w:pPr>
            <w:r>
              <w:t>2101201</w:t>
            </w:r>
          </w:p>
        </w:tc>
        <w:tc>
          <w:tcPr>
            <w:tcW w:w="1590" w:type="dxa"/>
            <w:vAlign w:val="center"/>
          </w:tcPr>
          <w:p>
            <w:pPr>
              <w:pStyle w:val="13"/>
            </w:pPr>
            <w:r>
              <w:t>财政对职工基本医疗保险基金的补助</w:t>
            </w:r>
          </w:p>
        </w:tc>
        <w:tc>
          <w:tcPr>
            <w:tcW w:w="956" w:type="dxa"/>
            <w:vAlign w:val="center"/>
          </w:tcPr>
          <w:p>
            <w:pPr>
              <w:pStyle w:val="12"/>
            </w:pPr>
            <w:r>
              <w:t>1.23</w:t>
            </w:r>
          </w:p>
        </w:tc>
        <w:tc>
          <w:tcPr>
            <w:tcW w:w="1134" w:type="dxa"/>
            <w:vAlign w:val="center"/>
          </w:tcPr>
          <w:p>
            <w:pPr>
              <w:pStyle w:val="12"/>
            </w:pPr>
            <w:r>
              <w:t>1.23</w:t>
            </w:r>
          </w:p>
        </w:tc>
        <w:tc>
          <w:tcPr>
            <w:tcW w:w="1134" w:type="dxa"/>
            <w:vAlign w:val="center"/>
          </w:tcPr>
          <w:p>
            <w:pPr>
              <w:pStyle w:val="12"/>
            </w:pPr>
            <w:r>
              <w:t>1.23</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1139" w:type="dxa"/>
            <w:vAlign w:val="center"/>
          </w:tcPr>
          <w:p>
            <w:pPr>
              <w:pStyle w:val="13"/>
            </w:pPr>
            <w:r>
              <w:t>221</w:t>
            </w:r>
          </w:p>
        </w:tc>
        <w:tc>
          <w:tcPr>
            <w:tcW w:w="1590" w:type="dxa"/>
            <w:vAlign w:val="center"/>
          </w:tcPr>
          <w:p>
            <w:pPr>
              <w:pStyle w:val="13"/>
            </w:pPr>
            <w:r>
              <w:t>住房保障支出</w:t>
            </w:r>
          </w:p>
        </w:tc>
        <w:tc>
          <w:tcPr>
            <w:tcW w:w="956" w:type="dxa"/>
            <w:vAlign w:val="center"/>
          </w:tcPr>
          <w:p>
            <w:pPr>
              <w:pStyle w:val="12"/>
            </w:pPr>
            <w:r>
              <w:t>1.86</w:t>
            </w:r>
          </w:p>
        </w:tc>
        <w:tc>
          <w:tcPr>
            <w:tcW w:w="1134" w:type="dxa"/>
            <w:vAlign w:val="center"/>
          </w:tcPr>
          <w:p>
            <w:pPr>
              <w:pStyle w:val="12"/>
            </w:pPr>
            <w:r>
              <w:t>1.86</w:t>
            </w:r>
          </w:p>
        </w:tc>
        <w:tc>
          <w:tcPr>
            <w:tcW w:w="1134" w:type="dxa"/>
            <w:vAlign w:val="center"/>
          </w:tcPr>
          <w:p>
            <w:pPr>
              <w:pStyle w:val="12"/>
            </w:pPr>
            <w:r>
              <w:t>1.86</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1139" w:type="dxa"/>
            <w:vAlign w:val="center"/>
          </w:tcPr>
          <w:p>
            <w:pPr>
              <w:pStyle w:val="13"/>
            </w:pPr>
            <w:r>
              <w:t>22102</w:t>
            </w:r>
          </w:p>
        </w:tc>
        <w:tc>
          <w:tcPr>
            <w:tcW w:w="1590" w:type="dxa"/>
            <w:vAlign w:val="center"/>
          </w:tcPr>
          <w:p>
            <w:pPr>
              <w:pStyle w:val="13"/>
            </w:pPr>
            <w:r>
              <w:t>住房改革支出</w:t>
            </w:r>
          </w:p>
        </w:tc>
        <w:tc>
          <w:tcPr>
            <w:tcW w:w="956" w:type="dxa"/>
            <w:vAlign w:val="center"/>
          </w:tcPr>
          <w:p>
            <w:pPr>
              <w:pStyle w:val="12"/>
            </w:pPr>
            <w:r>
              <w:t>1.86</w:t>
            </w:r>
          </w:p>
        </w:tc>
        <w:tc>
          <w:tcPr>
            <w:tcW w:w="1134" w:type="dxa"/>
            <w:vAlign w:val="center"/>
          </w:tcPr>
          <w:p>
            <w:pPr>
              <w:pStyle w:val="12"/>
            </w:pPr>
            <w:r>
              <w:t>1.86</w:t>
            </w:r>
          </w:p>
        </w:tc>
        <w:tc>
          <w:tcPr>
            <w:tcW w:w="1134" w:type="dxa"/>
            <w:vAlign w:val="center"/>
          </w:tcPr>
          <w:p>
            <w:pPr>
              <w:pStyle w:val="12"/>
            </w:pPr>
            <w:r>
              <w:t>1.86</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1139" w:type="dxa"/>
            <w:vAlign w:val="center"/>
          </w:tcPr>
          <w:p>
            <w:pPr>
              <w:pStyle w:val="13"/>
            </w:pPr>
            <w:r>
              <w:t>2210201</w:t>
            </w:r>
          </w:p>
        </w:tc>
        <w:tc>
          <w:tcPr>
            <w:tcW w:w="1590" w:type="dxa"/>
            <w:vAlign w:val="center"/>
          </w:tcPr>
          <w:p>
            <w:pPr>
              <w:pStyle w:val="13"/>
            </w:pPr>
            <w:r>
              <w:t>住房公积金</w:t>
            </w:r>
          </w:p>
        </w:tc>
        <w:tc>
          <w:tcPr>
            <w:tcW w:w="956" w:type="dxa"/>
            <w:vAlign w:val="center"/>
          </w:tcPr>
          <w:p>
            <w:pPr>
              <w:pStyle w:val="12"/>
            </w:pPr>
            <w:r>
              <w:t>1.86</w:t>
            </w:r>
          </w:p>
        </w:tc>
        <w:tc>
          <w:tcPr>
            <w:tcW w:w="1134" w:type="dxa"/>
            <w:vAlign w:val="center"/>
          </w:tcPr>
          <w:p>
            <w:pPr>
              <w:pStyle w:val="12"/>
            </w:pPr>
            <w:r>
              <w:t>1.86</w:t>
            </w:r>
          </w:p>
        </w:tc>
        <w:tc>
          <w:tcPr>
            <w:tcW w:w="1134" w:type="dxa"/>
            <w:vAlign w:val="center"/>
          </w:tcPr>
          <w:p>
            <w:pPr>
              <w:pStyle w:val="12"/>
            </w:pPr>
            <w:r>
              <w:t>1.86</w:t>
            </w:r>
          </w:p>
        </w:tc>
        <w:tc>
          <w:tcPr>
            <w:tcW w:w="931" w:type="dxa"/>
            <w:vAlign w:val="center"/>
          </w:tcPr>
          <w:p>
            <w:pPr>
              <w:pStyle w:val="12"/>
            </w:pPr>
          </w:p>
        </w:tc>
        <w:tc>
          <w:tcPr>
            <w:tcW w:w="1245" w:type="dxa"/>
            <w:vAlign w:val="center"/>
          </w:tcPr>
          <w:p>
            <w:pPr>
              <w:pStyle w:val="12"/>
            </w:pPr>
          </w:p>
        </w:tc>
        <w:tc>
          <w:tcPr>
            <w:tcW w:w="1080" w:type="dxa"/>
            <w:vAlign w:val="center"/>
          </w:tcPr>
          <w:p>
            <w:pPr>
              <w:pStyle w:val="12"/>
            </w:pPr>
          </w:p>
        </w:tc>
        <w:tc>
          <w:tcPr>
            <w:tcW w:w="1170" w:type="dxa"/>
            <w:vAlign w:val="center"/>
          </w:tcPr>
          <w:p>
            <w:pPr>
              <w:pStyle w:val="12"/>
            </w:pPr>
          </w:p>
        </w:tc>
        <w:tc>
          <w:tcPr>
            <w:tcW w:w="124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4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10"/>
        <w:gridCol w:w="4317"/>
        <w:gridCol w:w="1361"/>
        <w:gridCol w:w="1361"/>
        <w:gridCol w:w="1361"/>
        <w:gridCol w:w="1361"/>
        <w:gridCol w:w="1361"/>
        <w:gridCol w:w="1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35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268"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210" w:type="dxa"/>
            <w:vAlign w:val="center"/>
          </w:tcPr>
          <w:p>
            <w:pPr>
              <w:pStyle w:val="11"/>
            </w:pPr>
            <w:r>
              <w:t>科目    编码</w:t>
            </w:r>
          </w:p>
        </w:tc>
        <w:tc>
          <w:tcPr>
            <w:tcW w:w="4317"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268"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210" w:type="dxa"/>
            <w:vAlign w:val="center"/>
          </w:tcPr>
          <w:p>
            <w:pPr>
              <w:pStyle w:val="11"/>
            </w:pPr>
            <w:r>
              <w:t>1</w:t>
            </w:r>
          </w:p>
        </w:tc>
        <w:tc>
          <w:tcPr>
            <w:tcW w:w="4317"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268"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1210" w:type="dxa"/>
            <w:vAlign w:val="center"/>
          </w:tcPr>
          <w:p>
            <w:pPr>
              <w:pStyle w:val="17"/>
            </w:pPr>
          </w:p>
        </w:tc>
        <w:tc>
          <w:tcPr>
            <w:tcW w:w="4317" w:type="dxa"/>
            <w:vAlign w:val="center"/>
          </w:tcPr>
          <w:p>
            <w:pPr>
              <w:pStyle w:val="15"/>
            </w:pPr>
            <w:r>
              <w:t>合计</w:t>
            </w:r>
          </w:p>
        </w:tc>
        <w:tc>
          <w:tcPr>
            <w:tcW w:w="1361" w:type="dxa"/>
            <w:vAlign w:val="center"/>
          </w:tcPr>
          <w:p>
            <w:pPr>
              <w:pStyle w:val="16"/>
            </w:pPr>
            <w:r>
              <w:t>30.72</w:t>
            </w:r>
          </w:p>
        </w:tc>
        <w:tc>
          <w:tcPr>
            <w:tcW w:w="1361" w:type="dxa"/>
            <w:vAlign w:val="center"/>
          </w:tcPr>
          <w:p>
            <w:pPr>
              <w:pStyle w:val="16"/>
            </w:pPr>
            <w:r>
              <w:t>30.72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26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1210" w:type="dxa"/>
            <w:vAlign w:val="center"/>
          </w:tcPr>
          <w:p>
            <w:pPr>
              <w:pStyle w:val="13"/>
            </w:pPr>
            <w:r>
              <w:t>207</w:t>
            </w:r>
          </w:p>
        </w:tc>
        <w:tc>
          <w:tcPr>
            <w:tcW w:w="4317" w:type="dxa"/>
            <w:vAlign w:val="center"/>
          </w:tcPr>
          <w:p>
            <w:pPr>
              <w:pStyle w:val="13"/>
            </w:pPr>
            <w:r>
              <w:t>文化旅游体育与传媒支出</w:t>
            </w:r>
          </w:p>
        </w:tc>
        <w:tc>
          <w:tcPr>
            <w:tcW w:w="1361" w:type="dxa"/>
            <w:vAlign w:val="center"/>
          </w:tcPr>
          <w:p>
            <w:pPr>
              <w:pStyle w:val="12"/>
            </w:pPr>
            <w:r>
              <w:t>25.05</w:t>
            </w:r>
          </w:p>
        </w:tc>
        <w:tc>
          <w:tcPr>
            <w:tcW w:w="1361" w:type="dxa"/>
            <w:vAlign w:val="center"/>
          </w:tcPr>
          <w:p>
            <w:pPr>
              <w:pStyle w:val="12"/>
            </w:pPr>
            <w:r>
              <w:t>25.05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1210" w:type="dxa"/>
            <w:vAlign w:val="center"/>
          </w:tcPr>
          <w:p>
            <w:pPr>
              <w:pStyle w:val="13"/>
            </w:pPr>
            <w:r>
              <w:t>20701</w:t>
            </w:r>
          </w:p>
        </w:tc>
        <w:tc>
          <w:tcPr>
            <w:tcW w:w="4317" w:type="dxa"/>
            <w:vAlign w:val="center"/>
          </w:tcPr>
          <w:p>
            <w:pPr>
              <w:pStyle w:val="13"/>
            </w:pPr>
            <w:r>
              <w:t>文化和旅游</w:t>
            </w:r>
          </w:p>
        </w:tc>
        <w:tc>
          <w:tcPr>
            <w:tcW w:w="1361" w:type="dxa"/>
            <w:vAlign w:val="center"/>
          </w:tcPr>
          <w:p>
            <w:pPr>
              <w:pStyle w:val="12"/>
            </w:pPr>
            <w:r>
              <w:t>25.05</w:t>
            </w:r>
          </w:p>
        </w:tc>
        <w:tc>
          <w:tcPr>
            <w:tcW w:w="1361" w:type="dxa"/>
            <w:vAlign w:val="center"/>
          </w:tcPr>
          <w:p>
            <w:pPr>
              <w:pStyle w:val="12"/>
            </w:pPr>
            <w:r>
              <w:t>25.05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210" w:type="dxa"/>
            <w:vAlign w:val="center"/>
          </w:tcPr>
          <w:p>
            <w:pPr>
              <w:pStyle w:val="13"/>
            </w:pPr>
            <w:r>
              <w:t>2070101</w:t>
            </w:r>
          </w:p>
        </w:tc>
        <w:tc>
          <w:tcPr>
            <w:tcW w:w="4317" w:type="dxa"/>
            <w:vAlign w:val="center"/>
          </w:tcPr>
          <w:p>
            <w:pPr>
              <w:pStyle w:val="13"/>
            </w:pPr>
            <w:r>
              <w:t>行政运行</w:t>
            </w:r>
          </w:p>
        </w:tc>
        <w:tc>
          <w:tcPr>
            <w:tcW w:w="1361" w:type="dxa"/>
            <w:vAlign w:val="center"/>
          </w:tcPr>
          <w:p>
            <w:pPr>
              <w:pStyle w:val="12"/>
            </w:pPr>
            <w:r>
              <w:t>25.05</w:t>
            </w:r>
          </w:p>
        </w:tc>
        <w:tc>
          <w:tcPr>
            <w:tcW w:w="1361" w:type="dxa"/>
            <w:vAlign w:val="center"/>
          </w:tcPr>
          <w:p>
            <w:pPr>
              <w:pStyle w:val="12"/>
            </w:pPr>
            <w:r>
              <w:t>25.05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5</w:t>
            </w:r>
          </w:p>
        </w:tc>
        <w:tc>
          <w:tcPr>
            <w:tcW w:w="1210" w:type="dxa"/>
            <w:vAlign w:val="center"/>
          </w:tcPr>
          <w:p>
            <w:pPr>
              <w:pStyle w:val="13"/>
            </w:pPr>
            <w:r>
              <w:t>208</w:t>
            </w:r>
          </w:p>
        </w:tc>
        <w:tc>
          <w:tcPr>
            <w:tcW w:w="4317" w:type="dxa"/>
            <w:vAlign w:val="center"/>
          </w:tcPr>
          <w:p>
            <w:pPr>
              <w:pStyle w:val="13"/>
            </w:pPr>
            <w:r>
              <w:t>社会保障和就业支出</w:t>
            </w:r>
          </w:p>
        </w:tc>
        <w:tc>
          <w:tcPr>
            <w:tcW w:w="1361" w:type="dxa"/>
            <w:vAlign w:val="center"/>
          </w:tcPr>
          <w:p>
            <w:pPr>
              <w:pStyle w:val="12"/>
            </w:pPr>
            <w:r>
              <w:t>2.57</w:t>
            </w:r>
          </w:p>
        </w:tc>
        <w:tc>
          <w:tcPr>
            <w:tcW w:w="1361" w:type="dxa"/>
            <w:vAlign w:val="center"/>
          </w:tcPr>
          <w:p>
            <w:pPr>
              <w:pStyle w:val="12"/>
            </w:pPr>
            <w:r>
              <w:t>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6</w:t>
            </w:r>
          </w:p>
        </w:tc>
        <w:tc>
          <w:tcPr>
            <w:tcW w:w="1210" w:type="dxa"/>
            <w:vAlign w:val="center"/>
          </w:tcPr>
          <w:p>
            <w:pPr>
              <w:pStyle w:val="13"/>
            </w:pPr>
            <w:r>
              <w:t>20805</w:t>
            </w:r>
          </w:p>
        </w:tc>
        <w:tc>
          <w:tcPr>
            <w:tcW w:w="4317" w:type="dxa"/>
            <w:vAlign w:val="center"/>
          </w:tcPr>
          <w:p>
            <w:pPr>
              <w:pStyle w:val="13"/>
            </w:pPr>
            <w:r>
              <w:t>行政事业单位养老支出</w:t>
            </w:r>
          </w:p>
        </w:tc>
        <w:tc>
          <w:tcPr>
            <w:tcW w:w="1361" w:type="dxa"/>
            <w:vAlign w:val="center"/>
          </w:tcPr>
          <w:p>
            <w:pPr>
              <w:pStyle w:val="12"/>
            </w:pPr>
            <w:r>
              <w:t>2.49</w:t>
            </w:r>
          </w:p>
        </w:tc>
        <w:tc>
          <w:tcPr>
            <w:tcW w:w="1361" w:type="dxa"/>
            <w:vAlign w:val="center"/>
          </w:tcPr>
          <w:p>
            <w:pPr>
              <w:pStyle w:val="12"/>
            </w:pPr>
            <w:r>
              <w:t>2.49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1210" w:type="dxa"/>
            <w:vAlign w:val="center"/>
          </w:tcPr>
          <w:p>
            <w:pPr>
              <w:pStyle w:val="13"/>
            </w:pPr>
            <w:r>
              <w:t>2080505</w:t>
            </w:r>
          </w:p>
        </w:tc>
        <w:tc>
          <w:tcPr>
            <w:tcW w:w="4317" w:type="dxa"/>
            <w:vAlign w:val="center"/>
          </w:tcPr>
          <w:p>
            <w:pPr>
              <w:pStyle w:val="13"/>
            </w:pPr>
            <w:r>
              <w:t>机关事业单位基本养老保险缴费支出</w:t>
            </w:r>
          </w:p>
        </w:tc>
        <w:tc>
          <w:tcPr>
            <w:tcW w:w="1361" w:type="dxa"/>
            <w:vAlign w:val="center"/>
          </w:tcPr>
          <w:p>
            <w:pPr>
              <w:pStyle w:val="12"/>
            </w:pPr>
            <w:r>
              <w:t>2.49</w:t>
            </w:r>
          </w:p>
        </w:tc>
        <w:tc>
          <w:tcPr>
            <w:tcW w:w="1361" w:type="dxa"/>
            <w:vAlign w:val="center"/>
          </w:tcPr>
          <w:p>
            <w:pPr>
              <w:pStyle w:val="12"/>
            </w:pPr>
            <w:r>
              <w:t>2.49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210" w:type="dxa"/>
            <w:vAlign w:val="center"/>
          </w:tcPr>
          <w:p>
            <w:pPr>
              <w:pStyle w:val="13"/>
            </w:pPr>
            <w:r>
              <w:t>20827</w:t>
            </w:r>
          </w:p>
        </w:tc>
        <w:tc>
          <w:tcPr>
            <w:tcW w:w="4317" w:type="dxa"/>
            <w:vAlign w:val="center"/>
          </w:tcPr>
          <w:p>
            <w:pPr>
              <w:pStyle w:val="13"/>
            </w:pPr>
            <w:r>
              <w:t>财政对其他社会保险基金的补助</w:t>
            </w:r>
          </w:p>
        </w:tc>
        <w:tc>
          <w:tcPr>
            <w:tcW w:w="1361" w:type="dxa"/>
            <w:vAlign w:val="center"/>
          </w:tcPr>
          <w:p>
            <w:pPr>
              <w:pStyle w:val="12"/>
            </w:pPr>
            <w:r>
              <w:t>0.08</w:t>
            </w: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1210" w:type="dxa"/>
            <w:vAlign w:val="center"/>
          </w:tcPr>
          <w:p>
            <w:pPr>
              <w:pStyle w:val="13"/>
            </w:pPr>
            <w:r>
              <w:t>2082702</w:t>
            </w:r>
          </w:p>
        </w:tc>
        <w:tc>
          <w:tcPr>
            <w:tcW w:w="4317" w:type="dxa"/>
            <w:vAlign w:val="center"/>
          </w:tcPr>
          <w:p>
            <w:pPr>
              <w:pStyle w:val="13"/>
            </w:pPr>
            <w:r>
              <w:t>财政对工伤保险基金的补助</w:t>
            </w:r>
          </w:p>
        </w:tc>
        <w:tc>
          <w:tcPr>
            <w:tcW w:w="1361" w:type="dxa"/>
            <w:vAlign w:val="center"/>
          </w:tcPr>
          <w:p>
            <w:pPr>
              <w:pStyle w:val="12"/>
            </w:pPr>
            <w:r>
              <w:t>0.08</w:t>
            </w: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1210" w:type="dxa"/>
            <w:vAlign w:val="center"/>
          </w:tcPr>
          <w:p>
            <w:pPr>
              <w:pStyle w:val="13"/>
            </w:pPr>
            <w:r>
              <w:t>210</w:t>
            </w:r>
          </w:p>
        </w:tc>
        <w:tc>
          <w:tcPr>
            <w:tcW w:w="4317" w:type="dxa"/>
            <w:vAlign w:val="center"/>
          </w:tcPr>
          <w:p>
            <w:pPr>
              <w:pStyle w:val="13"/>
            </w:pPr>
            <w:r>
              <w:t>卫生健康支出</w:t>
            </w:r>
          </w:p>
        </w:tc>
        <w:tc>
          <w:tcPr>
            <w:tcW w:w="1361" w:type="dxa"/>
            <w:vAlign w:val="center"/>
          </w:tcPr>
          <w:p>
            <w:pPr>
              <w:pStyle w:val="12"/>
            </w:pPr>
            <w:r>
              <w:t>1.24</w:t>
            </w:r>
          </w:p>
        </w:tc>
        <w:tc>
          <w:tcPr>
            <w:tcW w:w="1361" w:type="dxa"/>
            <w:vAlign w:val="center"/>
          </w:tcPr>
          <w:p>
            <w:pPr>
              <w:pStyle w:val="12"/>
            </w:pPr>
            <w:r>
              <w:t>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1210" w:type="dxa"/>
            <w:vAlign w:val="center"/>
          </w:tcPr>
          <w:p>
            <w:pPr>
              <w:pStyle w:val="13"/>
            </w:pPr>
            <w:r>
              <w:t>21011</w:t>
            </w:r>
          </w:p>
        </w:tc>
        <w:tc>
          <w:tcPr>
            <w:tcW w:w="4317" w:type="dxa"/>
            <w:vAlign w:val="center"/>
          </w:tcPr>
          <w:p>
            <w:pPr>
              <w:pStyle w:val="13"/>
            </w:pPr>
            <w:r>
              <w:t>行政事业单位医疗</w:t>
            </w:r>
          </w:p>
        </w:tc>
        <w:tc>
          <w:tcPr>
            <w:tcW w:w="1361" w:type="dxa"/>
            <w:vAlign w:val="center"/>
          </w:tcPr>
          <w:p>
            <w:pPr>
              <w:pStyle w:val="12"/>
            </w:pPr>
            <w:r>
              <w:t>0.01</w:t>
            </w:r>
          </w:p>
        </w:tc>
        <w:tc>
          <w:tcPr>
            <w:tcW w:w="1361" w:type="dxa"/>
            <w:vAlign w:val="center"/>
          </w:tcPr>
          <w:p>
            <w:pPr>
              <w:pStyle w:val="12"/>
            </w:pPr>
            <w:r>
              <w:t>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210" w:type="dxa"/>
            <w:vAlign w:val="center"/>
          </w:tcPr>
          <w:p>
            <w:pPr>
              <w:pStyle w:val="13"/>
            </w:pPr>
            <w:r>
              <w:t>2101101</w:t>
            </w:r>
          </w:p>
        </w:tc>
        <w:tc>
          <w:tcPr>
            <w:tcW w:w="4317" w:type="dxa"/>
            <w:vAlign w:val="center"/>
          </w:tcPr>
          <w:p>
            <w:pPr>
              <w:pStyle w:val="13"/>
            </w:pPr>
            <w:r>
              <w:t>行政单位医疗</w:t>
            </w:r>
          </w:p>
        </w:tc>
        <w:tc>
          <w:tcPr>
            <w:tcW w:w="1361" w:type="dxa"/>
            <w:vAlign w:val="center"/>
          </w:tcPr>
          <w:p>
            <w:pPr>
              <w:pStyle w:val="12"/>
            </w:pPr>
            <w:r>
              <w:t>0.01</w:t>
            </w:r>
          </w:p>
        </w:tc>
        <w:tc>
          <w:tcPr>
            <w:tcW w:w="1361" w:type="dxa"/>
            <w:vAlign w:val="center"/>
          </w:tcPr>
          <w:p>
            <w:pPr>
              <w:pStyle w:val="12"/>
            </w:pPr>
            <w:r>
              <w:t>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13</w:t>
            </w:r>
          </w:p>
        </w:tc>
        <w:tc>
          <w:tcPr>
            <w:tcW w:w="1210" w:type="dxa"/>
            <w:vAlign w:val="center"/>
          </w:tcPr>
          <w:p>
            <w:pPr>
              <w:pStyle w:val="13"/>
            </w:pPr>
            <w:r>
              <w:t>21012</w:t>
            </w:r>
          </w:p>
        </w:tc>
        <w:tc>
          <w:tcPr>
            <w:tcW w:w="4317" w:type="dxa"/>
            <w:vAlign w:val="center"/>
          </w:tcPr>
          <w:p>
            <w:pPr>
              <w:pStyle w:val="13"/>
            </w:pPr>
            <w:r>
              <w:t>财政对基本医疗保险基金的补助</w:t>
            </w:r>
          </w:p>
        </w:tc>
        <w:tc>
          <w:tcPr>
            <w:tcW w:w="1361" w:type="dxa"/>
            <w:vAlign w:val="center"/>
          </w:tcPr>
          <w:p>
            <w:pPr>
              <w:pStyle w:val="12"/>
            </w:pPr>
            <w:r>
              <w:t>1.23</w:t>
            </w:r>
          </w:p>
        </w:tc>
        <w:tc>
          <w:tcPr>
            <w:tcW w:w="1361" w:type="dxa"/>
            <w:vAlign w:val="center"/>
          </w:tcPr>
          <w:p>
            <w:pPr>
              <w:pStyle w:val="12"/>
            </w:pPr>
            <w:r>
              <w:t>1.23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1210" w:type="dxa"/>
            <w:vAlign w:val="center"/>
          </w:tcPr>
          <w:p>
            <w:pPr>
              <w:pStyle w:val="13"/>
            </w:pPr>
            <w:r>
              <w:t>2101201</w:t>
            </w:r>
          </w:p>
        </w:tc>
        <w:tc>
          <w:tcPr>
            <w:tcW w:w="4317" w:type="dxa"/>
            <w:vAlign w:val="center"/>
          </w:tcPr>
          <w:p>
            <w:pPr>
              <w:pStyle w:val="13"/>
            </w:pPr>
            <w:r>
              <w:t>财政对职工基本医疗保险基金的补助</w:t>
            </w:r>
          </w:p>
        </w:tc>
        <w:tc>
          <w:tcPr>
            <w:tcW w:w="1361" w:type="dxa"/>
            <w:vAlign w:val="center"/>
          </w:tcPr>
          <w:p>
            <w:pPr>
              <w:pStyle w:val="12"/>
            </w:pPr>
            <w:r>
              <w:t>1.23</w:t>
            </w:r>
          </w:p>
        </w:tc>
        <w:tc>
          <w:tcPr>
            <w:tcW w:w="1361" w:type="dxa"/>
            <w:vAlign w:val="center"/>
          </w:tcPr>
          <w:p>
            <w:pPr>
              <w:pStyle w:val="12"/>
            </w:pPr>
            <w:r>
              <w:t>1.23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15</w:t>
            </w:r>
          </w:p>
        </w:tc>
        <w:tc>
          <w:tcPr>
            <w:tcW w:w="1210" w:type="dxa"/>
            <w:vAlign w:val="center"/>
          </w:tcPr>
          <w:p>
            <w:pPr>
              <w:pStyle w:val="13"/>
            </w:pPr>
            <w:r>
              <w:t>221</w:t>
            </w:r>
          </w:p>
        </w:tc>
        <w:tc>
          <w:tcPr>
            <w:tcW w:w="4317" w:type="dxa"/>
            <w:vAlign w:val="center"/>
          </w:tcPr>
          <w:p>
            <w:pPr>
              <w:pStyle w:val="13"/>
            </w:pPr>
            <w:r>
              <w:t>住房保障支出</w:t>
            </w:r>
          </w:p>
        </w:tc>
        <w:tc>
          <w:tcPr>
            <w:tcW w:w="1361" w:type="dxa"/>
            <w:vAlign w:val="center"/>
          </w:tcPr>
          <w:p>
            <w:pPr>
              <w:pStyle w:val="12"/>
            </w:pPr>
            <w:r>
              <w:t>1.86</w:t>
            </w:r>
          </w:p>
        </w:tc>
        <w:tc>
          <w:tcPr>
            <w:tcW w:w="1361" w:type="dxa"/>
            <w:vAlign w:val="center"/>
          </w:tcPr>
          <w:p>
            <w:pPr>
              <w:pStyle w:val="12"/>
            </w:pPr>
            <w:r>
              <w:t>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1210" w:type="dxa"/>
            <w:vAlign w:val="center"/>
          </w:tcPr>
          <w:p>
            <w:pPr>
              <w:pStyle w:val="13"/>
            </w:pPr>
            <w:r>
              <w:t>22102</w:t>
            </w:r>
          </w:p>
        </w:tc>
        <w:tc>
          <w:tcPr>
            <w:tcW w:w="4317" w:type="dxa"/>
            <w:vAlign w:val="center"/>
          </w:tcPr>
          <w:p>
            <w:pPr>
              <w:pStyle w:val="13"/>
            </w:pPr>
            <w:r>
              <w:t>住房改革支出</w:t>
            </w:r>
          </w:p>
        </w:tc>
        <w:tc>
          <w:tcPr>
            <w:tcW w:w="1361" w:type="dxa"/>
            <w:vAlign w:val="center"/>
          </w:tcPr>
          <w:p>
            <w:pPr>
              <w:pStyle w:val="12"/>
            </w:pPr>
            <w:r>
              <w:t>1.86</w:t>
            </w:r>
          </w:p>
        </w:tc>
        <w:tc>
          <w:tcPr>
            <w:tcW w:w="1361" w:type="dxa"/>
            <w:vAlign w:val="center"/>
          </w:tcPr>
          <w:p>
            <w:pPr>
              <w:pStyle w:val="12"/>
            </w:pPr>
            <w:r>
              <w:t>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17</w:t>
            </w:r>
          </w:p>
        </w:tc>
        <w:tc>
          <w:tcPr>
            <w:tcW w:w="1210" w:type="dxa"/>
            <w:vAlign w:val="center"/>
          </w:tcPr>
          <w:p>
            <w:pPr>
              <w:pStyle w:val="13"/>
            </w:pPr>
            <w:r>
              <w:t>2210201</w:t>
            </w:r>
          </w:p>
        </w:tc>
        <w:tc>
          <w:tcPr>
            <w:tcW w:w="4317" w:type="dxa"/>
            <w:vAlign w:val="center"/>
          </w:tcPr>
          <w:p>
            <w:pPr>
              <w:pStyle w:val="13"/>
            </w:pPr>
            <w:r>
              <w:t>住房公积金</w:t>
            </w:r>
          </w:p>
        </w:tc>
        <w:tc>
          <w:tcPr>
            <w:tcW w:w="1361" w:type="dxa"/>
            <w:vAlign w:val="center"/>
          </w:tcPr>
          <w:p>
            <w:pPr>
              <w:pStyle w:val="12"/>
            </w:pPr>
            <w:r>
              <w:t>1.86</w:t>
            </w:r>
          </w:p>
        </w:tc>
        <w:tc>
          <w:tcPr>
            <w:tcW w:w="1361" w:type="dxa"/>
            <w:vAlign w:val="center"/>
          </w:tcPr>
          <w:p>
            <w:pPr>
              <w:pStyle w:val="12"/>
            </w:pPr>
            <w:r>
              <w:t>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2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30.72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25.05</w:t>
            </w:r>
          </w:p>
        </w:tc>
        <w:tc>
          <w:tcPr>
            <w:tcW w:w="1474" w:type="dxa"/>
            <w:vAlign w:val="center"/>
          </w:tcPr>
          <w:p>
            <w:pPr>
              <w:pStyle w:val="12"/>
            </w:pPr>
            <w:r>
              <w:t>25.05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2.57</w:t>
            </w:r>
          </w:p>
        </w:tc>
        <w:tc>
          <w:tcPr>
            <w:tcW w:w="1474" w:type="dxa"/>
            <w:vAlign w:val="center"/>
          </w:tcPr>
          <w:p>
            <w:pPr>
              <w:pStyle w:val="12"/>
            </w:pPr>
            <w:r>
              <w:t>2.57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1.24</w:t>
            </w:r>
          </w:p>
        </w:tc>
        <w:tc>
          <w:tcPr>
            <w:tcW w:w="1474" w:type="dxa"/>
            <w:vAlign w:val="center"/>
          </w:tcPr>
          <w:p>
            <w:pPr>
              <w:pStyle w:val="12"/>
            </w:pPr>
            <w:r>
              <w:t>1.24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1.86</w:t>
            </w:r>
          </w:p>
        </w:tc>
        <w:tc>
          <w:tcPr>
            <w:tcW w:w="1474" w:type="dxa"/>
            <w:vAlign w:val="center"/>
          </w:tcPr>
          <w:p>
            <w:pPr>
              <w:pStyle w:val="12"/>
            </w:pPr>
            <w:r>
              <w:t>1.86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30.72</w:t>
            </w:r>
          </w:p>
        </w:tc>
        <w:tc>
          <w:tcPr>
            <w:tcW w:w="3402" w:type="dxa"/>
            <w:vAlign w:val="center"/>
          </w:tcPr>
          <w:p>
            <w:pPr>
              <w:pStyle w:val="15"/>
            </w:pPr>
            <w:r>
              <w:t>本年支出合计</w:t>
            </w:r>
          </w:p>
        </w:tc>
        <w:tc>
          <w:tcPr>
            <w:tcW w:w="1474" w:type="dxa"/>
            <w:vAlign w:val="center"/>
          </w:tcPr>
          <w:p>
            <w:pPr>
              <w:pStyle w:val="16"/>
            </w:pPr>
            <w:r>
              <w:t>30.72</w:t>
            </w:r>
          </w:p>
        </w:tc>
        <w:tc>
          <w:tcPr>
            <w:tcW w:w="1474" w:type="dxa"/>
            <w:vAlign w:val="center"/>
          </w:tcPr>
          <w:p>
            <w:pPr>
              <w:pStyle w:val="16"/>
            </w:pPr>
            <w:r>
              <w:t>30.72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30.72</w:t>
            </w:r>
          </w:p>
        </w:tc>
        <w:tc>
          <w:tcPr>
            <w:tcW w:w="3402" w:type="dxa"/>
            <w:vAlign w:val="center"/>
          </w:tcPr>
          <w:p>
            <w:pPr>
              <w:pStyle w:val="15"/>
            </w:pPr>
            <w:r>
              <w:t>支出总计</w:t>
            </w:r>
          </w:p>
        </w:tc>
        <w:tc>
          <w:tcPr>
            <w:tcW w:w="1474" w:type="dxa"/>
            <w:vAlign w:val="center"/>
          </w:tcPr>
          <w:p>
            <w:pPr>
              <w:pStyle w:val="16"/>
            </w:pPr>
            <w:r>
              <w:t>30.72</w:t>
            </w:r>
          </w:p>
        </w:tc>
        <w:tc>
          <w:tcPr>
            <w:tcW w:w="1474" w:type="dxa"/>
            <w:vAlign w:val="center"/>
          </w:tcPr>
          <w:p>
            <w:pPr>
              <w:pStyle w:val="16"/>
            </w:pPr>
            <w:r>
              <w:t>30.72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30.72</w:t>
            </w:r>
          </w:p>
        </w:tc>
        <w:tc>
          <w:tcPr>
            <w:tcW w:w="2551" w:type="dxa"/>
            <w:vAlign w:val="center"/>
          </w:tcPr>
          <w:p>
            <w:pPr>
              <w:pStyle w:val="16"/>
            </w:pPr>
            <w:r>
              <w:t>30.72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25.05</w:t>
            </w:r>
          </w:p>
        </w:tc>
        <w:tc>
          <w:tcPr>
            <w:tcW w:w="2551" w:type="dxa"/>
            <w:vAlign w:val="center"/>
          </w:tcPr>
          <w:p>
            <w:pPr>
              <w:pStyle w:val="12"/>
            </w:pPr>
            <w:r>
              <w:t>25.05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25.05</w:t>
            </w:r>
          </w:p>
        </w:tc>
        <w:tc>
          <w:tcPr>
            <w:tcW w:w="2551" w:type="dxa"/>
            <w:vAlign w:val="center"/>
          </w:tcPr>
          <w:p>
            <w:pPr>
              <w:pStyle w:val="12"/>
            </w:pPr>
            <w:r>
              <w:t>25.05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25.05</w:t>
            </w:r>
          </w:p>
        </w:tc>
        <w:tc>
          <w:tcPr>
            <w:tcW w:w="2551" w:type="dxa"/>
            <w:vAlign w:val="center"/>
          </w:tcPr>
          <w:p>
            <w:pPr>
              <w:pStyle w:val="12"/>
            </w:pPr>
            <w:r>
              <w:t>25.05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2.57</w:t>
            </w:r>
          </w:p>
        </w:tc>
        <w:tc>
          <w:tcPr>
            <w:tcW w:w="2551" w:type="dxa"/>
            <w:vAlign w:val="center"/>
          </w:tcPr>
          <w:p>
            <w:pPr>
              <w:pStyle w:val="12"/>
            </w:pPr>
            <w:r>
              <w:t>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2.49</w:t>
            </w:r>
          </w:p>
        </w:tc>
        <w:tc>
          <w:tcPr>
            <w:tcW w:w="2551" w:type="dxa"/>
            <w:vAlign w:val="center"/>
          </w:tcPr>
          <w:p>
            <w:pPr>
              <w:pStyle w:val="12"/>
            </w:pPr>
            <w:r>
              <w:t>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2.49</w:t>
            </w:r>
          </w:p>
        </w:tc>
        <w:tc>
          <w:tcPr>
            <w:tcW w:w="2551" w:type="dxa"/>
            <w:vAlign w:val="center"/>
          </w:tcPr>
          <w:p>
            <w:pPr>
              <w:pStyle w:val="12"/>
            </w:pPr>
            <w:r>
              <w:t>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1.24</w:t>
            </w:r>
          </w:p>
        </w:tc>
        <w:tc>
          <w:tcPr>
            <w:tcW w:w="2551" w:type="dxa"/>
            <w:vAlign w:val="center"/>
          </w:tcPr>
          <w:p>
            <w:pPr>
              <w:pStyle w:val="12"/>
            </w:pPr>
            <w:r>
              <w:t>1.24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13</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1.23</w:t>
            </w:r>
          </w:p>
        </w:tc>
        <w:tc>
          <w:tcPr>
            <w:tcW w:w="2551" w:type="dxa"/>
            <w:vAlign w:val="center"/>
          </w:tcPr>
          <w:p>
            <w:pPr>
              <w:pStyle w:val="12"/>
            </w:pPr>
            <w:r>
              <w:t>1.23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1.23</w:t>
            </w:r>
          </w:p>
        </w:tc>
        <w:tc>
          <w:tcPr>
            <w:tcW w:w="2551" w:type="dxa"/>
            <w:vAlign w:val="center"/>
          </w:tcPr>
          <w:p>
            <w:pPr>
              <w:pStyle w:val="12"/>
            </w:pPr>
            <w:r>
              <w:t>1.23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30.72</w:t>
            </w:r>
          </w:p>
        </w:tc>
        <w:tc>
          <w:tcPr>
            <w:tcW w:w="2551" w:type="dxa"/>
            <w:vAlign w:val="center"/>
          </w:tcPr>
          <w:p>
            <w:pPr>
              <w:pStyle w:val="16"/>
            </w:pPr>
            <w:r>
              <w:t>24.34</w:t>
            </w:r>
          </w:p>
        </w:tc>
        <w:tc>
          <w:tcPr>
            <w:tcW w:w="2551" w:type="dxa"/>
            <w:vAlign w:val="center"/>
          </w:tcPr>
          <w:p>
            <w:pPr>
              <w:pStyle w:val="16"/>
            </w:pPr>
            <w:r>
              <w:t>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24.34</w:t>
            </w:r>
          </w:p>
        </w:tc>
        <w:tc>
          <w:tcPr>
            <w:tcW w:w="2551" w:type="dxa"/>
            <w:vAlign w:val="center"/>
          </w:tcPr>
          <w:p>
            <w:pPr>
              <w:pStyle w:val="12"/>
            </w:pPr>
            <w:r>
              <w:t>24.34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10.45</w:t>
            </w:r>
          </w:p>
        </w:tc>
        <w:tc>
          <w:tcPr>
            <w:tcW w:w="2551" w:type="dxa"/>
            <w:vAlign w:val="center"/>
          </w:tcPr>
          <w:p>
            <w:pPr>
              <w:pStyle w:val="12"/>
            </w:pPr>
            <w:r>
              <w:t>10.45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4.43</w:t>
            </w:r>
          </w:p>
        </w:tc>
        <w:tc>
          <w:tcPr>
            <w:tcW w:w="2551" w:type="dxa"/>
            <w:vAlign w:val="center"/>
          </w:tcPr>
          <w:p>
            <w:pPr>
              <w:pStyle w:val="12"/>
            </w:pPr>
            <w:r>
              <w:t>4.43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3.79</w:t>
            </w:r>
          </w:p>
        </w:tc>
        <w:tc>
          <w:tcPr>
            <w:tcW w:w="2551" w:type="dxa"/>
            <w:vAlign w:val="center"/>
          </w:tcPr>
          <w:p>
            <w:pPr>
              <w:pStyle w:val="12"/>
            </w:pPr>
            <w:r>
              <w:t>3.79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2.49</w:t>
            </w:r>
          </w:p>
        </w:tc>
        <w:tc>
          <w:tcPr>
            <w:tcW w:w="2551" w:type="dxa"/>
            <w:vAlign w:val="center"/>
          </w:tcPr>
          <w:p>
            <w:pPr>
              <w:pStyle w:val="12"/>
            </w:pPr>
            <w:r>
              <w:t>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1.24</w:t>
            </w:r>
          </w:p>
        </w:tc>
        <w:tc>
          <w:tcPr>
            <w:tcW w:w="2551" w:type="dxa"/>
            <w:vAlign w:val="center"/>
          </w:tcPr>
          <w:p>
            <w:pPr>
              <w:pStyle w:val="12"/>
            </w:pPr>
            <w:r>
              <w:t>1.24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6.38</w:t>
            </w:r>
          </w:p>
        </w:tc>
        <w:tc>
          <w:tcPr>
            <w:tcW w:w="2551" w:type="dxa"/>
            <w:vAlign w:val="center"/>
          </w:tcPr>
          <w:p>
            <w:pPr>
              <w:pStyle w:val="12"/>
            </w:pPr>
          </w:p>
        </w:tc>
        <w:tc>
          <w:tcPr>
            <w:tcW w:w="2551" w:type="dxa"/>
            <w:vAlign w:val="center"/>
          </w:tcPr>
          <w:p>
            <w:pPr>
              <w:pStyle w:val="12"/>
            </w:pPr>
            <w:r>
              <w:t>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1.38</w:t>
            </w:r>
          </w:p>
        </w:tc>
        <w:tc>
          <w:tcPr>
            <w:tcW w:w="2551" w:type="dxa"/>
            <w:vAlign w:val="center"/>
          </w:tcPr>
          <w:p>
            <w:pPr>
              <w:pStyle w:val="12"/>
            </w:pPr>
          </w:p>
        </w:tc>
        <w:tc>
          <w:tcPr>
            <w:tcW w:w="2551" w:type="dxa"/>
            <w:vAlign w:val="center"/>
          </w:tcPr>
          <w:p>
            <w:pPr>
              <w:pStyle w:val="12"/>
            </w:pPr>
            <w:r>
              <w:t>1.38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rPr>
                <w:rFonts w:hint="eastAsia"/>
                <w:lang w:val="en-US" w:eastAsia="zh-CN"/>
              </w:rPr>
              <w:t>130424</w:t>
            </w:r>
            <w:r>
              <w:t>721成安县文学艺术界联合会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成安县文学艺术界联合会2025年部门预算信息公开情况说明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成安县文学艺术界联合会2025年部门预算信息公开情况说明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按照《中华人民共和国预算法》、《地方预决算公开操作规程》和《关于进一步推进预算公开工作的实施意见》规定，现将成安县文学艺术界联合会2025年部门预算公开如下：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240" w:lineRule="auto"/>
        <w:ind w:firstLine="640"/>
        <w:jc w:val="left"/>
        <w:outlineLvl w:val="9"/>
        <w:rPr>
          <w:rFonts w:hint="eastAsia"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29"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spacing w:before="0" w:after="0" w:line="240" w:lineRule="auto"/>
        <w:ind w:firstLine="640"/>
        <w:jc w:val="left"/>
        <w:outlineLvl w:val="9"/>
        <w:rPr>
          <w:rFonts w:hint="eastAsia" w:ascii="仿宋" w:hAnsi="仿宋" w:eastAsia="仿宋" w:cs="仿宋"/>
          <w:bCs/>
          <w:color w:val="000000"/>
          <w:sz w:val="32"/>
          <w:szCs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ascii="仿宋" w:hAnsi="仿宋" w:eastAsia="仿宋" w:cs="仿宋"/>
              </w:rPr>
            </w:pPr>
            <w:r>
              <w:rPr>
                <w:rFonts w:hint="eastAsia" w:ascii="仿宋" w:hAnsi="仿宋" w:eastAsia="仿宋" w:cs="仿宋"/>
              </w:rPr>
              <w:t>成安县文学艺术界联合会</w:t>
            </w:r>
          </w:p>
        </w:tc>
        <w:tc>
          <w:tcPr>
            <w:tcW w:w="1843" w:type="dxa"/>
            <w:vAlign w:val="center"/>
          </w:tcPr>
          <w:p>
            <w:pPr>
              <w:pStyle w:val="14"/>
              <w:rPr>
                <w:rFonts w:hint="eastAsia" w:ascii="仿宋" w:hAnsi="仿宋" w:eastAsia="仿宋" w:cs="仿宋"/>
              </w:rPr>
            </w:pPr>
            <w:r>
              <w:rPr>
                <w:rFonts w:hint="eastAsia" w:ascii="仿宋" w:hAnsi="仿宋" w:eastAsia="仿宋" w:cs="仿宋"/>
              </w:rPr>
              <w:t>事业</w:t>
            </w:r>
          </w:p>
        </w:tc>
        <w:tc>
          <w:tcPr>
            <w:tcW w:w="2126" w:type="dxa"/>
            <w:vAlign w:val="center"/>
          </w:tcPr>
          <w:p>
            <w:pPr>
              <w:pStyle w:val="14"/>
              <w:rPr>
                <w:rFonts w:hint="eastAsia" w:ascii="仿宋" w:hAnsi="仿宋" w:eastAsia="仿宋" w:cs="仿宋"/>
              </w:rPr>
            </w:pPr>
            <w:r>
              <w:rPr>
                <w:rFonts w:hint="eastAsia" w:ascii="仿宋" w:hAnsi="仿宋" w:eastAsia="仿宋" w:cs="仿宋"/>
              </w:rPr>
              <w:t>正科级</w:t>
            </w:r>
          </w:p>
        </w:tc>
        <w:tc>
          <w:tcPr>
            <w:tcW w:w="3827" w:type="dxa"/>
            <w:vAlign w:val="center"/>
          </w:tcPr>
          <w:p>
            <w:pPr>
              <w:pStyle w:val="14"/>
              <w:rPr>
                <w:rFonts w:hint="eastAsia" w:ascii="仿宋" w:hAnsi="仿宋" w:eastAsia="仿宋" w:cs="仿宋"/>
              </w:rPr>
            </w:pPr>
            <w:r>
              <w:rPr>
                <w:rFonts w:hint="eastAsia" w:ascii="仿宋" w:hAnsi="仿宋" w:eastAsia="仿宋" w:cs="仿宋"/>
              </w:rP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ascii="仿宋" w:hAnsi="仿宋" w:eastAsia="仿宋" w:cs="仿宋"/>
              </w:rPr>
            </w:pPr>
            <w:r>
              <w:rPr>
                <w:rFonts w:hint="eastAsia" w:ascii="仿宋" w:hAnsi="仿宋" w:eastAsia="仿宋" w:cs="仿宋"/>
              </w:rPr>
              <w:t>成安县文学艺术界联合会本级</w:t>
            </w:r>
          </w:p>
        </w:tc>
        <w:tc>
          <w:tcPr>
            <w:tcW w:w="1843" w:type="dxa"/>
            <w:vAlign w:val="center"/>
          </w:tcPr>
          <w:p>
            <w:pPr>
              <w:pStyle w:val="14"/>
              <w:rPr>
                <w:rFonts w:hint="eastAsia" w:ascii="仿宋" w:hAnsi="仿宋" w:eastAsia="仿宋" w:cs="仿宋"/>
              </w:rPr>
            </w:pPr>
            <w:r>
              <w:rPr>
                <w:rFonts w:hint="eastAsia" w:ascii="仿宋" w:hAnsi="仿宋" w:eastAsia="仿宋" w:cs="仿宋"/>
              </w:rPr>
              <w:t>事业</w:t>
            </w:r>
          </w:p>
        </w:tc>
        <w:tc>
          <w:tcPr>
            <w:tcW w:w="2126" w:type="dxa"/>
            <w:vAlign w:val="center"/>
          </w:tcPr>
          <w:p>
            <w:pPr>
              <w:pStyle w:val="14"/>
              <w:rPr>
                <w:rFonts w:hint="eastAsia" w:ascii="仿宋" w:hAnsi="仿宋" w:eastAsia="仿宋" w:cs="仿宋"/>
              </w:rPr>
            </w:pPr>
            <w:r>
              <w:rPr>
                <w:rFonts w:hint="eastAsia" w:ascii="仿宋" w:hAnsi="仿宋" w:eastAsia="仿宋" w:cs="仿宋"/>
              </w:rPr>
              <w:t>正科级</w:t>
            </w:r>
          </w:p>
        </w:tc>
        <w:tc>
          <w:tcPr>
            <w:tcW w:w="3827" w:type="dxa"/>
            <w:vAlign w:val="center"/>
          </w:tcPr>
          <w:p>
            <w:pPr>
              <w:pStyle w:val="14"/>
              <w:rPr>
                <w:rFonts w:hint="eastAsia" w:ascii="仿宋" w:hAnsi="仿宋" w:eastAsia="仿宋" w:cs="仿宋"/>
              </w:rPr>
            </w:pPr>
            <w:r>
              <w:rPr>
                <w:rFonts w:hint="eastAsia" w:ascii="仿宋" w:hAnsi="仿宋" w:eastAsia="仿宋" w:cs="仿宋"/>
              </w:rPr>
              <w:t>财政性资金基本保证</w:t>
            </w:r>
          </w:p>
        </w:tc>
      </w:tr>
    </w:tbl>
    <w:p>
      <w:pPr>
        <w:spacing w:line="360" w:lineRule="auto"/>
        <w:ind w:firstLine="640" w:firstLineChars="200"/>
        <w:rPr>
          <w:rFonts w:ascii="黑体" w:hAnsi="黑体" w:eastAsia="黑体" w:cs="黑体"/>
          <w:color w:val="000000"/>
          <w:sz w:val="32"/>
        </w:rPr>
      </w:pPr>
      <w:bookmarkStart w:id="10" w:name="_Toc_3_3_0000000011"/>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numPr>
          <w:ilvl w:val="0"/>
          <w:numId w:val="0"/>
        </w:numPr>
        <w:spacing w:before="10" w:after="10" w:line="360" w:lineRule="auto"/>
        <w:ind w:left="72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二、</w:t>
      </w:r>
      <w:r>
        <w:rPr>
          <w:rFonts w:ascii="黑体" w:hAnsi="黑体" w:eastAsia="黑体" w:cs="黑体"/>
          <w:color w:val="000000"/>
          <w:sz w:val="32"/>
        </w:rPr>
        <w:t>部门预算安排的总体情况</w:t>
      </w:r>
      <w:bookmarkEnd w:id="10"/>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widowControl/>
        <w:spacing w:line="360" w:lineRule="auto"/>
        <w:ind w:firstLine="629" w:firstLineChars="196"/>
        <w:jc w:val="left"/>
        <w:rPr>
          <w:rFonts w:hint="eastAsia" w:ascii="楷体" w:hAnsi="楷体" w:eastAsia="楷体" w:cs="仿宋_GB2312"/>
          <w:b/>
          <w:kern w:val="0"/>
          <w:sz w:val="32"/>
          <w:szCs w:val="32"/>
          <w:lang w:bidi="ar"/>
        </w:rPr>
      </w:pPr>
      <w:r>
        <w:rPr>
          <w:rFonts w:hint="eastAsia" w:ascii="楷体" w:hAnsi="楷体" w:eastAsia="楷体" w:cs="仿宋_GB2312"/>
          <w:b/>
          <w:kern w:val="0"/>
          <w:sz w:val="32"/>
          <w:szCs w:val="32"/>
          <w:lang w:bidi="ar"/>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30.72</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30.72</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hint="eastAsia"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hint="eastAsia" w:ascii="仿宋" w:hAnsi="仿宋" w:eastAsia="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30.72</w:t>
      </w:r>
      <w:r>
        <w:rPr>
          <w:rFonts w:hint="eastAsia" w:ascii="仿宋" w:hAnsi="仿宋" w:eastAsia="仿宋" w:cs="仿宋"/>
          <w:sz w:val="32"/>
          <w:szCs w:val="32"/>
        </w:rPr>
        <w:t>万元，基本支出，包括人员经费</w:t>
      </w:r>
      <w:r>
        <w:rPr>
          <w:rFonts w:hint="eastAsia" w:ascii="仿宋" w:hAnsi="仿宋" w:eastAsia="仿宋" w:cs="仿宋"/>
          <w:sz w:val="32"/>
          <w:szCs w:val="32"/>
          <w:lang w:val="en-US" w:eastAsia="zh-CN"/>
        </w:rPr>
        <w:t>25.72</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5万元</w:t>
      </w:r>
      <w:r>
        <w:rPr>
          <w:rFonts w:hint="eastAsia" w:ascii="仿宋" w:hAnsi="仿宋" w:eastAsia="仿宋" w:cs="仿宋"/>
          <w:sz w:val="32"/>
          <w:szCs w:val="32"/>
        </w:rPr>
        <w:t>。</w:t>
      </w:r>
      <w:r>
        <w:rPr>
          <w:rFonts w:hint="eastAsia" w:ascii="仿宋" w:hAnsi="仿宋" w:eastAsia="仿宋"/>
          <w:sz w:val="32"/>
          <w:szCs w:val="32"/>
        </w:rPr>
        <w:t>项目支出0万元。</w:t>
      </w:r>
    </w:p>
    <w:p>
      <w:pPr>
        <w:spacing w:line="560" w:lineRule="exact"/>
        <w:ind w:firstLine="640"/>
        <w:rPr>
          <w:rFonts w:hint="eastAsia" w:ascii="楷体" w:hAnsi="楷体" w:eastAsia="楷体"/>
          <w:b/>
          <w:sz w:val="32"/>
          <w:szCs w:val="32"/>
        </w:rPr>
      </w:pPr>
      <w:r>
        <w:rPr>
          <w:rFonts w:hint="eastAsia" w:ascii="楷体" w:hAnsi="楷体" w:eastAsia="楷体"/>
          <w:b/>
          <w:sz w:val="32"/>
          <w:szCs w:val="32"/>
        </w:rPr>
        <w:t>3、比上年增减变化情况</w:t>
      </w:r>
    </w:p>
    <w:p>
      <w:pPr>
        <w:pStyle w:val="19"/>
      </w:pPr>
      <w:r>
        <w:rPr>
          <w:rFonts w:hint="eastAsia" w:ascii="仿宋" w:hAnsi="仿宋" w:eastAsia="仿宋" w:cs="仿宋"/>
          <w:sz w:val="32"/>
          <w:szCs w:val="32"/>
          <w:lang w:val="en-US" w:eastAsia="zh-CN"/>
        </w:rPr>
        <w:t>2025</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30.72</w:t>
      </w:r>
      <w:r>
        <w:rPr>
          <w:rFonts w:hint="eastAsia" w:ascii="仿宋" w:hAnsi="仿宋" w:eastAsia="仿宋" w:cs="仿宋"/>
          <w:sz w:val="32"/>
          <w:szCs w:val="32"/>
        </w:rPr>
        <w:t>万元，较20</w:t>
      </w:r>
      <w:r>
        <w:rPr>
          <w:rFonts w:hint="eastAsia" w:ascii="仿宋" w:hAnsi="仿宋" w:eastAsia="仿宋" w:cs="仿宋"/>
          <w:sz w:val="32"/>
          <w:szCs w:val="32"/>
          <w:lang w:val="en-US" w:eastAsia="zh-CN"/>
        </w:rPr>
        <w:t>24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12.85</w:t>
      </w:r>
      <w:r>
        <w:rPr>
          <w:rFonts w:hint="eastAsia" w:ascii="仿宋" w:hAnsi="仿宋" w:eastAsia="仿宋" w:cs="仿宋"/>
          <w:sz w:val="32"/>
          <w:szCs w:val="32"/>
        </w:rPr>
        <w:t>万元，</w:t>
      </w:r>
      <w:r>
        <w:rPr>
          <w:rFonts w:hint="eastAsia" w:ascii="仿宋" w:hAnsi="仿宋" w:eastAsia="仿宋" w:cs="仿宋_GB2312"/>
          <w:kern w:val="0"/>
          <w:sz w:val="32"/>
          <w:szCs w:val="32"/>
          <w:lang w:eastAsia="zh-CN"/>
        </w:rPr>
        <w:t>减少</w:t>
      </w:r>
      <w:r>
        <w:rPr>
          <w:rFonts w:hint="eastAsia" w:ascii="仿宋" w:hAnsi="仿宋" w:eastAsia="仿宋" w:cs="仿宋_GB2312"/>
          <w:kern w:val="0"/>
          <w:sz w:val="32"/>
          <w:szCs w:val="32"/>
        </w:rPr>
        <w:t>的原因</w:t>
      </w:r>
      <w:r>
        <w:rPr>
          <w:rFonts w:hint="eastAsia" w:ascii="仿宋" w:hAnsi="仿宋" w:eastAsia="仿宋" w:cs="仿宋"/>
          <w:sz w:val="32"/>
          <w:szCs w:val="32"/>
        </w:rPr>
        <w:t>人员</w:t>
      </w:r>
      <w:r>
        <w:rPr>
          <w:rFonts w:hint="eastAsia" w:ascii="仿宋" w:hAnsi="仿宋" w:eastAsia="仿宋" w:cs="仿宋_GB2312"/>
          <w:kern w:val="0"/>
          <w:sz w:val="32"/>
          <w:szCs w:val="32"/>
          <w:lang w:eastAsia="zh-CN"/>
        </w:rPr>
        <w:t>减少。</w:t>
      </w:r>
    </w:p>
    <w:p>
      <w:pPr>
        <w:numPr>
          <w:ilvl w:val="0"/>
          <w:numId w:val="0"/>
        </w:numPr>
        <w:spacing w:before="10" w:after="10" w:line="360" w:lineRule="auto"/>
        <w:ind w:left="720" w:leftChars="0"/>
        <w:jc w:val="left"/>
        <w:outlineLvl w:val="2"/>
        <w:rPr>
          <w:rFonts w:hint="eastAsia" w:ascii="黑体" w:hAnsi="黑体" w:eastAsia="黑体" w:cs="黑体"/>
          <w:color w:val="000000"/>
          <w:sz w:val="32"/>
          <w:lang w:eastAsia="zh-CN"/>
        </w:rPr>
      </w:pPr>
      <w:bookmarkStart w:id="11" w:name="_Toc_3_3_0000000012"/>
    </w:p>
    <w:p>
      <w:pPr>
        <w:numPr>
          <w:ilvl w:val="0"/>
          <w:numId w:val="0"/>
        </w:numPr>
        <w:spacing w:before="10" w:after="10" w:line="360" w:lineRule="auto"/>
        <w:ind w:left="72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1"/>
    </w:p>
    <w:p>
      <w:pPr>
        <w:autoSpaceDE w:val="0"/>
        <w:autoSpaceDN w:val="0"/>
        <w:adjustRightInd w:val="0"/>
        <w:spacing w:line="560" w:lineRule="exact"/>
        <w:ind w:firstLine="640" w:firstLineChars="200"/>
        <w:jc w:val="left"/>
        <w:rPr>
          <w:rFonts w:ascii="黑体" w:hAnsi="黑体" w:eastAsia="黑体" w:cs="黑体"/>
          <w:color w:val="000000"/>
          <w:sz w:val="32"/>
        </w:rPr>
      </w:pPr>
      <w:r>
        <w:rPr>
          <w:rFonts w:hint="eastAsia" w:ascii="仿宋" w:hAnsi="仿宋" w:eastAsia="仿宋" w:cs="仿宋"/>
          <w:sz w:val="32"/>
          <w:szCs w:val="32"/>
        </w:rPr>
        <w:t>机关运行经费共计安排6.</w:t>
      </w:r>
      <w:r>
        <w:rPr>
          <w:rFonts w:hint="eastAsia" w:ascii="仿宋" w:hAnsi="仿宋" w:eastAsia="仿宋" w:cs="仿宋"/>
          <w:sz w:val="32"/>
          <w:szCs w:val="32"/>
          <w:lang w:eastAsia="zh-CN"/>
        </w:rPr>
        <w:t>38</w:t>
      </w:r>
      <w:r>
        <w:rPr>
          <w:rFonts w:hint="eastAsia" w:ascii="仿宋" w:hAnsi="仿宋" w:eastAsia="仿宋" w:cs="仿宋"/>
          <w:sz w:val="32"/>
          <w:szCs w:val="32"/>
        </w:rPr>
        <w:t>万元，主要用于办公文印、邮电费、办公、</w:t>
      </w:r>
      <w:r>
        <w:rPr>
          <w:rFonts w:hint="eastAsia" w:ascii="仿宋" w:hAnsi="仿宋" w:eastAsia="仿宋" w:cs="仿宋"/>
          <w:sz w:val="32"/>
          <w:szCs w:val="32"/>
          <w:lang w:eastAsia="zh-CN"/>
        </w:rPr>
        <w:t>差旅、</w:t>
      </w:r>
      <w:r>
        <w:rPr>
          <w:rFonts w:hint="eastAsia" w:ascii="仿宋" w:hAnsi="仿宋" w:eastAsia="仿宋" w:cs="仿宋"/>
          <w:sz w:val="32"/>
          <w:szCs w:val="32"/>
        </w:rPr>
        <w:t>车补等日常运行支出。</w:t>
      </w:r>
    </w:p>
    <w:p>
      <w:pPr>
        <w:pStyle w:val="20"/>
      </w:pPr>
    </w:p>
    <w:p>
      <w:pPr>
        <w:numPr>
          <w:ilvl w:val="0"/>
          <w:numId w:val="0"/>
        </w:numPr>
        <w:spacing w:before="10" w:after="10" w:line="360" w:lineRule="auto"/>
        <w:ind w:left="720" w:leftChars="0"/>
        <w:jc w:val="left"/>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年度“三公”预算安排0万元，其中，因公出国（境）费0元，安排公务用车维护费0元，（其中公务用车购置费0元，公务用车运行维护费0万元），公务接待费0万元，202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年“三公”经费预算与去年持平。因公出国（境）费，与202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年相持平，安排公务用车维护费与202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年相持平，公务接待费与202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年相持平。</w:t>
      </w:r>
      <w:r>
        <w:rPr>
          <w:rFonts w:hint="eastAsia" w:ascii="仿宋_GB2312" w:hAnsi="仿宋_GB2312" w:eastAsia="仿宋_GB2312"/>
          <w:color w:val="000000"/>
          <w:sz w:val="32"/>
          <w:szCs w:val="32"/>
          <w:shd w:val="clear" w:color="auto" w:fill="FFFFFF"/>
        </w:rPr>
        <w:t xml:space="preserve">   </w:t>
      </w:r>
    </w:p>
    <w:p>
      <w:pPr>
        <w:numPr>
          <w:ilvl w:val="0"/>
          <w:numId w:val="0"/>
        </w:numPr>
        <w:spacing w:before="10" w:after="10" w:line="360" w:lineRule="auto"/>
        <w:ind w:left="720" w:leftChars="0"/>
        <w:jc w:val="left"/>
        <w:outlineLvl w:val="2"/>
        <w:rPr>
          <w:rFonts w:ascii="黑体" w:hAnsi="黑体" w:eastAsia="黑体" w:cs="黑体"/>
          <w:color w:val="000000"/>
          <w:sz w:val="32"/>
        </w:rPr>
      </w:pPr>
      <w:bookmarkStart w:id="13" w:name="_Toc_3_3_0000000014"/>
      <w:r>
        <w:rPr>
          <w:rFonts w:hint="eastAsia" w:ascii="黑体" w:hAnsi="黑体" w:eastAsia="黑体" w:cs="黑体"/>
          <w:color w:val="000000"/>
          <w:sz w:val="32"/>
          <w:lang w:eastAsia="zh-CN"/>
        </w:rPr>
        <w:t>五、</w:t>
      </w:r>
      <w:r>
        <w:rPr>
          <w:rFonts w:ascii="黑体" w:hAnsi="黑体" w:eastAsia="黑体" w:cs="黑体"/>
          <w:color w:val="000000"/>
          <w:sz w:val="32"/>
        </w:rPr>
        <w:t>部门整体绩效目标</w:t>
      </w:r>
      <w:bookmarkEnd w:id="13"/>
    </w:p>
    <w:p>
      <w:pPr>
        <w:spacing w:line="560" w:lineRule="exact"/>
        <w:ind w:firstLine="642"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2"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1"/>
        </w:numPr>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坚持“政治强”，担当文艺工作新使命。</w:t>
      </w:r>
      <w:r>
        <w:rPr>
          <w:rFonts w:hint="eastAsia" w:ascii="仿宋" w:hAnsi="仿宋" w:eastAsia="仿宋" w:cs="仿宋"/>
          <w:color w:val="000000"/>
          <w:sz w:val="32"/>
          <w:szCs w:val="32"/>
          <w:shd w:val="clear" w:color="auto" w:fill="FFFFFF"/>
        </w:rPr>
        <w:t>继续深入学习贯彻习近平</w:t>
      </w:r>
      <w:r>
        <w:rPr>
          <w:rFonts w:hint="eastAsia" w:ascii="仿宋" w:hAnsi="仿宋" w:eastAsia="仿宋" w:cs="仿宋"/>
          <w:sz w:val="32"/>
          <w:szCs w:val="32"/>
        </w:rPr>
        <w:t>新时代中国特色社会主义思想和党的</w:t>
      </w:r>
      <w:r>
        <w:rPr>
          <w:rFonts w:hint="eastAsia" w:ascii="仿宋" w:hAnsi="仿宋" w:eastAsia="仿宋" w:cs="仿宋"/>
          <w:sz w:val="32"/>
          <w:szCs w:val="32"/>
          <w:lang w:eastAsia="zh-CN"/>
        </w:rPr>
        <w:t>二十大</w:t>
      </w:r>
      <w:r>
        <w:rPr>
          <w:rFonts w:hint="eastAsia" w:ascii="仿宋" w:hAnsi="仿宋" w:eastAsia="仿宋" w:cs="仿宋"/>
          <w:sz w:val="32"/>
          <w:szCs w:val="32"/>
        </w:rPr>
        <w:t>精神，深化“不忘初心、牢记使命”主题</w:t>
      </w:r>
      <w:r>
        <w:rPr>
          <w:rFonts w:hint="eastAsia" w:ascii="仿宋" w:hAnsi="仿宋" w:eastAsia="仿宋" w:cs="仿宋"/>
          <w:sz w:val="32"/>
          <w:szCs w:val="32"/>
          <w:lang w:eastAsia="zh-CN"/>
        </w:rPr>
        <w:t>教育</w:t>
      </w:r>
      <w:r>
        <w:rPr>
          <w:rFonts w:hint="eastAsia" w:ascii="仿宋" w:hAnsi="仿宋" w:eastAsia="仿宋" w:cs="仿宋"/>
          <w:sz w:val="32"/>
          <w:szCs w:val="32"/>
        </w:rPr>
        <w:t>成果。进一步开展意识形态领域的斗争，加强各文艺家协会党的建设，促进党建带群建工作。</w:t>
      </w:r>
    </w:p>
    <w:p>
      <w:pPr>
        <w:widowControl w:val="0"/>
        <w:numPr>
          <w:ilvl w:val="0"/>
          <w:numId w:val="1"/>
        </w:numPr>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坚持“影响强”，提升成安文艺软实力。</w:t>
      </w:r>
      <w:r>
        <w:rPr>
          <w:rFonts w:hint="eastAsia" w:ascii="仿宋" w:hAnsi="仿宋" w:eastAsia="仿宋" w:cs="仿宋"/>
          <w:sz w:val="32"/>
          <w:szCs w:val="32"/>
        </w:rPr>
        <w:t>引导广大文艺工作者强化精品意识，提高艺术原创力，积极开展文艺精品推介活动，努力创作出更多思想精深、艺术精湛、制作精良相统一的精品力作，力争冲击市级、省级、国家级文艺大奖。</w:t>
      </w:r>
    </w:p>
    <w:p>
      <w:pPr>
        <w:widowControl w:val="0"/>
        <w:numPr>
          <w:ilvl w:val="0"/>
          <w:numId w:val="1"/>
        </w:numPr>
        <w:ind w:firstLine="640" w:firstLineChars="200"/>
        <w:jc w:val="both"/>
        <w:rPr>
          <w:rFonts w:ascii="楷体" w:hAnsi="楷体" w:eastAsia="楷体" w:cs="楷体"/>
          <w:b/>
          <w:bCs/>
          <w:sz w:val="32"/>
          <w:szCs w:val="32"/>
          <w:shd w:val="clear" w:color="auto" w:fill="FFFFFF"/>
        </w:rPr>
      </w:pPr>
      <w:r>
        <w:rPr>
          <w:rFonts w:hint="eastAsia" w:ascii="仿宋" w:hAnsi="仿宋" w:eastAsia="仿宋" w:cs="仿宋"/>
          <w:color w:val="000000"/>
          <w:sz w:val="32"/>
          <w:szCs w:val="32"/>
        </w:rPr>
        <w:t>坚持“产业强”，积极探索文化产业发展新途径。</w:t>
      </w:r>
      <w:r>
        <w:rPr>
          <w:rFonts w:hint="eastAsia" w:ascii="仿宋" w:hAnsi="仿宋" w:eastAsia="仿宋" w:cs="仿宋"/>
          <w:sz w:val="32"/>
          <w:szCs w:val="32"/>
        </w:rPr>
        <w:t>将文艺工作与社会资源相对接，鼓励市文艺家协会积极开拓文艺消费市场，勇于承接</w:t>
      </w:r>
      <w:r>
        <w:rPr>
          <w:rFonts w:hint="eastAsia" w:eastAsia="仿宋_GB2312"/>
          <w:sz w:val="32"/>
          <w:szCs w:val="32"/>
        </w:rPr>
        <w:t>社会各界购买文艺服务订单，不断发展壮大协会实力</w:t>
      </w:r>
      <w:r>
        <w:rPr>
          <w:rFonts w:eastAsia="仿宋_GB2312"/>
          <w:sz w:val="32"/>
          <w:szCs w:val="32"/>
        </w:rPr>
        <w:t>。</w:t>
      </w:r>
    </w:p>
    <w:p>
      <w:pPr>
        <w:jc w:val="center"/>
        <w:outlineLvl w:val="0"/>
        <w:rPr>
          <w:rFonts w:hint="eastAsia" w:ascii="仿宋" w:hAnsi="仿宋" w:eastAsia="仿宋" w:cs="仿宋"/>
          <w:b/>
          <w:bCs/>
          <w:sz w:val="32"/>
        </w:rPr>
      </w:pPr>
    </w:p>
    <w:p>
      <w:pPr>
        <w:jc w:val="center"/>
        <w:outlineLvl w:val="0"/>
        <w:rPr>
          <w:rFonts w:hint="eastAsia" w:ascii="仿宋" w:hAnsi="仿宋" w:eastAsia="仿宋" w:cs="仿宋"/>
          <w:b/>
          <w:bCs/>
          <w:sz w:val="32"/>
        </w:rPr>
      </w:pPr>
      <w:r>
        <w:rPr>
          <w:rFonts w:hint="eastAsia" w:ascii="仿宋" w:hAnsi="仿宋" w:eastAsia="仿宋" w:cs="仿宋"/>
          <w:b/>
          <w:bCs/>
          <w:sz w:val="32"/>
        </w:rPr>
        <w:t>部门职责-工作活动绩效目标</w:t>
      </w:r>
    </w:p>
    <w:p>
      <w:pPr>
        <w:widowControl/>
        <w:spacing w:line="56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130424</w:t>
      </w:r>
      <w:r>
        <w:rPr>
          <w:rFonts w:hint="eastAsia" w:ascii="仿宋" w:hAnsi="仿宋" w:eastAsia="仿宋" w:cs="仿宋"/>
          <w:b/>
          <w:bCs/>
          <w:sz w:val="28"/>
          <w:szCs w:val="28"/>
        </w:rPr>
        <w:t>721成安县文学艺术界联合会                                                          单位：万元</w:t>
      </w:r>
    </w:p>
    <w:tbl>
      <w:tblPr>
        <w:tblStyle w:val="5"/>
        <w:tblpPr w:leftFromText="180" w:rightFromText="180" w:vertAnchor="text" w:horzAnchor="margin" w:tblpY="23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职责活动</w:t>
            </w:r>
          </w:p>
        </w:tc>
        <w:tc>
          <w:tcPr>
            <w:tcW w:w="1276"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年度预算数</w:t>
            </w:r>
          </w:p>
        </w:tc>
        <w:tc>
          <w:tcPr>
            <w:tcW w:w="2976"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内容描述</w:t>
            </w:r>
          </w:p>
        </w:tc>
        <w:tc>
          <w:tcPr>
            <w:tcW w:w="2976"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417"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w:t>
            </w:r>
          </w:p>
        </w:tc>
        <w:tc>
          <w:tcPr>
            <w:tcW w:w="2948" w:type="dxa"/>
            <w:gridSpan w:val="4"/>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trPr>
        <w:tc>
          <w:tcPr>
            <w:tcW w:w="2341" w:type="dxa"/>
            <w:vMerge w:val="continue"/>
            <w:noWrap w:val="0"/>
            <w:vAlign w:val="center"/>
          </w:tcPr>
          <w:p>
            <w:pPr>
              <w:spacing w:line="300" w:lineRule="exact"/>
              <w:jc w:val="left"/>
              <w:outlineLvl w:val="0"/>
              <w:rPr>
                <w:rFonts w:hint="eastAsia" w:ascii="仿宋" w:hAnsi="仿宋" w:eastAsia="仿宋" w:cs="仿宋"/>
              </w:rPr>
            </w:pPr>
          </w:p>
        </w:tc>
        <w:tc>
          <w:tcPr>
            <w:tcW w:w="1276" w:type="dxa"/>
            <w:vMerge w:val="continue"/>
            <w:noWrap w:val="0"/>
            <w:vAlign w:val="center"/>
          </w:tcPr>
          <w:p>
            <w:pPr>
              <w:spacing w:line="300" w:lineRule="exact"/>
              <w:jc w:val="left"/>
              <w:outlineLvl w:val="0"/>
              <w:rPr>
                <w:rFonts w:hint="eastAsia" w:ascii="仿宋" w:hAnsi="仿宋" w:eastAsia="仿宋" w:cs="仿宋"/>
              </w:rPr>
            </w:pPr>
          </w:p>
        </w:tc>
        <w:tc>
          <w:tcPr>
            <w:tcW w:w="2976" w:type="dxa"/>
            <w:vMerge w:val="continue"/>
            <w:noWrap w:val="0"/>
            <w:vAlign w:val="center"/>
          </w:tcPr>
          <w:p>
            <w:pPr>
              <w:spacing w:line="300" w:lineRule="exact"/>
              <w:jc w:val="left"/>
              <w:outlineLvl w:val="0"/>
              <w:rPr>
                <w:rFonts w:hint="eastAsia" w:ascii="仿宋" w:hAnsi="仿宋" w:eastAsia="仿宋" w:cs="仿宋"/>
              </w:rPr>
            </w:pPr>
          </w:p>
        </w:tc>
        <w:tc>
          <w:tcPr>
            <w:tcW w:w="2976" w:type="dxa"/>
            <w:vMerge w:val="continue"/>
            <w:noWrap w:val="0"/>
            <w:vAlign w:val="center"/>
          </w:tcPr>
          <w:p>
            <w:pPr>
              <w:spacing w:line="300" w:lineRule="exact"/>
              <w:jc w:val="left"/>
              <w:outlineLvl w:val="0"/>
              <w:rPr>
                <w:rFonts w:hint="eastAsia" w:ascii="仿宋" w:hAnsi="仿宋" w:eastAsia="仿宋" w:cs="仿宋"/>
              </w:rPr>
            </w:pPr>
          </w:p>
        </w:tc>
        <w:tc>
          <w:tcPr>
            <w:tcW w:w="1417" w:type="dxa"/>
            <w:vMerge w:val="continue"/>
            <w:noWrap w:val="0"/>
            <w:vAlign w:val="center"/>
          </w:tcPr>
          <w:p>
            <w:pPr>
              <w:spacing w:line="300" w:lineRule="exact"/>
              <w:jc w:val="left"/>
              <w:outlineLvl w:val="0"/>
              <w:rPr>
                <w:rFonts w:hint="eastAsia" w:ascii="仿宋" w:hAnsi="仿宋" w:eastAsia="仿宋" w:cs="仿宋"/>
              </w:rPr>
            </w:pPr>
          </w:p>
        </w:tc>
        <w:tc>
          <w:tcPr>
            <w:tcW w:w="7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优</w:t>
            </w:r>
          </w:p>
        </w:tc>
        <w:tc>
          <w:tcPr>
            <w:tcW w:w="7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良</w:t>
            </w:r>
          </w:p>
        </w:tc>
        <w:tc>
          <w:tcPr>
            <w:tcW w:w="7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中</w:t>
            </w:r>
          </w:p>
        </w:tc>
        <w:tc>
          <w:tcPr>
            <w:tcW w:w="7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noWrap w:val="0"/>
            <w:vAlign w:val="center"/>
          </w:tcPr>
          <w:p>
            <w:pPr>
              <w:spacing w:line="300" w:lineRule="exact"/>
              <w:jc w:val="left"/>
              <w:rPr>
                <w:rFonts w:hint="eastAsia" w:ascii="仿宋" w:hAnsi="仿宋" w:eastAsia="仿宋" w:cs="仿宋"/>
                <w:b/>
              </w:rPr>
            </w:pPr>
            <w:r>
              <w:rPr>
                <w:rFonts w:hint="eastAsia" w:ascii="仿宋" w:hAnsi="仿宋" w:eastAsia="仿宋" w:cs="仿宋"/>
                <w:b/>
              </w:rPr>
              <w:t>文艺联络</w:t>
            </w:r>
          </w:p>
        </w:tc>
        <w:tc>
          <w:tcPr>
            <w:tcW w:w="1276" w:type="dxa"/>
            <w:noWrap w:val="0"/>
            <w:vAlign w:val="center"/>
          </w:tcPr>
          <w:p>
            <w:pPr>
              <w:spacing w:line="300" w:lineRule="exact"/>
              <w:jc w:val="left"/>
              <w:rPr>
                <w:rFonts w:hint="eastAsia" w:ascii="仿宋" w:hAnsi="仿宋" w:eastAsia="仿宋" w:cs="仿宋"/>
              </w:rPr>
            </w:pPr>
          </w:p>
        </w:tc>
        <w:tc>
          <w:tcPr>
            <w:tcW w:w="29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组织召开全县文联系统的工作会议,听取和反映文艺界的情况和意见。</w:t>
            </w:r>
          </w:p>
        </w:tc>
        <w:tc>
          <w:tcPr>
            <w:tcW w:w="29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组织召开协会会议，组织文艺研修，提高广大文艺工作者的政治和业务素质</w:t>
            </w:r>
          </w:p>
        </w:tc>
        <w:tc>
          <w:tcPr>
            <w:tcW w:w="1417" w:type="dxa"/>
            <w:noWrap w:val="0"/>
            <w:vAlign w:val="center"/>
          </w:tcPr>
          <w:p>
            <w:pPr>
              <w:spacing w:line="300" w:lineRule="exact"/>
              <w:jc w:val="left"/>
              <w:rPr>
                <w:rFonts w:hint="eastAsia" w:ascii="仿宋" w:hAnsi="仿宋" w:eastAsia="仿宋" w:cs="仿宋"/>
              </w:rPr>
            </w:pPr>
          </w:p>
        </w:tc>
        <w:tc>
          <w:tcPr>
            <w:tcW w:w="73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9</w:t>
            </w:r>
            <w:r>
              <w:rPr>
                <w:rFonts w:hint="eastAsia" w:ascii="仿宋" w:hAnsi="仿宋" w:eastAsia="仿宋" w:cs="仿宋"/>
                <w:lang w:val="en-US" w:eastAsia="zh-CN"/>
              </w:rPr>
              <w:t>6</w:t>
            </w:r>
          </w:p>
        </w:tc>
        <w:tc>
          <w:tcPr>
            <w:tcW w:w="73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9</w:t>
            </w:r>
            <w:r>
              <w:rPr>
                <w:rFonts w:hint="eastAsia" w:ascii="仿宋" w:hAnsi="仿宋" w:eastAsia="仿宋" w:cs="仿宋"/>
                <w:lang w:val="en-US" w:eastAsia="zh-CN"/>
              </w:rPr>
              <w:t>3</w:t>
            </w:r>
          </w:p>
        </w:tc>
        <w:tc>
          <w:tcPr>
            <w:tcW w:w="73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8</w:t>
            </w:r>
            <w:r>
              <w:rPr>
                <w:rFonts w:hint="eastAsia" w:ascii="仿宋" w:hAnsi="仿宋" w:eastAsia="仿宋" w:cs="仿宋"/>
                <w:lang w:val="en-US" w:eastAsia="zh-CN"/>
              </w:rPr>
              <w:t>6</w:t>
            </w:r>
          </w:p>
        </w:tc>
        <w:tc>
          <w:tcPr>
            <w:tcW w:w="73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rPr>
        <w:tc>
          <w:tcPr>
            <w:tcW w:w="2341" w:type="dxa"/>
            <w:noWrap w:val="0"/>
            <w:vAlign w:val="center"/>
          </w:tcPr>
          <w:p>
            <w:pPr>
              <w:spacing w:line="300" w:lineRule="exact"/>
              <w:jc w:val="left"/>
              <w:rPr>
                <w:rFonts w:hint="eastAsia" w:ascii="仿宋" w:hAnsi="仿宋" w:eastAsia="仿宋" w:cs="仿宋"/>
                <w:b/>
              </w:rPr>
            </w:pPr>
            <w:r>
              <w:rPr>
                <w:rFonts w:hint="eastAsia" w:ascii="仿宋" w:hAnsi="仿宋" w:eastAsia="仿宋" w:cs="仿宋"/>
                <w:b/>
              </w:rPr>
              <w:t>文艺创作与推介</w:t>
            </w:r>
          </w:p>
        </w:tc>
        <w:tc>
          <w:tcPr>
            <w:tcW w:w="1276" w:type="dxa"/>
            <w:noWrap w:val="0"/>
            <w:vAlign w:val="center"/>
          </w:tcPr>
          <w:p>
            <w:pPr>
              <w:spacing w:line="300" w:lineRule="exact"/>
              <w:jc w:val="left"/>
              <w:rPr>
                <w:rFonts w:hint="eastAsia" w:ascii="仿宋" w:hAnsi="仿宋" w:eastAsia="仿宋" w:cs="仿宋"/>
              </w:rPr>
            </w:pPr>
          </w:p>
        </w:tc>
        <w:tc>
          <w:tcPr>
            <w:tcW w:w="29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宣传、动员、组织广大文艺工作者致力于繁荣发展燕赵艺术事业，组织艺术家深入生活，创作优秀作品.</w:t>
            </w:r>
          </w:p>
        </w:tc>
        <w:tc>
          <w:tcPr>
            <w:tcW w:w="29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组织艺术家深入生活，打造一批体现时代精神，具有中国特色和河北特色的艺术精品。</w:t>
            </w:r>
          </w:p>
        </w:tc>
        <w:tc>
          <w:tcPr>
            <w:tcW w:w="1417" w:type="dxa"/>
            <w:noWrap w:val="0"/>
            <w:vAlign w:val="center"/>
          </w:tcPr>
          <w:p>
            <w:pPr>
              <w:spacing w:line="300" w:lineRule="exact"/>
              <w:jc w:val="left"/>
              <w:rPr>
                <w:rFonts w:hint="eastAsia" w:ascii="仿宋" w:hAnsi="仿宋" w:eastAsia="仿宋" w:cs="仿宋"/>
              </w:rPr>
            </w:pPr>
          </w:p>
        </w:tc>
        <w:tc>
          <w:tcPr>
            <w:tcW w:w="73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100</w:t>
            </w:r>
          </w:p>
        </w:tc>
        <w:tc>
          <w:tcPr>
            <w:tcW w:w="737" w:type="dxa"/>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95</w:t>
            </w:r>
          </w:p>
        </w:tc>
        <w:tc>
          <w:tcPr>
            <w:tcW w:w="737" w:type="dxa"/>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80</w:t>
            </w:r>
          </w:p>
        </w:tc>
        <w:tc>
          <w:tcPr>
            <w:tcW w:w="737" w:type="dxa"/>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75</w:t>
            </w:r>
          </w:p>
        </w:tc>
      </w:tr>
    </w:tbl>
    <w:p>
      <w:pPr>
        <w:pStyle w:val="23"/>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br w:type="textWrapping"/>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widowControl w:val="0"/>
        <w:numPr>
          <w:ilvl w:val="0"/>
          <w:numId w:val="0"/>
        </w:numPr>
        <w:jc w:val="both"/>
        <w:rPr>
          <w:rFonts w:ascii="楷体" w:hAnsi="楷体" w:eastAsia="楷体" w:cs="楷体"/>
          <w:b/>
          <w:bCs/>
          <w:sz w:val="32"/>
          <w:szCs w:val="32"/>
          <w:shd w:val="clear" w:color="auto" w:fill="FFFFFF"/>
        </w:rPr>
      </w:pPr>
    </w:p>
    <w:p>
      <w:pPr>
        <w:widowControl w:val="0"/>
        <w:numPr>
          <w:ilvl w:val="0"/>
          <w:numId w:val="1"/>
        </w:numPr>
        <w:ind w:firstLine="642"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开展“文联梦想 艺美成安”主题实践活动，发动全县文艺骨干创作一批宣传</w:t>
      </w:r>
      <w:r>
        <w:rPr>
          <w:rFonts w:hint="eastAsia" w:ascii="仿宋" w:hAnsi="仿宋" w:eastAsia="仿宋" w:cs="仿宋"/>
          <w:sz w:val="32"/>
          <w:szCs w:val="32"/>
          <w:shd w:val="clear" w:color="auto" w:fill="FFFFFF"/>
          <w:lang w:eastAsia="zh-CN"/>
        </w:rPr>
        <w:t>党的二十大</w:t>
      </w:r>
      <w:r>
        <w:rPr>
          <w:rFonts w:hint="eastAsia" w:ascii="仿宋" w:hAnsi="仿宋" w:eastAsia="仿宋" w:cs="仿宋"/>
          <w:sz w:val="32"/>
          <w:szCs w:val="32"/>
          <w:shd w:val="clear" w:color="auto" w:fill="FFFFFF"/>
        </w:rPr>
        <w:t>精神全面建成小康社会、讴歌富强成安美丽成安建设的文学、曲艺、音乐、书法等各类文艺作品。</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组织文艺评论家撰写评论文章，召开不同层次的精品创作论证会、座谈会、研讨会等。</w:t>
      </w:r>
    </w:p>
    <w:p>
      <w:pPr>
        <w:ind w:firstLine="640" w:firstLineChars="200"/>
        <w:rPr>
          <w:rFonts w:hint="eastAsia" w:ascii="仿宋" w:hAnsi="仿宋" w:eastAsia="仿宋" w:cs="仿宋"/>
          <w:sz w:val="32"/>
          <w:szCs w:val="32"/>
          <w:shd w:val="clear" w:color="auto" w:fill="FFFFFF"/>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bookmarkStart w:id="15" w:name="_Toc_3_3_0000000016"/>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eastAsia="zh-CN"/>
        </w:rPr>
        <w:t>七、</w:t>
      </w:r>
      <w:r>
        <w:rPr>
          <w:rFonts w:ascii="黑体" w:hAnsi="黑体" w:eastAsia="黑体" w:cs="黑体"/>
          <w:color w:val="000000"/>
          <w:sz w:val="32"/>
        </w:rPr>
        <w:t>部门项目预算安排情况及绩效目标</w:t>
      </w:r>
      <w:bookmarkEnd w:id="15"/>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bookmarkStart w:id="16" w:name="_Toc_3_3_0000000017"/>
    </w:p>
    <w:p>
      <w:pPr>
        <w:numPr>
          <w:ilvl w:val="0"/>
          <w:numId w:val="0"/>
        </w:numPr>
        <w:spacing w:before="10" w:after="10" w:line="360" w:lineRule="auto"/>
        <w:ind w:firstLine="640" w:firstLineChars="200"/>
        <w:jc w:val="left"/>
        <w:outlineLvl w:val="2"/>
      </w:pPr>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ascii="仿宋" w:hAnsi="仿宋" w:eastAsia="仿宋" w:cs="仿宋"/>
              </w:rPr>
            </w:pPr>
            <w:r>
              <w:rPr>
                <w:rFonts w:hint="eastAsia" w:ascii="仿宋" w:hAnsi="仿宋" w:eastAsia="仿宋" w:cs="仿宋"/>
                <w:lang w:val="en-US" w:eastAsia="zh-CN"/>
              </w:rPr>
              <w:t>130424</w:t>
            </w:r>
            <w:r>
              <w:rPr>
                <w:rFonts w:hint="eastAsia" w:ascii="仿宋" w:hAnsi="仿宋" w:eastAsia="仿宋" w:cs="仿宋"/>
              </w:rPr>
              <w:t>721成安县文学艺术界联合会</w:t>
            </w:r>
          </w:p>
        </w:tc>
        <w:tc>
          <w:tcPr>
            <w:tcW w:w="7712" w:type="dxa"/>
            <w:gridSpan w:val="8"/>
            <w:tcBorders>
              <w:top w:val="single" w:color="FFFFFF" w:sz="6" w:space="0"/>
              <w:left w:val="single" w:color="FFFFFF" w:sz="6" w:space="0"/>
              <w:right w:val="single" w:color="FFFFFF" w:sz="6" w:space="0"/>
            </w:tcBorders>
            <w:vAlign w:val="center"/>
          </w:tcPr>
          <w:p>
            <w:pPr>
              <w:pStyle w:val="25"/>
              <w:rPr>
                <w:rFonts w:hint="eastAsia" w:ascii="仿宋" w:hAnsi="仿宋" w:eastAsia="仿宋" w:cs="仿宋"/>
              </w:rPr>
            </w:pPr>
            <w:r>
              <w:rPr>
                <w:rFonts w:hint="eastAsia" w:ascii="仿宋" w:hAnsi="仿宋" w:eastAsia="仿宋" w:cs="仿宋"/>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rPr>
                <w:rFonts w:hint="eastAsia" w:ascii="仿宋" w:hAnsi="仿宋" w:eastAsia="仿宋" w:cs="仿宋"/>
              </w:rPr>
            </w:pPr>
            <w:r>
              <w:rPr>
                <w:rFonts w:hint="eastAsia" w:ascii="仿宋" w:hAnsi="仿宋" w:eastAsia="仿宋" w:cs="仿宋"/>
              </w:rPr>
              <w:t>政府采购项目来源</w:t>
            </w:r>
          </w:p>
        </w:tc>
        <w:tc>
          <w:tcPr>
            <w:tcW w:w="1134" w:type="dxa"/>
            <w:vMerge w:val="restart"/>
            <w:vAlign w:val="center"/>
          </w:tcPr>
          <w:p>
            <w:pPr>
              <w:pStyle w:val="11"/>
              <w:rPr>
                <w:rFonts w:hint="eastAsia" w:ascii="仿宋" w:hAnsi="仿宋" w:eastAsia="仿宋" w:cs="仿宋"/>
              </w:rPr>
            </w:pPr>
            <w:r>
              <w:rPr>
                <w:rFonts w:hint="eastAsia" w:ascii="仿宋" w:hAnsi="仿宋" w:eastAsia="仿宋" w:cs="仿宋"/>
              </w:rPr>
              <w:t>采购物品名称</w:t>
            </w:r>
          </w:p>
        </w:tc>
        <w:tc>
          <w:tcPr>
            <w:tcW w:w="1134" w:type="dxa"/>
            <w:vMerge w:val="restart"/>
            <w:vAlign w:val="center"/>
          </w:tcPr>
          <w:p>
            <w:pPr>
              <w:pStyle w:val="11"/>
              <w:rPr>
                <w:rFonts w:hint="eastAsia" w:ascii="仿宋" w:hAnsi="仿宋" w:eastAsia="仿宋" w:cs="仿宋"/>
              </w:rPr>
            </w:pPr>
            <w:r>
              <w:rPr>
                <w:rFonts w:hint="eastAsia" w:ascii="仿宋" w:hAnsi="仿宋" w:eastAsia="仿宋" w:cs="仿宋"/>
              </w:rPr>
              <w:t>政府采购目录序号</w:t>
            </w:r>
          </w:p>
        </w:tc>
        <w:tc>
          <w:tcPr>
            <w:tcW w:w="709" w:type="dxa"/>
            <w:vMerge w:val="restart"/>
            <w:vAlign w:val="center"/>
          </w:tcPr>
          <w:p>
            <w:pPr>
              <w:pStyle w:val="11"/>
              <w:rPr>
                <w:rFonts w:hint="eastAsia" w:ascii="仿宋" w:hAnsi="仿宋" w:eastAsia="仿宋" w:cs="仿宋"/>
              </w:rPr>
            </w:pPr>
            <w:r>
              <w:rPr>
                <w:rFonts w:hint="eastAsia" w:ascii="仿宋" w:hAnsi="仿宋" w:eastAsia="仿宋" w:cs="仿宋"/>
              </w:rPr>
              <w:t>计量  单位</w:t>
            </w:r>
          </w:p>
        </w:tc>
        <w:tc>
          <w:tcPr>
            <w:tcW w:w="850" w:type="dxa"/>
            <w:vMerge w:val="restart"/>
            <w:vAlign w:val="center"/>
          </w:tcPr>
          <w:p>
            <w:pPr>
              <w:pStyle w:val="11"/>
              <w:rPr>
                <w:rFonts w:hint="eastAsia" w:ascii="仿宋" w:hAnsi="仿宋" w:eastAsia="仿宋" w:cs="仿宋"/>
              </w:rPr>
            </w:pPr>
            <w:r>
              <w:rPr>
                <w:rFonts w:hint="eastAsia" w:ascii="仿宋" w:hAnsi="仿宋" w:eastAsia="仿宋" w:cs="仿宋"/>
              </w:rPr>
              <w:t>数量</w:t>
            </w:r>
          </w:p>
        </w:tc>
        <w:tc>
          <w:tcPr>
            <w:tcW w:w="850" w:type="dxa"/>
            <w:vMerge w:val="restart"/>
            <w:vAlign w:val="center"/>
          </w:tcPr>
          <w:p>
            <w:pPr>
              <w:pStyle w:val="11"/>
              <w:rPr>
                <w:rFonts w:hint="eastAsia" w:ascii="仿宋" w:hAnsi="仿宋" w:eastAsia="仿宋" w:cs="仿宋"/>
              </w:rPr>
            </w:pPr>
            <w:r>
              <w:rPr>
                <w:rFonts w:hint="eastAsia" w:ascii="仿宋" w:hAnsi="仿宋" w:eastAsia="仿宋" w:cs="仿宋"/>
              </w:rPr>
              <w:t>单价</w:t>
            </w:r>
          </w:p>
        </w:tc>
        <w:tc>
          <w:tcPr>
            <w:tcW w:w="6748" w:type="dxa"/>
            <w:gridSpan w:val="7"/>
            <w:vAlign w:val="center"/>
          </w:tcPr>
          <w:p>
            <w:pPr>
              <w:pStyle w:val="11"/>
              <w:rPr>
                <w:rFonts w:hint="eastAsia" w:ascii="仿宋" w:hAnsi="仿宋" w:eastAsia="仿宋" w:cs="仿宋"/>
              </w:rPr>
            </w:pPr>
            <w:r>
              <w:rPr>
                <w:rFonts w:hint="eastAsia" w:ascii="仿宋" w:hAnsi="仿宋" w:eastAsia="仿宋" w:cs="仿宋"/>
              </w:rPr>
              <w:t>政府采购金额（当年部门预算安排资金）</w:t>
            </w:r>
          </w:p>
        </w:tc>
        <w:tc>
          <w:tcPr>
            <w:tcW w:w="964" w:type="dxa"/>
            <w:vMerge w:val="restart"/>
            <w:vAlign w:val="center"/>
          </w:tcPr>
          <w:p>
            <w:pPr>
              <w:pStyle w:val="11"/>
              <w:rPr>
                <w:rFonts w:hint="eastAsia" w:ascii="仿宋" w:hAnsi="仿宋" w:eastAsia="仿宋" w:cs="仿宋"/>
              </w:rPr>
            </w:pPr>
            <w:r>
              <w:rPr>
                <w:rFonts w:hint="eastAsia" w:ascii="仿宋" w:hAnsi="仿宋" w:eastAsia="仿宋" w:cs="仿宋"/>
              </w:rP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rPr>
                <w:rFonts w:hint="eastAsia" w:ascii="仿宋" w:hAnsi="仿宋" w:eastAsia="仿宋" w:cs="仿宋"/>
              </w:rPr>
            </w:pPr>
            <w:r>
              <w:rPr>
                <w:rFonts w:hint="eastAsia" w:ascii="仿宋" w:hAnsi="仿宋" w:eastAsia="仿宋" w:cs="仿宋"/>
              </w:rPr>
              <w:t>项目名称</w:t>
            </w:r>
          </w:p>
        </w:tc>
        <w:tc>
          <w:tcPr>
            <w:tcW w:w="964" w:type="dxa"/>
            <w:vAlign w:val="center"/>
          </w:tcPr>
          <w:p>
            <w:pPr>
              <w:pStyle w:val="11"/>
              <w:rPr>
                <w:rFonts w:hint="eastAsia" w:ascii="仿宋" w:hAnsi="仿宋" w:eastAsia="仿宋" w:cs="仿宋"/>
              </w:rPr>
            </w:pPr>
            <w:r>
              <w:rPr>
                <w:rFonts w:hint="eastAsia" w:ascii="仿宋" w:hAnsi="仿宋" w:eastAsia="仿宋" w:cs="仿宋"/>
              </w:rPr>
              <w:t>预算    资金</w:t>
            </w:r>
          </w:p>
        </w:tc>
        <w:tc>
          <w:tcPr>
            <w:tcW w:w="1134" w:type="dxa"/>
            <w:vMerge w:val="continue"/>
          </w:tcPr>
          <w:p>
            <w:pPr>
              <w:rPr>
                <w:rFonts w:hint="eastAsia" w:ascii="仿宋" w:hAnsi="仿宋" w:eastAsia="仿宋" w:cs="仿宋"/>
              </w:rPr>
            </w:pPr>
          </w:p>
        </w:tc>
        <w:tc>
          <w:tcPr>
            <w:tcW w:w="1134" w:type="dxa"/>
            <w:vMerge w:val="continue"/>
          </w:tcPr>
          <w:p>
            <w:pPr>
              <w:rPr>
                <w:rFonts w:hint="eastAsia" w:ascii="仿宋" w:hAnsi="仿宋" w:eastAsia="仿宋" w:cs="仿宋"/>
              </w:rPr>
            </w:pPr>
          </w:p>
        </w:tc>
        <w:tc>
          <w:tcPr>
            <w:tcW w:w="709" w:type="dxa"/>
            <w:vMerge w:val="continue"/>
          </w:tcPr>
          <w:p>
            <w:pPr>
              <w:rPr>
                <w:rFonts w:hint="eastAsia" w:ascii="仿宋" w:hAnsi="仿宋" w:eastAsia="仿宋" w:cs="仿宋"/>
              </w:rPr>
            </w:pPr>
          </w:p>
        </w:tc>
        <w:tc>
          <w:tcPr>
            <w:tcW w:w="850" w:type="dxa"/>
            <w:vMerge w:val="continue"/>
          </w:tcPr>
          <w:p>
            <w:pPr>
              <w:rPr>
                <w:rFonts w:hint="eastAsia" w:ascii="仿宋" w:hAnsi="仿宋" w:eastAsia="仿宋" w:cs="仿宋"/>
              </w:rPr>
            </w:pPr>
          </w:p>
        </w:tc>
        <w:tc>
          <w:tcPr>
            <w:tcW w:w="850" w:type="dxa"/>
            <w:vMerge w:val="continue"/>
          </w:tcPr>
          <w:p>
            <w:pPr>
              <w:rPr>
                <w:rFonts w:hint="eastAsia" w:ascii="仿宋" w:hAnsi="仿宋" w:eastAsia="仿宋" w:cs="仿宋"/>
              </w:rPr>
            </w:pPr>
          </w:p>
        </w:tc>
        <w:tc>
          <w:tcPr>
            <w:tcW w:w="964" w:type="dxa"/>
            <w:vAlign w:val="center"/>
          </w:tcPr>
          <w:p>
            <w:pPr>
              <w:pStyle w:val="11"/>
              <w:rPr>
                <w:rFonts w:hint="eastAsia" w:ascii="仿宋" w:hAnsi="仿宋" w:eastAsia="仿宋" w:cs="仿宋"/>
              </w:rPr>
            </w:pPr>
            <w:r>
              <w:rPr>
                <w:rFonts w:hint="eastAsia" w:ascii="仿宋" w:hAnsi="仿宋" w:eastAsia="仿宋" w:cs="仿宋"/>
              </w:rPr>
              <w:t>合计</w:t>
            </w:r>
          </w:p>
        </w:tc>
        <w:tc>
          <w:tcPr>
            <w:tcW w:w="964" w:type="dxa"/>
            <w:vAlign w:val="center"/>
          </w:tcPr>
          <w:p>
            <w:pPr>
              <w:pStyle w:val="11"/>
              <w:rPr>
                <w:rFonts w:hint="eastAsia" w:ascii="仿宋" w:hAnsi="仿宋" w:eastAsia="仿宋" w:cs="仿宋"/>
              </w:rPr>
            </w:pPr>
            <w:r>
              <w:rPr>
                <w:rFonts w:hint="eastAsia" w:ascii="仿宋" w:hAnsi="仿宋" w:eastAsia="仿宋" w:cs="仿宋"/>
              </w:rPr>
              <w:t>一般公共预算拨款</w:t>
            </w:r>
          </w:p>
        </w:tc>
        <w:tc>
          <w:tcPr>
            <w:tcW w:w="964" w:type="dxa"/>
            <w:vAlign w:val="center"/>
          </w:tcPr>
          <w:p>
            <w:pPr>
              <w:pStyle w:val="11"/>
              <w:rPr>
                <w:rFonts w:hint="eastAsia" w:ascii="仿宋" w:hAnsi="仿宋" w:eastAsia="仿宋" w:cs="仿宋"/>
              </w:rPr>
            </w:pPr>
            <w:r>
              <w:rPr>
                <w:rFonts w:hint="eastAsia" w:ascii="仿宋" w:hAnsi="仿宋" w:eastAsia="仿宋" w:cs="仿宋"/>
              </w:rPr>
              <w:t>基金预算拨款</w:t>
            </w:r>
          </w:p>
        </w:tc>
        <w:tc>
          <w:tcPr>
            <w:tcW w:w="964" w:type="dxa"/>
            <w:vAlign w:val="center"/>
          </w:tcPr>
          <w:p>
            <w:pPr>
              <w:pStyle w:val="11"/>
              <w:rPr>
                <w:rFonts w:hint="eastAsia" w:ascii="仿宋" w:hAnsi="仿宋" w:eastAsia="仿宋" w:cs="仿宋"/>
              </w:rPr>
            </w:pPr>
            <w:r>
              <w:rPr>
                <w:rFonts w:hint="eastAsia" w:ascii="仿宋" w:hAnsi="仿宋" w:eastAsia="仿宋" w:cs="仿宋"/>
              </w:rPr>
              <w:t>国有资本经营预算拨款</w:t>
            </w:r>
          </w:p>
        </w:tc>
        <w:tc>
          <w:tcPr>
            <w:tcW w:w="964" w:type="dxa"/>
            <w:vAlign w:val="center"/>
          </w:tcPr>
          <w:p>
            <w:pPr>
              <w:pStyle w:val="11"/>
              <w:rPr>
                <w:rFonts w:hint="eastAsia" w:ascii="仿宋" w:hAnsi="仿宋" w:eastAsia="仿宋" w:cs="仿宋"/>
              </w:rPr>
            </w:pPr>
            <w:r>
              <w:rPr>
                <w:rFonts w:hint="eastAsia" w:ascii="仿宋" w:hAnsi="仿宋" w:eastAsia="仿宋" w:cs="仿宋"/>
              </w:rPr>
              <w:t>财政专户核拨</w:t>
            </w:r>
          </w:p>
        </w:tc>
        <w:tc>
          <w:tcPr>
            <w:tcW w:w="964" w:type="dxa"/>
            <w:vAlign w:val="center"/>
          </w:tcPr>
          <w:p>
            <w:pPr>
              <w:pStyle w:val="11"/>
              <w:rPr>
                <w:rFonts w:hint="eastAsia" w:ascii="仿宋" w:hAnsi="仿宋" w:eastAsia="仿宋" w:cs="仿宋"/>
              </w:rPr>
            </w:pPr>
            <w:r>
              <w:rPr>
                <w:rFonts w:hint="eastAsia" w:ascii="仿宋" w:hAnsi="仿宋" w:eastAsia="仿宋" w:cs="仿宋"/>
              </w:rPr>
              <w:t>单位    资金</w:t>
            </w:r>
          </w:p>
        </w:tc>
        <w:tc>
          <w:tcPr>
            <w:tcW w:w="964" w:type="dxa"/>
            <w:vAlign w:val="center"/>
          </w:tcPr>
          <w:p>
            <w:pPr>
              <w:pStyle w:val="11"/>
              <w:rPr>
                <w:rFonts w:hint="eastAsia" w:ascii="仿宋" w:hAnsi="仿宋" w:eastAsia="仿宋" w:cs="仿宋"/>
              </w:rPr>
            </w:pPr>
            <w:r>
              <w:rPr>
                <w:rFonts w:hint="eastAsia" w:ascii="仿宋" w:hAnsi="仿宋" w:eastAsia="仿宋" w:cs="仿宋"/>
              </w:rPr>
              <w:t>上年结转结余</w:t>
            </w:r>
          </w:p>
        </w:tc>
        <w:tc>
          <w:tcPr>
            <w:tcW w:w="964" w:type="dxa"/>
            <w:vMerge w:val="continue"/>
          </w:tcPr>
          <w:p>
            <w:pPr>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709" w:type="dxa"/>
            <w:vAlign w:val="center"/>
          </w:tcPr>
          <w:p>
            <w:pPr>
              <w:pStyle w:val="14"/>
              <w:rPr>
                <w:rFonts w:hint="eastAsia" w:ascii="仿宋" w:hAnsi="仿宋" w:eastAsia="仿宋" w:cs="仿宋"/>
              </w:rPr>
            </w:pPr>
          </w:p>
        </w:tc>
        <w:tc>
          <w:tcPr>
            <w:tcW w:w="850" w:type="dxa"/>
            <w:vAlign w:val="center"/>
          </w:tcPr>
          <w:p>
            <w:pPr>
              <w:pStyle w:val="12"/>
              <w:rPr>
                <w:rFonts w:hint="eastAsia" w:ascii="仿宋" w:hAnsi="仿宋" w:eastAsia="仿宋" w:cs="仿宋"/>
              </w:rPr>
            </w:pPr>
          </w:p>
        </w:tc>
        <w:tc>
          <w:tcPr>
            <w:tcW w:w="850"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c>
          <w:tcPr>
            <w:tcW w:w="964" w:type="dxa"/>
            <w:vAlign w:val="center"/>
          </w:tcPr>
          <w:p>
            <w:pPr>
              <w:pStyle w:val="12"/>
              <w:rPr>
                <w:rFonts w:hint="eastAsia" w:ascii="仿宋" w:hAnsi="仿宋" w:eastAsia="仿宋" w:cs="仿宋"/>
              </w:rPr>
            </w:pPr>
          </w:p>
        </w:tc>
      </w:tr>
    </w:tbl>
    <w:p>
      <w:pPr>
        <w:spacing w:before="0" w:after="0" w:line="500" w:lineRule="exact"/>
        <w:ind w:firstLine="420"/>
        <w:jc w:val="left"/>
        <w:outlineLvl w:val="9"/>
        <w:rPr>
          <w:rFonts w:hint="eastAsia" w:ascii="仿宋" w:hAnsi="仿宋" w:eastAsia="仿宋" w:cs="仿宋"/>
        </w:r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hint="eastAsia" w:ascii="仿宋" w:hAnsi="仿宋" w:eastAsia="仿宋" w:cs="仿宋"/>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仿宋" w:hAnsi="仿宋" w:eastAsia="仿宋" w:cs="仿宋"/>
          <w:color w:val="000000"/>
          <w:sz w:val="36"/>
        </w:rPr>
      </w:pPr>
      <w:r>
        <w:rPr>
          <w:rFonts w:hint="eastAsia" w:ascii="仿宋" w:hAnsi="仿宋" w:eastAsia="仿宋" w:cs="仿宋"/>
          <w:b w:val="0"/>
          <w:color w:val="000000"/>
          <w:sz w:val="28"/>
        </w:rPr>
        <w:t>成安县文学艺术界联合会（含所属单位）上年末固定资产金额为0.00万元（详见下表）。本年度拟购置固定资产总额为0.00万元，已按要求列入政府采购预算，详见政府采购预算表。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hint="eastAsia" w:ascii="仿宋" w:hAnsi="仿宋" w:eastAsia="仿宋" w:cs="仿宋"/>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ascii="仿宋" w:hAnsi="仿宋" w:eastAsia="仿宋" w:cs="仿宋"/>
              </w:rPr>
            </w:pPr>
            <w:r>
              <w:rPr>
                <w:rFonts w:hint="eastAsia" w:ascii="仿宋" w:hAnsi="仿宋" w:eastAsia="仿宋" w:cs="仿宋"/>
                <w:lang w:val="en-US" w:eastAsia="zh-CN"/>
              </w:rPr>
              <w:t>130424</w:t>
            </w:r>
            <w:r>
              <w:rPr>
                <w:rFonts w:hint="eastAsia" w:ascii="仿宋" w:hAnsi="仿宋" w:eastAsia="仿宋" w:cs="仿宋"/>
              </w:rPr>
              <w:t>721成安县文学艺术界联合会</w:t>
            </w:r>
          </w:p>
        </w:tc>
        <w:tc>
          <w:tcPr>
            <w:tcW w:w="5670" w:type="dxa"/>
            <w:gridSpan w:val="2"/>
            <w:tcBorders>
              <w:top w:val="single" w:color="FFFFFF" w:sz="6" w:space="0"/>
              <w:left w:val="single" w:color="FFFFFF" w:sz="6" w:space="0"/>
              <w:right w:val="single" w:color="FFFFFF" w:sz="6" w:space="0"/>
            </w:tcBorders>
            <w:vAlign w:val="center"/>
          </w:tcPr>
          <w:p>
            <w:pPr>
              <w:pStyle w:val="8"/>
              <w:rPr>
                <w:rFonts w:hint="eastAsia" w:ascii="仿宋" w:hAnsi="仿宋" w:eastAsia="仿宋" w:cs="仿宋"/>
              </w:rPr>
            </w:pPr>
            <w:r>
              <w:rPr>
                <w:rFonts w:hint="eastAsia" w:ascii="仿宋" w:hAnsi="仿宋" w:eastAsia="仿宋" w:cs="仿宋"/>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rPr>
                <w:rFonts w:hint="eastAsia" w:ascii="仿宋" w:hAnsi="仿宋" w:eastAsia="仿宋" w:cs="仿宋"/>
              </w:rPr>
            </w:pPr>
            <w:r>
              <w:rPr>
                <w:rFonts w:hint="eastAsia" w:ascii="仿宋" w:hAnsi="仿宋" w:eastAsia="仿宋" w:cs="仿宋"/>
              </w:rPr>
              <w:t>项   目</w:t>
            </w:r>
          </w:p>
        </w:tc>
        <w:tc>
          <w:tcPr>
            <w:tcW w:w="2835" w:type="dxa"/>
            <w:vAlign w:val="center"/>
          </w:tcPr>
          <w:p>
            <w:pPr>
              <w:pStyle w:val="11"/>
              <w:rPr>
                <w:rFonts w:hint="eastAsia" w:ascii="仿宋" w:hAnsi="仿宋" w:eastAsia="仿宋" w:cs="仿宋"/>
              </w:rPr>
            </w:pPr>
            <w:r>
              <w:rPr>
                <w:rFonts w:hint="eastAsia" w:ascii="仿宋" w:hAnsi="仿宋" w:eastAsia="仿宋" w:cs="仿宋"/>
              </w:rPr>
              <w:t>数量</w:t>
            </w:r>
          </w:p>
        </w:tc>
        <w:tc>
          <w:tcPr>
            <w:tcW w:w="2835" w:type="dxa"/>
            <w:vAlign w:val="center"/>
          </w:tcPr>
          <w:p>
            <w:pPr>
              <w:pStyle w:val="11"/>
              <w:rPr>
                <w:rFonts w:hint="eastAsia" w:ascii="仿宋" w:hAnsi="仿宋" w:eastAsia="仿宋" w:cs="仿宋"/>
              </w:rPr>
            </w:pPr>
            <w:r>
              <w:rPr>
                <w:rFonts w:hint="eastAsia" w:ascii="仿宋" w:hAnsi="仿宋" w:eastAsia="仿宋" w:cs="仿宋"/>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eastAsia" w:ascii="仿宋" w:hAnsi="仿宋" w:eastAsia="仿宋" w:cs="仿宋"/>
              </w:rPr>
            </w:pPr>
          </w:p>
        </w:tc>
        <w:tc>
          <w:tcPr>
            <w:tcW w:w="2835" w:type="dxa"/>
            <w:vAlign w:val="center"/>
          </w:tcPr>
          <w:p>
            <w:pPr>
              <w:pStyle w:val="14"/>
              <w:rPr>
                <w:rFonts w:hint="eastAsia" w:ascii="仿宋" w:hAnsi="仿宋" w:eastAsia="仿宋" w:cs="仿宋"/>
              </w:rPr>
            </w:pPr>
          </w:p>
        </w:tc>
        <w:tc>
          <w:tcPr>
            <w:tcW w:w="2835" w:type="dxa"/>
            <w:vAlign w:val="center"/>
          </w:tcPr>
          <w:p>
            <w:pPr>
              <w:pStyle w:val="12"/>
              <w:rPr>
                <w:rFonts w:hint="eastAsia" w:ascii="仿宋" w:hAnsi="仿宋" w:eastAsia="仿宋" w:cs="仿宋"/>
              </w:rPr>
            </w:pPr>
          </w:p>
        </w:tc>
      </w:tr>
    </w:tbl>
    <w:p>
      <w:pPr>
        <w:spacing w:before="0" w:after="0" w:line="240" w:lineRule="auto"/>
        <w:ind w:firstLine="420"/>
        <w:jc w:val="left"/>
        <w:outlineLvl w:val="9"/>
        <w:rPr>
          <w:rFonts w:hint="eastAsia" w:ascii="仿宋" w:hAnsi="仿宋" w:eastAsia="仿宋" w:cs="仿宋"/>
        </w:rPr>
      </w:pPr>
      <w:r>
        <w:rPr>
          <w:rFonts w:hint="eastAsia" w:ascii="仿宋" w:hAnsi="仿宋" w:eastAsia="仿宋" w:cs="仿宋"/>
          <w:color w:val="000000"/>
          <w:sz w:val="21"/>
        </w:rPr>
        <w:t>注：无固定资产占用情况，空表列示。</w:t>
      </w:r>
    </w:p>
    <w:p>
      <w:pPr>
        <w:spacing w:before="0" w:after="0"/>
        <w:ind w:firstLine="640"/>
        <w:jc w:val="left"/>
        <w:outlineLvl w:val="9"/>
      </w:pPr>
      <w:r>
        <w:rPr>
          <w:rFonts w:hint="eastAsia" w:ascii="仿宋" w:hAnsi="仿宋" w:eastAsia="仿宋" w:cs="仿宋"/>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1、</w:t>
      </w:r>
      <w:r>
        <w:rPr>
          <w:rFonts w:hint="eastAsia" w:ascii="仿宋" w:hAnsi="仿宋" w:eastAsia="仿宋" w:cs="仿宋"/>
          <w:b/>
          <w:color w:val="000000"/>
          <w:sz w:val="28"/>
        </w:rPr>
        <w:t>财政拨款收入：</w:t>
      </w:r>
      <w:r>
        <w:rPr>
          <w:rFonts w:hint="eastAsia" w:ascii="仿宋" w:hAnsi="仿宋" w:eastAsia="仿宋" w:cs="仿宋"/>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2、</w:t>
      </w:r>
      <w:r>
        <w:rPr>
          <w:rFonts w:hint="eastAsia" w:ascii="仿宋" w:hAnsi="仿宋" w:eastAsia="仿宋" w:cs="仿宋"/>
          <w:b/>
          <w:color w:val="000000"/>
          <w:sz w:val="28"/>
        </w:rPr>
        <w:t>财政专户管理资金收入：</w:t>
      </w:r>
      <w:r>
        <w:rPr>
          <w:rFonts w:hint="eastAsia" w:ascii="仿宋" w:hAnsi="仿宋" w:eastAsia="仿宋" w:cs="仿宋"/>
          <w:b w:val="0"/>
          <w:color w:val="000000"/>
          <w:sz w:val="28"/>
        </w:rPr>
        <w:t>缴入财政专户、实行专项管理的教育收费收入。</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3、</w:t>
      </w:r>
      <w:r>
        <w:rPr>
          <w:rFonts w:hint="eastAsia" w:ascii="仿宋" w:hAnsi="仿宋" w:eastAsia="仿宋" w:cs="仿宋"/>
          <w:b/>
          <w:color w:val="000000"/>
          <w:sz w:val="28"/>
        </w:rPr>
        <w:t>单位资金收入：</w:t>
      </w:r>
      <w:r>
        <w:rPr>
          <w:rFonts w:hint="eastAsia" w:ascii="仿宋" w:hAnsi="仿宋" w:eastAsia="仿宋" w:cs="仿宋"/>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4、</w:t>
      </w:r>
      <w:r>
        <w:rPr>
          <w:rFonts w:hint="eastAsia" w:ascii="仿宋" w:hAnsi="仿宋" w:eastAsia="仿宋" w:cs="仿宋"/>
          <w:b/>
          <w:color w:val="000000"/>
          <w:sz w:val="28"/>
        </w:rPr>
        <w:t>事业收入：</w:t>
      </w:r>
      <w:r>
        <w:rPr>
          <w:rFonts w:hint="eastAsia" w:ascii="仿宋" w:hAnsi="仿宋" w:eastAsia="仿宋" w:cs="仿宋"/>
          <w:b w:val="0"/>
          <w:color w:val="000000"/>
          <w:sz w:val="28"/>
        </w:rPr>
        <w:t>指事业单位开展专业业务活动及辅助活动所取得的收入。</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5、</w:t>
      </w:r>
      <w:r>
        <w:rPr>
          <w:rFonts w:hint="eastAsia" w:ascii="仿宋" w:hAnsi="仿宋" w:eastAsia="仿宋" w:cs="仿宋"/>
          <w:b/>
          <w:color w:val="000000"/>
          <w:sz w:val="28"/>
        </w:rPr>
        <w:t>事业单位经营收入：</w:t>
      </w:r>
      <w:r>
        <w:rPr>
          <w:rFonts w:hint="eastAsia" w:ascii="仿宋" w:hAnsi="仿宋" w:eastAsia="仿宋" w:cs="仿宋"/>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6、</w:t>
      </w:r>
      <w:r>
        <w:rPr>
          <w:rFonts w:hint="eastAsia" w:ascii="仿宋" w:hAnsi="仿宋" w:eastAsia="仿宋" w:cs="仿宋"/>
          <w:b/>
          <w:color w:val="000000"/>
          <w:sz w:val="28"/>
        </w:rPr>
        <w:t>上年结转：</w:t>
      </w:r>
      <w:r>
        <w:rPr>
          <w:rFonts w:hint="eastAsia" w:ascii="仿宋" w:hAnsi="仿宋" w:eastAsia="仿宋" w:cs="仿宋"/>
          <w:b w:val="0"/>
          <w:color w:val="000000"/>
          <w:sz w:val="28"/>
        </w:rPr>
        <w:t>指以前年度安排、结转到本年仍按原规定用途继续使用的资金。</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7、</w:t>
      </w:r>
      <w:r>
        <w:rPr>
          <w:rFonts w:hint="eastAsia" w:ascii="仿宋" w:hAnsi="仿宋" w:eastAsia="仿宋" w:cs="仿宋"/>
          <w:b/>
          <w:color w:val="000000"/>
          <w:sz w:val="28"/>
        </w:rPr>
        <w:t>部门预算支出：</w:t>
      </w:r>
      <w:r>
        <w:rPr>
          <w:rFonts w:hint="eastAsia" w:ascii="仿宋" w:hAnsi="仿宋" w:eastAsia="仿宋" w:cs="仿宋"/>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8、</w:t>
      </w:r>
      <w:r>
        <w:rPr>
          <w:rFonts w:hint="eastAsia" w:ascii="仿宋" w:hAnsi="仿宋" w:eastAsia="仿宋" w:cs="仿宋"/>
          <w:b/>
          <w:color w:val="000000"/>
          <w:sz w:val="28"/>
        </w:rPr>
        <w:t>事业单位经营支出：</w:t>
      </w:r>
      <w:r>
        <w:rPr>
          <w:rFonts w:hint="eastAsia" w:ascii="仿宋" w:hAnsi="仿宋" w:eastAsia="仿宋" w:cs="仿宋"/>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9、</w:t>
      </w:r>
      <w:r>
        <w:rPr>
          <w:rFonts w:hint="eastAsia" w:ascii="仿宋" w:hAnsi="仿宋" w:eastAsia="仿宋" w:cs="仿宋"/>
          <w:b/>
          <w:color w:val="000000"/>
          <w:sz w:val="28"/>
        </w:rPr>
        <w:t>“三公”经费：</w:t>
      </w:r>
      <w:r>
        <w:rPr>
          <w:rFonts w:hint="eastAsia" w:ascii="仿宋" w:hAnsi="仿宋" w:eastAsia="仿宋" w:cs="仿宋"/>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10、</w:t>
      </w:r>
      <w:r>
        <w:rPr>
          <w:rFonts w:hint="eastAsia" w:ascii="仿宋" w:hAnsi="仿宋" w:eastAsia="仿宋" w:cs="仿宋"/>
          <w:b/>
          <w:color w:val="000000"/>
          <w:sz w:val="28"/>
        </w:rPr>
        <w:t>机关运行经费：</w:t>
      </w:r>
      <w:r>
        <w:rPr>
          <w:rFonts w:hint="eastAsia" w:ascii="仿宋" w:hAnsi="仿宋" w:eastAsia="仿宋" w:cs="仿宋"/>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hint="eastAsia" w:ascii="黑体" w:hAnsi="黑体" w:eastAsia="黑体" w:cs="黑体"/>
          <w:b/>
          <w:bCs/>
        </w:rPr>
      </w:pPr>
      <w:bookmarkStart w:id="19" w:name="_Toc_3_3_0000000020"/>
      <w:r>
        <w:rPr>
          <w:rFonts w:hint="eastAsia" w:ascii="黑体" w:hAnsi="黑体" w:eastAsia="黑体" w:cs="黑体"/>
          <w:b/>
          <w:bCs/>
          <w:color w:val="000000"/>
          <w:sz w:val="32"/>
        </w:rPr>
        <w:t>十一、其他需要说明的事项</w:t>
      </w:r>
      <w:bookmarkEnd w:id="19"/>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153EB"/>
    <w:multiLevelType w:val="singleLevel"/>
    <w:tmpl w:val="66C153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5BB6"/>
    <w:rsid w:val="15CC1D5A"/>
    <w:rsid w:val="18D85850"/>
    <w:rsid w:val="1C392E7F"/>
    <w:rsid w:val="1FB5490F"/>
    <w:rsid w:val="222E3979"/>
    <w:rsid w:val="240A19EC"/>
    <w:rsid w:val="278617E9"/>
    <w:rsid w:val="2C9D5C03"/>
    <w:rsid w:val="3E7D727E"/>
    <w:rsid w:val="48672BF6"/>
    <w:rsid w:val="4FF92D9B"/>
    <w:rsid w:val="517452AE"/>
    <w:rsid w:val="52D7511B"/>
    <w:rsid w:val="54295E4B"/>
    <w:rsid w:val="552B530D"/>
    <w:rsid w:val="5B9E82D9"/>
    <w:rsid w:val="619605C3"/>
    <w:rsid w:val="61FD0FF8"/>
    <w:rsid w:val="6B1646A1"/>
    <w:rsid w:val="6C5727B0"/>
    <w:rsid w:val="6E8F3CDC"/>
    <w:rsid w:val="77A70ADC"/>
    <w:rsid w:val="7A8F43AA"/>
    <w:rsid w:val="7B24671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657</Words>
  <Characters>716</Characters>
  <TotalTime>30</TotalTime>
  <ScaleCrop>false</ScaleCrop>
  <LinksUpToDate>false</LinksUpToDate>
  <CharactersWithSpaces>741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2025-02-25T00:49:00Z</dcterms:created>
  <dc:creator>Administrator</dc:creator>
  <cp:lastModifiedBy>user</cp:lastModifiedBy>
  <dcterms:modified xsi:type="dcterms:W3CDTF">2025-02-26T16:56:04Z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eyJoZGlkIjoiOGRhMDJlMmRiZTcwMjBkNjg0YzYwMDYxYTk4YjJhMGYiLCJ1c2VySWQiOiIyNjQ1MDI2ODIifQ==</vt:lpwstr>
  </property>
  <property fmtid="{D5CDD505-2E9C-101B-9397-08002B2CF9AE}" pid="4" name="ICV">
    <vt:lpwstr>C448EE74203245EC868C79F733A02464_13</vt:lpwstr>
  </property>
</Properties>
</file>