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2025年部门预算信息公开目录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7"/>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0</w:t>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2</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3</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4</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6</w:t>
      </w:r>
    </w:p>
    <w:p>
      <w:pPr>
        <w:pStyle w:val="27"/>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7</w:t>
      </w:r>
    </w:p>
    <w:p>
      <w:pPr>
        <w:pStyle w:val="27"/>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7</w:t>
      </w:r>
    </w:p>
    <w:p>
      <w:pPr>
        <w:pStyle w:val="27"/>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8</w:t>
      </w:r>
    </w:p>
    <w:p>
      <w:pPr>
        <w:pStyle w:val="27"/>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1</w:t>
      </w:r>
      <w:r>
        <w:fldChar w:fldCharType="end"/>
      </w:r>
      <w:r>
        <w:rPr>
          <w:rFonts w:hint="eastAsia"/>
          <w:lang w:val="en-US" w:eastAsia="zh-CN"/>
        </w:rPr>
        <w:t>8</w:t>
      </w:r>
    </w:p>
    <w:p>
      <w:pPr>
        <w:pStyle w:val="27"/>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0</w:t>
      </w:r>
    </w:p>
    <w:p>
      <w:pPr>
        <w:pStyle w:val="27"/>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2</w:t>
      </w:r>
      <w:r>
        <w:fldChar w:fldCharType="end"/>
      </w:r>
      <w:r>
        <w:rPr>
          <w:rFonts w:hint="eastAsia"/>
          <w:lang w:val="en-US" w:eastAsia="zh-CN"/>
        </w:rPr>
        <w:t>1</w:t>
      </w:r>
    </w:p>
    <w:p>
      <w:pPr>
        <w:pStyle w:val="27"/>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3</w:t>
      </w:r>
      <w:r>
        <w:fldChar w:fldCharType="end"/>
      </w:r>
      <w:r>
        <w:rPr>
          <w:rFonts w:hint="eastAsia"/>
          <w:lang w:val="en-US" w:eastAsia="zh-CN"/>
        </w:rPr>
        <w:t>0</w:t>
      </w:r>
    </w:p>
    <w:p>
      <w:pPr>
        <w:pStyle w:val="27"/>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3</w:t>
      </w:r>
      <w:r>
        <w:fldChar w:fldCharType="end"/>
      </w:r>
      <w:r>
        <w:rPr>
          <w:rFonts w:hint="eastAsia"/>
          <w:lang w:val="en-US" w:eastAsia="zh-CN"/>
        </w:rPr>
        <w:t>0</w:t>
      </w:r>
    </w:p>
    <w:p>
      <w:pPr>
        <w:pStyle w:val="27"/>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3</w:t>
      </w:r>
      <w:r>
        <w:fldChar w:fldCharType="end"/>
      </w:r>
      <w:r>
        <w:rPr>
          <w:rFonts w:hint="eastAsia"/>
          <w:lang w:val="en-US" w:eastAsia="zh-CN"/>
        </w:rPr>
        <w:t>1</w:t>
      </w:r>
    </w:p>
    <w:p>
      <w:pPr>
        <w:pStyle w:val="27"/>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3</w:t>
      </w:r>
      <w:r>
        <w:fldChar w:fldCharType="end"/>
      </w:r>
      <w:r>
        <w:rPr>
          <w:rFonts w:hint="eastAsia"/>
          <w:lang w:val="en-US" w:eastAsia="zh-CN"/>
        </w:rPr>
        <w:t>2</w:t>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562成安县政法委</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377.45</w:t>
            </w:r>
          </w:p>
        </w:tc>
        <w:tc>
          <w:tcPr>
            <w:tcW w:w="4535" w:type="dxa"/>
            <w:vAlign w:val="center"/>
          </w:tcPr>
          <w:p>
            <w:pPr>
              <w:pStyle w:val="12"/>
            </w:pPr>
            <w:r>
              <w:t>一、一般公共服务支出</w:t>
            </w:r>
          </w:p>
        </w:tc>
        <w:tc>
          <w:tcPr>
            <w:tcW w:w="2126" w:type="dxa"/>
            <w:vAlign w:val="center"/>
          </w:tcPr>
          <w:p>
            <w:pPr>
              <w:pStyle w:val="11"/>
            </w:pPr>
            <w:r>
              <w:t>313.14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39.45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14.76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377.45</w:t>
            </w:r>
          </w:p>
        </w:tc>
        <w:tc>
          <w:tcPr>
            <w:tcW w:w="4535" w:type="dxa"/>
            <w:vAlign w:val="center"/>
          </w:tcPr>
          <w:p>
            <w:pPr>
              <w:pStyle w:val="14"/>
            </w:pPr>
            <w:r>
              <w:t>本年支出合计</w:t>
            </w:r>
          </w:p>
        </w:tc>
        <w:tc>
          <w:tcPr>
            <w:tcW w:w="2126" w:type="dxa"/>
            <w:vAlign w:val="center"/>
          </w:tcPr>
          <w:p>
            <w:pPr>
              <w:pStyle w:val="15"/>
            </w:pPr>
            <w:r>
              <w:t>377.45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377.45</w:t>
            </w:r>
          </w:p>
        </w:tc>
        <w:tc>
          <w:tcPr>
            <w:tcW w:w="4535" w:type="dxa"/>
            <w:vAlign w:val="center"/>
          </w:tcPr>
          <w:p>
            <w:pPr>
              <w:pStyle w:val="14"/>
            </w:pPr>
            <w:r>
              <w:t>支出总计</w:t>
            </w:r>
          </w:p>
        </w:tc>
        <w:tc>
          <w:tcPr>
            <w:tcW w:w="2126" w:type="dxa"/>
            <w:vAlign w:val="center"/>
          </w:tcPr>
          <w:p>
            <w:pPr>
              <w:pStyle w:val="15"/>
            </w:pPr>
            <w:r>
              <w:t>377.45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562成安县政法委</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377.45</w:t>
            </w:r>
          </w:p>
        </w:tc>
        <w:tc>
          <w:tcPr>
            <w:tcW w:w="1134" w:type="dxa"/>
            <w:vAlign w:val="center"/>
          </w:tcPr>
          <w:p>
            <w:pPr>
              <w:pStyle w:val="15"/>
            </w:pPr>
            <w:r>
              <w:t>377.45</w:t>
            </w:r>
          </w:p>
        </w:tc>
        <w:tc>
          <w:tcPr>
            <w:tcW w:w="1134" w:type="dxa"/>
            <w:vAlign w:val="center"/>
          </w:tcPr>
          <w:p>
            <w:pPr>
              <w:pStyle w:val="15"/>
            </w:pPr>
            <w:r>
              <w:t>377.45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313.14</w:t>
            </w:r>
          </w:p>
        </w:tc>
        <w:tc>
          <w:tcPr>
            <w:tcW w:w="1134" w:type="dxa"/>
            <w:vAlign w:val="center"/>
          </w:tcPr>
          <w:p>
            <w:pPr>
              <w:pStyle w:val="11"/>
            </w:pPr>
            <w:r>
              <w:t>313.14</w:t>
            </w:r>
          </w:p>
        </w:tc>
        <w:tc>
          <w:tcPr>
            <w:tcW w:w="1134" w:type="dxa"/>
            <w:vAlign w:val="center"/>
          </w:tcPr>
          <w:p>
            <w:pPr>
              <w:pStyle w:val="11"/>
            </w:pPr>
            <w:r>
              <w:t>313.14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183.42</w:t>
            </w:r>
          </w:p>
        </w:tc>
        <w:tc>
          <w:tcPr>
            <w:tcW w:w="1134" w:type="dxa"/>
            <w:vAlign w:val="center"/>
          </w:tcPr>
          <w:p>
            <w:pPr>
              <w:pStyle w:val="11"/>
            </w:pPr>
            <w:r>
              <w:t>183.42</w:t>
            </w:r>
          </w:p>
        </w:tc>
        <w:tc>
          <w:tcPr>
            <w:tcW w:w="1134" w:type="dxa"/>
            <w:vAlign w:val="center"/>
          </w:tcPr>
          <w:p>
            <w:pPr>
              <w:pStyle w:val="11"/>
            </w:pPr>
            <w:r>
              <w:t>183.42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pPr>
              <w:pStyle w:val="13"/>
            </w:pPr>
            <w:r>
              <w:t>4</w:t>
            </w:r>
          </w:p>
        </w:tc>
        <w:tc>
          <w:tcPr>
            <w:tcW w:w="992" w:type="dxa"/>
            <w:vAlign w:val="center"/>
          </w:tcPr>
          <w:p>
            <w:pPr>
              <w:pStyle w:val="12"/>
            </w:pPr>
            <w:r>
              <w:t>2013101</w:t>
            </w:r>
          </w:p>
        </w:tc>
        <w:tc>
          <w:tcPr>
            <w:tcW w:w="1559" w:type="dxa"/>
            <w:vAlign w:val="center"/>
          </w:tcPr>
          <w:p>
            <w:pPr>
              <w:pStyle w:val="12"/>
            </w:pPr>
            <w:r>
              <w:t>行政运行</w:t>
            </w:r>
          </w:p>
        </w:tc>
        <w:tc>
          <w:tcPr>
            <w:tcW w:w="1134" w:type="dxa"/>
            <w:vAlign w:val="center"/>
          </w:tcPr>
          <w:p>
            <w:pPr>
              <w:pStyle w:val="11"/>
            </w:pPr>
            <w:r>
              <w:t>183.42</w:t>
            </w:r>
          </w:p>
        </w:tc>
        <w:tc>
          <w:tcPr>
            <w:tcW w:w="1134" w:type="dxa"/>
            <w:vAlign w:val="center"/>
          </w:tcPr>
          <w:p>
            <w:pPr>
              <w:pStyle w:val="11"/>
            </w:pPr>
            <w:r>
              <w:t>183.42</w:t>
            </w:r>
          </w:p>
        </w:tc>
        <w:tc>
          <w:tcPr>
            <w:tcW w:w="1134" w:type="dxa"/>
            <w:vAlign w:val="center"/>
          </w:tcPr>
          <w:p>
            <w:pPr>
              <w:pStyle w:val="11"/>
            </w:pPr>
            <w:r>
              <w:t>183.42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20136</w:t>
            </w:r>
          </w:p>
        </w:tc>
        <w:tc>
          <w:tcPr>
            <w:tcW w:w="1559" w:type="dxa"/>
            <w:vAlign w:val="center"/>
          </w:tcPr>
          <w:p>
            <w:pPr>
              <w:pStyle w:val="12"/>
            </w:pPr>
            <w:r>
              <w:t>其他共产党事务支出</w:t>
            </w:r>
          </w:p>
        </w:tc>
        <w:tc>
          <w:tcPr>
            <w:tcW w:w="1134" w:type="dxa"/>
            <w:vAlign w:val="center"/>
          </w:tcPr>
          <w:p>
            <w:pPr>
              <w:pStyle w:val="11"/>
            </w:pPr>
            <w:r>
              <w:t>129.72</w:t>
            </w:r>
          </w:p>
        </w:tc>
        <w:tc>
          <w:tcPr>
            <w:tcW w:w="1134" w:type="dxa"/>
            <w:vAlign w:val="center"/>
          </w:tcPr>
          <w:p>
            <w:pPr>
              <w:pStyle w:val="11"/>
            </w:pPr>
            <w:r>
              <w:t>129.72</w:t>
            </w:r>
          </w:p>
        </w:tc>
        <w:tc>
          <w:tcPr>
            <w:tcW w:w="1134" w:type="dxa"/>
            <w:vAlign w:val="center"/>
          </w:tcPr>
          <w:p>
            <w:pPr>
              <w:pStyle w:val="11"/>
            </w:pPr>
            <w:r>
              <w:t>129.72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2013602</w:t>
            </w:r>
          </w:p>
        </w:tc>
        <w:tc>
          <w:tcPr>
            <w:tcW w:w="1559" w:type="dxa"/>
            <w:vAlign w:val="center"/>
          </w:tcPr>
          <w:p>
            <w:pPr>
              <w:pStyle w:val="12"/>
            </w:pPr>
            <w:r>
              <w:t>一般行政管理事务</w:t>
            </w:r>
          </w:p>
        </w:tc>
        <w:tc>
          <w:tcPr>
            <w:tcW w:w="1134" w:type="dxa"/>
            <w:vAlign w:val="center"/>
          </w:tcPr>
          <w:p>
            <w:pPr>
              <w:pStyle w:val="11"/>
            </w:pPr>
            <w:r>
              <w:t>129.72</w:t>
            </w:r>
          </w:p>
        </w:tc>
        <w:tc>
          <w:tcPr>
            <w:tcW w:w="1134" w:type="dxa"/>
            <w:vAlign w:val="center"/>
          </w:tcPr>
          <w:p>
            <w:pPr>
              <w:pStyle w:val="11"/>
            </w:pPr>
            <w:r>
              <w:t>129.72</w:t>
            </w:r>
          </w:p>
        </w:tc>
        <w:tc>
          <w:tcPr>
            <w:tcW w:w="1134" w:type="dxa"/>
            <w:vAlign w:val="center"/>
          </w:tcPr>
          <w:p>
            <w:pPr>
              <w:pStyle w:val="11"/>
            </w:pPr>
            <w:r>
              <w:t>129.72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39.45</w:t>
            </w:r>
          </w:p>
        </w:tc>
        <w:tc>
          <w:tcPr>
            <w:tcW w:w="1134" w:type="dxa"/>
            <w:vAlign w:val="center"/>
          </w:tcPr>
          <w:p>
            <w:pPr>
              <w:pStyle w:val="11"/>
            </w:pPr>
            <w:r>
              <w:t>39.45</w:t>
            </w:r>
          </w:p>
        </w:tc>
        <w:tc>
          <w:tcPr>
            <w:tcW w:w="1134" w:type="dxa"/>
            <w:vAlign w:val="center"/>
          </w:tcPr>
          <w:p>
            <w:pPr>
              <w:pStyle w:val="11"/>
            </w:pPr>
            <w:r>
              <w:t>39.45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38.97</w:t>
            </w:r>
          </w:p>
        </w:tc>
        <w:tc>
          <w:tcPr>
            <w:tcW w:w="1134" w:type="dxa"/>
            <w:vAlign w:val="center"/>
          </w:tcPr>
          <w:p>
            <w:pPr>
              <w:pStyle w:val="11"/>
            </w:pPr>
            <w:r>
              <w:t>38.97</w:t>
            </w:r>
          </w:p>
        </w:tc>
        <w:tc>
          <w:tcPr>
            <w:tcW w:w="1134" w:type="dxa"/>
            <w:vAlign w:val="center"/>
          </w:tcPr>
          <w:p>
            <w:pPr>
              <w:pStyle w:val="11"/>
            </w:pPr>
            <w:r>
              <w:t>38.97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17.51</w:t>
            </w:r>
          </w:p>
        </w:tc>
        <w:tc>
          <w:tcPr>
            <w:tcW w:w="1134" w:type="dxa"/>
            <w:vAlign w:val="center"/>
          </w:tcPr>
          <w:p>
            <w:pPr>
              <w:pStyle w:val="11"/>
            </w:pPr>
            <w:r>
              <w:t>17.51</w:t>
            </w:r>
          </w:p>
        </w:tc>
        <w:tc>
          <w:tcPr>
            <w:tcW w:w="1134" w:type="dxa"/>
            <w:vAlign w:val="center"/>
          </w:tcPr>
          <w:p>
            <w:pPr>
              <w:pStyle w:val="11"/>
            </w:pPr>
            <w:r>
              <w:t>17.51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21.46</w:t>
            </w:r>
          </w:p>
        </w:tc>
        <w:tc>
          <w:tcPr>
            <w:tcW w:w="1134" w:type="dxa"/>
            <w:vAlign w:val="center"/>
          </w:tcPr>
          <w:p>
            <w:pPr>
              <w:pStyle w:val="11"/>
            </w:pPr>
            <w:r>
              <w:t>21.46</w:t>
            </w:r>
          </w:p>
        </w:tc>
        <w:tc>
          <w:tcPr>
            <w:tcW w:w="1134" w:type="dxa"/>
            <w:vAlign w:val="center"/>
          </w:tcPr>
          <w:p>
            <w:pPr>
              <w:pStyle w:val="11"/>
            </w:pPr>
            <w:r>
              <w:t>21.46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0.48</w:t>
            </w:r>
          </w:p>
        </w:tc>
        <w:tc>
          <w:tcPr>
            <w:tcW w:w="1134" w:type="dxa"/>
            <w:vAlign w:val="center"/>
          </w:tcPr>
          <w:p>
            <w:pPr>
              <w:pStyle w:val="11"/>
            </w:pPr>
            <w:r>
              <w:t>0.48</w:t>
            </w:r>
          </w:p>
        </w:tc>
        <w:tc>
          <w:tcPr>
            <w:tcW w:w="1134" w:type="dxa"/>
            <w:vAlign w:val="center"/>
          </w:tcPr>
          <w:p>
            <w:pPr>
              <w:pStyle w:val="11"/>
            </w:pPr>
            <w:r>
              <w:t>0.48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0.48</w:t>
            </w:r>
          </w:p>
        </w:tc>
        <w:tc>
          <w:tcPr>
            <w:tcW w:w="1134" w:type="dxa"/>
            <w:vAlign w:val="center"/>
          </w:tcPr>
          <w:p>
            <w:pPr>
              <w:pStyle w:val="11"/>
            </w:pPr>
            <w:r>
              <w:t>0.48</w:t>
            </w:r>
          </w:p>
        </w:tc>
        <w:tc>
          <w:tcPr>
            <w:tcW w:w="1134" w:type="dxa"/>
            <w:vAlign w:val="center"/>
          </w:tcPr>
          <w:p>
            <w:pPr>
              <w:pStyle w:val="11"/>
            </w:pPr>
            <w:r>
              <w:t>0.48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pPr>
              <w:pStyle w:val="13"/>
            </w:pPr>
            <w:r>
              <w:t>13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10.10</w:t>
            </w:r>
          </w:p>
        </w:tc>
        <w:tc>
          <w:tcPr>
            <w:tcW w:w="1134" w:type="dxa"/>
            <w:vAlign w:val="center"/>
          </w:tcPr>
          <w:p>
            <w:pPr>
              <w:pStyle w:val="11"/>
            </w:pPr>
            <w:r>
              <w:t>10.10</w:t>
            </w:r>
          </w:p>
        </w:tc>
        <w:tc>
          <w:tcPr>
            <w:tcW w:w="1134" w:type="dxa"/>
            <w:vAlign w:val="center"/>
          </w:tcPr>
          <w:p>
            <w:pPr>
              <w:pStyle w:val="11"/>
            </w:pPr>
            <w:r>
              <w:t>10.10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0.10</w:t>
            </w:r>
          </w:p>
        </w:tc>
        <w:tc>
          <w:tcPr>
            <w:tcW w:w="1134" w:type="dxa"/>
            <w:vAlign w:val="center"/>
          </w:tcPr>
          <w:p>
            <w:pPr>
              <w:pStyle w:val="11"/>
            </w:pPr>
            <w:r>
              <w:t>0.10</w:t>
            </w:r>
          </w:p>
        </w:tc>
        <w:tc>
          <w:tcPr>
            <w:tcW w:w="1134" w:type="dxa"/>
            <w:vAlign w:val="center"/>
          </w:tcPr>
          <w:p>
            <w:pPr>
              <w:pStyle w:val="11"/>
            </w:pPr>
            <w:r>
              <w:t>0.10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0.10</w:t>
            </w:r>
          </w:p>
        </w:tc>
        <w:tc>
          <w:tcPr>
            <w:tcW w:w="1134" w:type="dxa"/>
            <w:vAlign w:val="center"/>
          </w:tcPr>
          <w:p>
            <w:pPr>
              <w:pStyle w:val="11"/>
            </w:pPr>
            <w:r>
              <w:t>0.10</w:t>
            </w:r>
          </w:p>
        </w:tc>
        <w:tc>
          <w:tcPr>
            <w:tcW w:w="1134" w:type="dxa"/>
            <w:vAlign w:val="center"/>
          </w:tcPr>
          <w:p>
            <w:pPr>
              <w:pStyle w:val="11"/>
            </w:pPr>
            <w:r>
              <w:t>0.10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pPr>
              <w:pStyle w:val="13"/>
            </w:pPr>
            <w:r>
              <w:t>17</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pPr>
              <w:pStyle w:val="13"/>
            </w:pPr>
            <w:r>
              <w:t>18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14.76</w:t>
            </w:r>
          </w:p>
        </w:tc>
        <w:tc>
          <w:tcPr>
            <w:tcW w:w="1134" w:type="dxa"/>
            <w:vAlign w:val="center"/>
          </w:tcPr>
          <w:p>
            <w:pPr>
              <w:pStyle w:val="11"/>
            </w:pPr>
            <w:r>
              <w:t>14.76</w:t>
            </w:r>
          </w:p>
        </w:tc>
        <w:tc>
          <w:tcPr>
            <w:tcW w:w="1134" w:type="dxa"/>
            <w:vAlign w:val="center"/>
          </w:tcPr>
          <w:p>
            <w:pPr>
              <w:pStyle w:val="11"/>
            </w:pPr>
            <w:r>
              <w:t>14.76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14.76</w:t>
            </w:r>
          </w:p>
        </w:tc>
        <w:tc>
          <w:tcPr>
            <w:tcW w:w="1134" w:type="dxa"/>
            <w:vAlign w:val="center"/>
          </w:tcPr>
          <w:p>
            <w:pPr>
              <w:pStyle w:val="11"/>
            </w:pPr>
            <w:r>
              <w:t>14.76</w:t>
            </w:r>
          </w:p>
        </w:tc>
        <w:tc>
          <w:tcPr>
            <w:tcW w:w="1134" w:type="dxa"/>
            <w:vAlign w:val="center"/>
          </w:tcPr>
          <w:p>
            <w:pPr>
              <w:pStyle w:val="11"/>
            </w:pPr>
            <w:r>
              <w:t>14.76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14.76</w:t>
            </w:r>
          </w:p>
        </w:tc>
        <w:tc>
          <w:tcPr>
            <w:tcW w:w="1134" w:type="dxa"/>
            <w:vAlign w:val="center"/>
          </w:tcPr>
          <w:p>
            <w:pPr>
              <w:pStyle w:val="11"/>
            </w:pPr>
            <w:r>
              <w:t>14.76</w:t>
            </w:r>
          </w:p>
        </w:tc>
        <w:tc>
          <w:tcPr>
            <w:tcW w:w="1134" w:type="dxa"/>
            <w:vAlign w:val="center"/>
          </w:tcPr>
          <w:p>
            <w:pPr>
              <w:pStyle w:val="11"/>
            </w:pPr>
            <w:r>
              <w:t>14.76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562成安县政法委</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377.45</w:t>
            </w:r>
          </w:p>
        </w:tc>
        <w:tc>
          <w:tcPr>
            <w:tcW w:w="1361" w:type="dxa"/>
            <w:vAlign w:val="center"/>
          </w:tcPr>
          <w:p>
            <w:pPr>
              <w:pStyle w:val="15"/>
            </w:pPr>
            <w:r>
              <w:t>247.73</w:t>
            </w:r>
          </w:p>
        </w:tc>
        <w:tc>
          <w:tcPr>
            <w:tcW w:w="1361" w:type="dxa"/>
            <w:vAlign w:val="center"/>
          </w:tcPr>
          <w:p>
            <w:pPr>
              <w:pStyle w:val="15"/>
            </w:pPr>
            <w:r>
              <w:t>129.72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313.14</w:t>
            </w:r>
          </w:p>
        </w:tc>
        <w:tc>
          <w:tcPr>
            <w:tcW w:w="1361" w:type="dxa"/>
            <w:vAlign w:val="center"/>
          </w:tcPr>
          <w:p>
            <w:pPr>
              <w:pStyle w:val="11"/>
            </w:pPr>
            <w:r>
              <w:t>183.42</w:t>
            </w:r>
          </w:p>
        </w:tc>
        <w:tc>
          <w:tcPr>
            <w:tcW w:w="1361" w:type="dxa"/>
            <w:vAlign w:val="center"/>
          </w:tcPr>
          <w:p>
            <w:pPr>
              <w:pStyle w:val="11"/>
            </w:pPr>
            <w:r>
              <w:t>129.72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183.42</w:t>
            </w:r>
          </w:p>
        </w:tc>
        <w:tc>
          <w:tcPr>
            <w:tcW w:w="1361" w:type="dxa"/>
            <w:vAlign w:val="center"/>
          </w:tcPr>
          <w:p>
            <w:pPr>
              <w:pStyle w:val="11"/>
            </w:pPr>
            <w:r>
              <w:t>183.42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2013101</w:t>
            </w:r>
          </w:p>
        </w:tc>
        <w:tc>
          <w:tcPr>
            <w:tcW w:w="4535" w:type="dxa"/>
            <w:vAlign w:val="center"/>
          </w:tcPr>
          <w:p>
            <w:pPr>
              <w:pStyle w:val="12"/>
            </w:pPr>
            <w:r>
              <w:t>行政运行</w:t>
            </w:r>
          </w:p>
        </w:tc>
        <w:tc>
          <w:tcPr>
            <w:tcW w:w="1361" w:type="dxa"/>
            <w:vAlign w:val="center"/>
          </w:tcPr>
          <w:p>
            <w:pPr>
              <w:pStyle w:val="11"/>
            </w:pPr>
            <w:r>
              <w:t>183.42</w:t>
            </w:r>
          </w:p>
        </w:tc>
        <w:tc>
          <w:tcPr>
            <w:tcW w:w="1361" w:type="dxa"/>
            <w:vAlign w:val="center"/>
          </w:tcPr>
          <w:p>
            <w:pPr>
              <w:pStyle w:val="11"/>
            </w:pPr>
            <w:r>
              <w:t>183.42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20136</w:t>
            </w:r>
          </w:p>
        </w:tc>
        <w:tc>
          <w:tcPr>
            <w:tcW w:w="4535" w:type="dxa"/>
            <w:vAlign w:val="center"/>
          </w:tcPr>
          <w:p>
            <w:pPr>
              <w:pStyle w:val="12"/>
            </w:pPr>
            <w:r>
              <w:t>其他共产党事务支出</w:t>
            </w:r>
          </w:p>
        </w:tc>
        <w:tc>
          <w:tcPr>
            <w:tcW w:w="1361" w:type="dxa"/>
            <w:vAlign w:val="center"/>
          </w:tcPr>
          <w:p>
            <w:pPr>
              <w:pStyle w:val="11"/>
            </w:pPr>
            <w:r>
              <w:t>129.72</w:t>
            </w:r>
          </w:p>
        </w:tc>
        <w:tc>
          <w:tcPr>
            <w:tcW w:w="1361" w:type="dxa"/>
            <w:vAlign w:val="center"/>
          </w:tcPr>
          <w:p>
            <w:pPr>
              <w:pStyle w:val="11"/>
            </w:pPr>
          </w:p>
        </w:tc>
        <w:tc>
          <w:tcPr>
            <w:tcW w:w="1361" w:type="dxa"/>
            <w:vAlign w:val="center"/>
          </w:tcPr>
          <w:p>
            <w:pPr>
              <w:pStyle w:val="11"/>
            </w:pPr>
            <w:r>
              <w:t>129.72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2013602</w:t>
            </w:r>
          </w:p>
        </w:tc>
        <w:tc>
          <w:tcPr>
            <w:tcW w:w="4535" w:type="dxa"/>
            <w:vAlign w:val="center"/>
          </w:tcPr>
          <w:p>
            <w:pPr>
              <w:pStyle w:val="12"/>
            </w:pPr>
            <w:r>
              <w:t>一般行政管理事务</w:t>
            </w:r>
          </w:p>
        </w:tc>
        <w:tc>
          <w:tcPr>
            <w:tcW w:w="1361" w:type="dxa"/>
            <w:vAlign w:val="center"/>
          </w:tcPr>
          <w:p>
            <w:pPr>
              <w:pStyle w:val="11"/>
            </w:pPr>
            <w:r>
              <w:t>129.72</w:t>
            </w:r>
          </w:p>
        </w:tc>
        <w:tc>
          <w:tcPr>
            <w:tcW w:w="1361" w:type="dxa"/>
            <w:vAlign w:val="center"/>
          </w:tcPr>
          <w:p>
            <w:pPr>
              <w:pStyle w:val="11"/>
            </w:pPr>
          </w:p>
        </w:tc>
        <w:tc>
          <w:tcPr>
            <w:tcW w:w="1361" w:type="dxa"/>
            <w:vAlign w:val="center"/>
          </w:tcPr>
          <w:p>
            <w:pPr>
              <w:pStyle w:val="11"/>
            </w:pPr>
            <w:r>
              <w:t>129.72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39.45</w:t>
            </w:r>
          </w:p>
        </w:tc>
        <w:tc>
          <w:tcPr>
            <w:tcW w:w="1361" w:type="dxa"/>
            <w:vAlign w:val="center"/>
          </w:tcPr>
          <w:p>
            <w:pPr>
              <w:pStyle w:val="11"/>
            </w:pPr>
            <w:r>
              <w:t>39.45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38.97</w:t>
            </w:r>
          </w:p>
        </w:tc>
        <w:tc>
          <w:tcPr>
            <w:tcW w:w="1361" w:type="dxa"/>
            <w:vAlign w:val="center"/>
          </w:tcPr>
          <w:p>
            <w:pPr>
              <w:pStyle w:val="11"/>
            </w:pPr>
            <w:r>
              <w:t>38.97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17.51</w:t>
            </w:r>
          </w:p>
        </w:tc>
        <w:tc>
          <w:tcPr>
            <w:tcW w:w="1361" w:type="dxa"/>
            <w:vAlign w:val="center"/>
          </w:tcPr>
          <w:p>
            <w:pPr>
              <w:pStyle w:val="11"/>
            </w:pPr>
            <w:r>
              <w:t>17.51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21.46</w:t>
            </w:r>
          </w:p>
        </w:tc>
        <w:tc>
          <w:tcPr>
            <w:tcW w:w="1361" w:type="dxa"/>
            <w:vAlign w:val="center"/>
          </w:tcPr>
          <w:p>
            <w:pPr>
              <w:pStyle w:val="11"/>
            </w:pPr>
            <w:r>
              <w:t>21.46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20827</w:t>
            </w:r>
          </w:p>
        </w:tc>
        <w:tc>
          <w:tcPr>
            <w:tcW w:w="4535" w:type="dxa"/>
            <w:vAlign w:val="center"/>
          </w:tcPr>
          <w:p>
            <w:pPr>
              <w:pStyle w:val="12"/>
            </w:pPr>
            <w:r>
              <w:t>财政对其他社会保险基金的补助</w:t>
            </w:r>
          </w:p>
        </w:tc>
        <w:tc>
          <w:tcPr>
            <w:tcW w:w="1361" w:type="dxa"/>
            <w:vAlign w:val="center"/>
          </w:tcPr>
          <w:p>
            <w:pPr>
              <w:pStyle w:val="11"/>
            </w:pPr>
            <w:r>
              <w:t>0.48</w:t>
            </w:r>
          </w:p>
        </w:tc>
        <w:tc>
          <w:tcPr>
            <w:tcW w:w="1361" w:type="dxa"/>
            <w:vAlign w:val="center"/>
          </w:tcPr>
          <w:p>
            <w:pPr>
              <w:pStyle w:val="11"/>
            </w:pPr>
            <w:r>
              <w:t>0.48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2082702</w:t>
            </w:r>
          </w:p>
        </w:tc>
        <w:tc>
          <w:tcPr>
            <w:tcW w:w="4535" w:type="dxa"/>
            <w:vAlign w:val="center"/>
          </w:tcPr>
          <w:p>
            <w:pPr>
              <w:pStyle w:val="12"/>
            </w:pPr>
            <w:r>
              <w:t>财政对工伤保险基金的补助</w:t>
            </w:r>
          </w:p>
        </w:tc>
        <w:tc>
          <w:tcPr>
            <w:tcW w:w="1361" w:type="dxa"/>
            <w:vAlign w:val="center"/>
          </w:tcPr>
          <w:p>
            <w:pPr>
              <w:pStyle w:val="11"/>
            </w:pPr>
            <w:r>
              <w:t>0.48</w:t>
            </w:r>
          </w:p>
        </w:tc>
        <w:tc>
          <w:tcPr>
            <w:tcW w:w="1361" w:type="dxa"/>
            <w:vAlign w:val="center"/>
          </w:tcPr>
          <w:p>
            <w:pPr>
              <w:pStyle w:val="11"/>
            </w:pPr>
            <w:r>
              <w:t>0.48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10.10</w:t>
            </w:r>
          </w:p>
        </w:tc>
        <w:tc>
          <w:tcPr>
            <w:tcW w:w="1361" w:type="dxa"/>
            <w:vAlign w:val="center"/>
          </w:tcPr>
          <w:p>
            <w:pPr>
              <w:pStyle w:val="11"/>
            </w:pPr>
            <w:r>
              <w:t>10.10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0.10</w:t>
            </w:r>
          </w:p>
        </w:tc>
        <w:tc>
          <w:tcPr>
            <w:tcW w:w="1361" w:type="dxa"/>
            <w:vAlign w:val="center"/>
          </w:tcPr>
          <w:p>
            <w:pPr>
              <w:pStyle w:val="11"/>
            </w:pPr>
            <w:r>
              <w:t>0.10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0.10</w:t>
            </w:r>
          </w:p>
        </w:tc>
        <w:tc>
          <w:tcPr>
            <w:tcW w:w="1361" w:type="dxa"/>
            <w:vAlign w:val="center"/>
          </w:tcPr>
          <w:p>
            <w:pPr>
              <w:pStyle w:val="11"/>
            </w:pPr>
            <w:r>
              <w:t>0.10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10.00</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10.00</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14.76</w:t>
            </w:r>
          </w:p>
        </w:tc>
        <w:tc>
          <w:tcPr>
            <w:tcW w:w="1361" w:type="dxa"/>
            <w:vAlign w:val="center"/>
          </w:tcPr>
          <w:p>
            <w:pPr>
              <w:pStyle w:val="11"/>
            </w:pPr>
            <w:r>
              <w:t>14.76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14.76</w:t>
            </w:r>
          </w:p>
        </w:tc>
        <w:tc>
          <w:tcPr>
            <w:tcW w:w="1361" w:type="dxa"/>
            <w:vAlign w:val="center"/>
          </w:tcPr>
          <w:p>
            <w:pPr>
              <w:pStyle w:val="11"/>
            </w:pPr>
            <w:r>
              <w:t>14.76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14.76</w:t>
            </w:r>
          </w:p>
        </w:tc>
        <w:tc>
          <w:tcPr>
            <w:tcW w:w="1361" w:type="dxa"/>
            <w:vAlign w:val="center"/>
          </w:tcPr>
          <w:p>
            <w:pPr>
              <w:pStyle w:val="11"/>
            </w:pPr>
            <w:r>
              <w:t>14.76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562成安县政法委</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377.45</w:t>
            </w:r>
          </w:p>
        </w:tc>
        <w:tc>
          <w:tcPr>
            <w:tcW w:w="3402" w:type="dxa"/>
            <w:vAlign w:val="center"/>
          </w:tcPr>
          <w:p>
            <w:pPr>
              <w:pStyle w:val="12"/>
            </w:pPr>
            <w:r>
              <w:t>一、一般公共服务支出</w:t>
            </w:r>
          </w:p>
        </w:tc>
        <w:tc>
          <w:tcPr>
            <w:tcW w:w="1474" w:type="dxa"/>
            <w:vAlign w:val="center"/>
          </w:tcPr>
          <w:p>
            <w:pPr>
              <w:pStyle w:val="11"/>
            </w:pPr>
            <w:r>
              <w:t>313.14</w:t>
            </w:r>
          </w:p>
        </w:tc>
        <w:tc>
          <w:tcPr>
            <w:tcW w:w="1474" w:type="dxa"/>
            <w:vAlign w:val="center"/>
          </w:tcPr>
          <w:p>
            <w:pPr>
              <w:pStyle w:val="11"/>
            </w:pPr>
            <w:r>
              <w:t>313.14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39.45</w:t>
            </w:r>
          </w:p>
        </w:tc>
        <w:tc>
          <w:tcPr>
            <w:tcW w:w="1474" w:type="dxa"/>
            <w:vAlign w:val="center"/>
          </w:tcPr>
          <w:p>
            <w:pPr>
              <w:pStyle w:val="11"/>
            </w:pPr>
            <w:r>
              <w:t>39.45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10.10</w:t>
            </w:r>
          </w:p>
        </w:tc>
        <w:tc>
          <w:tcPr>
            <w:tcW w:w="1474" w:type="dxa"/>
            <w:vAlign w:val="center"/>
          </w:tcPr>
          <w:p>
            <w:pPr>
              <w:pStyle w:val="11"/>
            </w:pPr>
            <w:r>
              <w:t>10.10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14.76</w:t>
            </w:r>
          </w:p>
        </w:tc>
        <w:tc>
          <w:tcPr>
            <w:tcW w:w="1474" w:type="dxa"/>
            <w:vAlign w:val="center"/>
          </w:tcPr>
          <w:p>
            <w:pPr>
              <w:pStyle w:val="11"/>
            </w:pPr>
            <w:r>
              <w:t>14.76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377.45</w:t>
            </w:r>
          </w:p>
        </w:tc>
        <w:tc>
          <w:tcPr>
            <w:tcW w:w="3402" w:type="dxa"/>
            <w:vAlign w:val="center"/>
          </w:tcPr>
          <w:p>
            <w:pPr>
              <w:pStyle w:val="14"/>
            </w:pPr>
            <w:r>
              <w:t>本年支出合计</w:t>
            </w:r>
          </w:p>
        </w:tc>
        <w:tc>
          <w:tcPr>
            <w:tcW w:w="1474" w:type="dxa"/>
            <w:vAlign w:val="center"/>
          </w:tcPr>
          <w:p>
            <w:pPr>
              <w:pStyle w:val="15"/>
            </w:pPr>
            <w:r>
              <w:t>377.45</w:t>
            </w:r>
          </w:p>
        </w:tc>
        <w:tc>
          <w:tcPr>
            <w:tcW w:w="1474" w:type="dxa"/>
            <w:vAlign w:val="center"/>
          </w:tcPr>
          <w:p>
            <w:pPr>
              <w:pStyle w:val="15"/>
            </w:pPr>
            <w:r>
              <w:t>377.45</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377.45</w:t>
            </w:r>
          </w:p>
        </w:tc>
        <w:tc>
          <w:tcPr>
            <w:tcW w:w="3402" w:type="dxa"/>
            <w:vAlign w:val="center"/>
          </w:tcPr>
          <w:p>
            <w:pPr>
              <w:pStyle w:val="14"/>
            </w:pPr>
            <w:r>
              <w:t>支出总计</w:t>
            </w:r>
          </w:p>
        </w:tc>
        <w:tc>
          <w:tcPr>
            <w:tcW w:w="1474" w:type="dxa"/>
            <w:vAlign w:val="center"/>
          </w:tcPr>
          <w:p>
            <w:pPr>
              <w:pStyle w:val="15"/>
            </w:pPr>
            <w:r>
              <w:t>377.45</w:t>
            </w:r>
          </w:p>
        </w:tc>
        <w:tc>
          <w:tcPr>
            <w:tcW w:w="1474" w:type="dxa"/>
            <w:vAlign w:val="center"/>
          </w:tcPr>
          <w:p>
            <w:pPr>
              <w:pStyle w:val="15"/>
            </w:pPr>
            <w:r>
              <w:t>377.45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562成安县政法委</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377.45</w:t>
            </w:r>
          </w:p>
        </w:tc>
        <w:tc>
          <w:tcPr>
            <w:tcW w:w="2551" w:type="dxa"/>
            <w:vAlign w:val="center"/>
          </w:tcPr>
          <w:p>
            <w:pPr>
              <w:pStyle w:val="15"/>
            </w:pPr>
            <w:r>
              <w:t>247.73</w:t>
            </w:r>
          </w:p>
        </w:tc>
        <w:tc>
          <w:tcPr>
            <w:tcW w:w="2551" w:type="dxa"/>
            <w:vAlign w:val="center"/>
          </w:tcPr>
          <w:p>
            <w:pPr>
              <w:pStyle w:val="15"/>
            </w:pPr>
            <w:r>
              <w:t>129.72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313.14</w:t>
            </w:r>
          </w:p>
        </w:tc>
        <w:tc>
          <w:tcPr>
            <w:tcW w:w="2551" w:type="dxa"/>
            <w:vAlign w:val="center"/>
          </w:tcPr>
          <w:p>
            <w:pPr>
              <w:pStyle w:val="11"/>
            </w:pPr>
            <w:r>
              <w:t>183.42</w:t>
            </w:r>
          </w:p>
        </w:tc>
        <w:tc>
          <w:tcPr>
            <w:tcW w:w="2551" w:type="dxa"/>
            <w:vAlign w:val="center"/>
          </w:tcPr>
          <w:p>
            <w:pPr>
              <w:pStyle w:val="11"/>
            </w:pPr>
            <w:r>
              <w:t>129.72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183.42</w:t>
            </w:r>
          </w:p>
        </w:tc>
        <w:tc>
          <w:tcPr>
            <w:tcW w:w="2551" w:type="dxa"/>
            <w:vAlign w:val="center"/>
          </w:tcPr>
          <w:p>
            <w:pPr>
              <w:pStyle w:val="11"/>
            </w:pPr>
            <w:r>
              <w:t>183.42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2013101</w:t>
            </w:r>
          </w:p>
        </w:tc>
        <w:tc>
          <w:tcPr>
            <w:tcW w:w="4535" w:type="dxa"/>
            <w:vAlign w:val="center"/>
          </w:tcPr>
          <w:p>
            <w:pPr>
              <w:pStyle w:val="12"/>
            </w:pPr>
            <w:r>
              <w:t>行政运行</w:t>
            </w:r>
          </w:p>
        </w:tc>
        <w:tc>
          <w:tcPr>
            <w:tcW w:w="2551" w:type="dxa"/>
            <w:vAlign w:val="center"/>
          </w:tcPr>
          <w:p>
            <w:pPr>
              <w:pStyle w:val="11"/>
            </w:pPr>
            <w:r>
              <w:t>183.42</w:t>
            </w:r>
          </w:p>
        </w:tc>
        <w:tc>
          <w:tcPr>
            <w:tcW w:w="2551" w:type="dxa"/>
            <w:vAlign w:val="center"/>
          </w:tcPr>
          <w:p>
            <w:pPr>
              <w:pStyle w:val="11"/>
            </w:pPr>
            <w:r>
              <w:t>183.42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20136</w:t>
            </w:r>
          </w:p>
        </w:tc>
        <w:tc>
          <w:tcPr>
            <w:tcW w:w="4535" w:type="dxa"/>
            <w:vAlign w:val="center"/>
          </w:tcPr>
          <w:p>
            <w:pPr>
              <w:pStyle w:val="12"/>
            </w:pPr>
            <w:r>
              <w:t>其他共产党事务支出</w:t>
            </w:r>
          </w:p>
        </w:tc>
        <w:tc>
          <w:tcPr>
            <w:tcW w:w="2551" w:type="dxa"/>
            <w:vAlign w:val="center"/>
          </w:tcPr>
          <w:p>
            <w:pPr>
              <w:pStyle w:val="11"/>
            </w:pPr>
            <w:r>
              <w:t>129.72</w:t>
            </w:r>
          </w:p>
        </w:tc>
        <w:tc>
          <w:tcPr>
            <w:tcW w:w="2551" w:type="dxa"/>
            <w:vAlign w:val="center"/>
          </w:tcPr>
          <w:p>
            <w:pPr>
              <w:pStyle w:val="11"/>
            </w:pPr>
          </w:p>
        </w:tc>
        <w:tc>
          <w:tcPr>
            <w:tcW w:w="2551" w:type="dxa"/>
            <w:vAlign w:val="center"/>
          </w:tcPr>
          <w:p>
            <w:pPr>
              <w:pStyle w:val="11"/>
            </w:pPr>
            <w:r>
              <w:t>129.72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2013602</w:t>
            </w:r>
          </w:p>
        </w:tc>
        <w:tc>
          <w:tcPr>
            <w:tcW w:w="4535" w:type="dxa"/>
            <w:vAlign w:val="center"/>
          </w:tcPr>
          <w:p>
            <w:pPr>
              <w:pStyle w:val="12"/>
            </w:pPr>
            <w:r>
              <w:t>一般行政管理事务</w:t>
            </w:r>
          </w:p>
        </w:tc>
        <w:tc>
          <w:tcPr>
            <w:tcW w:w="2551" w:type="dxa"/>
            <w:vAlign w:val="center"/>
          </w:tcPr>
          <w:p>
            <w:pPr>
              <w:pStyle w:val="11"/>
            </w:pPr>
            <w:r>
              <w:t>129.72</w:t>
            </w:r>
          </w:p>
        </w:tc>
        <w:tc>
          <w:tcPr>
            <w:tcW w:w="2551" w:type="dxa"/>
            <w:vAlign w:val="center"/>
          </w:tcPr>
          <w:p>
            <w:pPr>
              <w:pStyle w:val="11"/>
            </w:pPr>
          </w:p>
        </w:tc>
        <w:tc>
          <w:tcPr>
            <w:tcW w:w="2551" w:type="dxa"/>
            <w:vAlign w:val="center"/>
          </w:tcPr>
          <w:p>
            <w:pPr>
              <w:pStyle w:val="11"/>
            </w:pPr>
            <w:r>
              <w:t>129.72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39.45</w:t>
            </w:r>
          </w:p>
        </w:tc>
        <w:tc>
          <w:tcPr>
            <w:tcW w:w="2551" w:type="dxa"/>
            <w:vAlign w:val="center"/>
          </w:tcPr>
          <w:p>
            <w:pPr>
              <w:pStyle w:val="11"/>
            </w:pPr>
            <w:r>
              <w:t>39.45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38.97</w:t>
            </w:r>
          </w:p>
        </w:tc>
        <w:tc>
          <w:tcPr>
            <w:tcW w:w="2551" w:type="dxa"/>
            <w:vAlign w:val="center"/>
          </w:tcPr>
          <w:p>
            <w:pPr>
              <w:pStyle w:val="11"/>
            </w:pPr>
            <w:r>
              <w:t>38.97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17.51</w:t>
            </w:r>
          </w:p>
        </w:tc>
        <w:tc>
          <w:tcPr>
            <w:tcW w:w="2551" w:type="dxa"/>
            <w:vAlign w:val="center"/>
          </w:tcPr>
          <w:p>
            <w:pPr>
              <w:pStyle w:val="11"/>
            </w:pPr>
            <w:r>
              <w:t>17.51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21.46</w:t>
            </w:r>
          </w:p>
        </w:tc>
        <w:tc>
          <w:tcPr>
            <w:tcW w:w="2551" w:type="dxa"/>
            <w:vAlign w:val="center"/>
          </w:tcPr>
          <w:p>
            <w:pPr>
              <w:pStyle w:val="11"/>
            </w:pPr>
            <w:r>
              <w:t>21.46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0.48</w:t>
            </w:r>
          </w:p>
        </w:tc>
        <w:tc>
          <w:tcPr>
            <w:tcW w:w="2551" w:type="dxa"/>
            <w:vAlign w:val="center"/>
          </w:tcPr>
          <w:p>
            <w:pPr>
              <w:pStyle w:val="11"/>
            </w:pPr>
            <w:r>
              <w:t>0.48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0.48</w:t>
            </w:r>
          </w:p>
        </w:tc>
        <w:tc>
          <w:tcPr>
            <w:tcW w:w="2551" w:type="dxa"/>
            <w:vAlign w:val="center"/>
          </w:tcPr>
          <w:p>
            <w:pPr>
              <w:pStyle w:val="11"/>
            </w:pPr>
            <w:r>
              <w:t>0.48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10.10</w:t>
            </w:r>
          </w:p>
        </w:tc>
        <w:tc>
          <w:tcPr>
            <w:tcW w:w="2551" w:type="dxa"/>
            <w:vAlign w:val="center"/>
          </w:tcPr>
          <w:p>
            <w:pPr>
              <w:pStyle w:val="11"/>
            </w:pPr>
            <w:r>
              <w:t>10.10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0.10</w:t>
            </w:r>
          </w:p>
        </w:tc>
        <w:tc>
          <w:tcPr>
            <w:tcW w:w="2551" w:type="dxa"/>
            <w:vAlign w:val="center"/>
          </w:tcPr>
          <w:p>
            <w:pPr>
              <w:pStyle w:val="11"/>
            </w:pPr>
            <w:r>
              <w:t>0.10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0.10</w:t>
            </w:r>
          </w:p>
        </w:tc>
        <w:tc>
          <w:tcPr>
            <w:tcW w:w="2551" w:type="dxa"/>
            <w:vAlign w:val="center"/>
          </w:tcPr>
          <w:p>
            <w:pPr>
              <w:pStyle w:val="11"/>
            </w:pPr>
            <w:r>
              <w:t>0.10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10.00</w:t>
            </w:r>
          </w:p>
        </w:tc>
        <w:tc>
          <w:tcPr>
            <w:tcW w:w="2551" w:type="dxa"/>
            <w:vAlign w:val="center"/>
          </w:tcPr>
          <w:p>
            <w:pPr>
              <w:pStyle w:val="11"/>
            </w:pPr>
            <w:r>
              <w:t>10.00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10.00</w:t>
            </w:r>
          </w:p>
        </w:tc>
        <w:tc>
          <w:tcPr>
            <w:tcW w:w="2551" w:type="dxa"/>
            <w:vAlign w:val="center"/>
          </w:tcPr>
          <w:p>
            <w:pPr>
              <w:pStyle w:val="11"/>
            </w:pPr>
            <w:r>
              <w:t>10.00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14.76</w:t>
            </w:r>
          </w:p>
        </w:tc>
        <w:tc>
          <w:tcPr>
            <w:tcW w:w="2551" w:type="dxa"/>
            <w:vAlign w:val="center"/>
          </w:tcPr>
          <w:p>
            <w:pPr>
              <w:pStyle w:val="11"/>
            </w:pPr>
            <w:r>
              <w:t>14.76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14.76</w:t>
            </w:r>
          </w:p>
        </w:tc>
        <w:tc>
          <w:tcPr>
            <w:tcW w:w="2551" w:type="dxa"/>
            <w:vAlign w:val="center"/>
          </w:tcPr>
          <w:p>
            <w:pPr>
              <w:pStyle w:val="11"/>
            </w:pPr>
            <w:r>
              <w:t>14.76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14.76</w:t>
            </w:r>
          </w:p>
        </w:tc>
        <w:tc>
          <w:tcPr>
            <w:tcW w:w="2551" w:type="dxa"/>
            <w:vAlign w:val="center"/>
          </w:tcPr>
          <w:p>
            <w:pPr>
              <w:pStyle w:val="11"/>
            </w:pPr>
            <w:r>
              <w:t>14.76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562成安县政法委</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247.73</w:t>
            </w:r>
          </w:p>
        </w:tc>
        <w:tc>
          <w:tcPr>
            <w:tcW w:w="2551" w:type="dxa"/>
            <w:vAlign w:val="center"/>
          </w:tcPr>
          <w:p>
            <w:pPr>
              <w:pStyle w:val="15"/>
            </w:pPr>
            <w:r>
              <w:t>221.63</w:t>
            </w:r>
          </w:p>
        </w:tc>
        <w:tc>
          <w:tcPr>
            <w:tcW w:w="2551" w:type="dxa"/>
            <w:vAlign w:val="center"/>
          </w:tcPr>
          <w:p>
            <w:pPr>
              <w:pStyle w:val="15"/>
            </w:pPr>
            <w:r>
              <w:t>26.10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204.12</w:t>
            </w:r>
          </w:p>
        </w:tc>
        <w:tc>
          <w:tcPr>
            <w:tcW w:w="2551" w:type="dxa"/>
            <w:vAlign w:val="center"/>
          </w:tcPr>
          <w:p>
            <w:pPr>
              <w:pStyle w:val="11"/>
            </w:pPr>
            <w:r>
              <w:t>204.12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83.56</w:t>
            </w:r>
          </w:p>
        </w:tc>
        <w:tc>
          <w:tcPr>
            <w:tcW w:w="2551" w:type="dxa"/>
            <w:vAlign w:val="center"/>
          </w:tcPr>
          <w:p>
            <w:pPr>
              <w:pStyle w:val="11"/>
            </w:pPr>
            <w:r>
              <w:t>83.56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33.07</w:t>
            </w:r>
          </w:p>
        </w:tc>
        <w:tc>
          <w:tcPr>
            <w:tcW w:w="2551" w:type="dxa"/>
            <w:vAlign w:val="center"/>
          </w:tcPr>
          <w:p>
            <w:pPr>
              <w:pStyle w:val="11"/>
            </w:pPr>
            <w:r>
              <w:t>33.07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21.43</w:t>
            </w:r>
          </w:p>
        </w:tc>
        <w:tc>
          <w:tcPr>
            <w:tcW w:w="2551" w:type="dxa"/>
            <w:vAlign w:val="center"/>
          </w:tcPr>
          <w:p>
            <w:pPr>
              <w:pStyle w:val="11"/>
            </w:pPr>
            <w:r>
              <w:t>21.43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19.26</w:t>
            </w:r>
          </w:p>
        </w:tc>
        <w:tc>
          <w:tcPr>
            <w:tcW w:w="2551" w:type="dxa"/>
            <w:vAlign w:val="center"/>
          </w:tcPr>
          <w:p>
            <w:pPr>
              <w:pStyle w:val="11"/>
            </w:pPr>
            <w:r>
              <w:t>19.26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21.46</w:t>
            </w:r>
          </w:p>
        </w:tc>
        <w:tc>
          <w:tcPr>
            <w:tcW w:w="2551" w:type="dxa"/>
            <w:vAlign w:val="center"/>
          </w:tcPr>
          <w:p>
            <w:pPr>
              <w:pStyle w:val="11"/>
            </w:pPr>
            <w:r>
              <w:t>21.46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10.10</w:t>
            </w:r>
          </w:p>
        </w:tc>
        <w:tc>
          <w:tcPr>
            <w:tcW w:w="2551" w:type="dxa"/>
            <w:vAlign w:val="center"/>
          </w:tcPr>
          <w:p>
            <w:pPr>
              <w:pStyle w:val="11"/>
            </w:pPr>
            <w:r>
              <w:t>10.10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0.48</w:t>
            </w:r>
          </w:p>
        </w:tc>
        <w:tc>
          <w:tcPr>
            <w:tcW w:w="2551" w:type="dxa"/>
            <w:vAlign w:val="center"/>
          </w:tcPr>
          <w:p>
            <w:pPr>
              <w:pStyle w:val="11"/>
            </w:pPr>
            <w:r>
              <w:t>0.48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14.76</w:t>
            </w:r>
          </w:p>
        </w:tc>
        <w:tc>
          <w:tcPr>
            <w:tcW w:w="2551" w:type="dxa"/>
            <w:vAlign w:val="center"/>
          </w:tcPr>
          <w:p>
            <w:pPr>
              <w:pStyle w:val="11"/>
            </w:pPr>
            <w:r>
              <w:t>14.76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26.10</w:t>
            </w:r>
          </w:p>
        </w:tc>
        <w:tc>
          <w:tcPr>
            <w:tcW w:w="2551" w:type="dxa"/>
            <w:vAlign w:val="center"/>
          </w:tcPr>
          <w:p>
            <w:pPr>
              <w:pStyle w:val="11"/>
            </w:pPr>
          </w:p>
        </w:tc>
        <w:tc>
          <w:tcPr>
            <w:tcW w:w="2551" w:type="dxa"/>
            <w:vAlign w:val="center"/>
          </w:tcPr>
          <w:p>
            <w:pPr>
              <w:pStyle w:val="11"/>
            </w:pPr>
            <w:r>
              <w:t>26.10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18.00</w:t>
            </w:r>
          </w:p>
        </w:tc>
        <w:tc>
          <w:tcPr>
            <w:tcW w:w="2551" w:type="dxa"/>
            <w:vAlign w:val="center"/>
          </w:tcPr>
          <w:p>
            <w:pPr>
              <w:pStyle w:val="11"/>
            </w:pPr>
          </w:p>
        </w:tc>
        <w:tc>
          <w:tcPr>
            <w:tcW w:w="2551" w:type="dxa"/>
            <w:vAlign w:val="center"/>
          </w:tcPr>
          <w:p>
            <w:pPr>
              <w:pStyle w:val="11"/>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8.10</w:t>
            </w:r>
          </w:p>
        </w:tc>
        <w:tc>
          <w:tcPr>
            <w:tcW w:w="2551" w:type="dxa"/>
            <w:vAlign w:val="center"/>
          </w:tcPr>
          <w:p>
            <w:pPr>
              <w:pStyle w:val="11"/>
            </w:pPr>
          </w:p>
        </w:tc>
        <w:tc>
          <w:tcPr>
            <w:tcW w:w="2551" w:type="dxa"/>
            <w:vAlign w:val="center"/>
          </w:tcPr>
          <w:p>
            <w:pPr>
              <w:pStyle w:val="11"/>
            </w:pPr>
            <w:r>
              <w:t>8.10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17.51</w:t>
            </w:r>
          </w:p>
        </w:tc>
        <w:tc>
          <w:tcPr>
            <w:tcW w:w="2551" w:type="dxa"/>
            <w:vAlign w:val="center"/>
          </w:tcPr>
          <w:p>
            <w:pPr>
              <w:pStyle w:val="11"/>
            </w:pPr>
            <w:r>
              <w:t>17.51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17.51</w:t>
            </w:r>
          </w:p>
        </w:tc>
        <w:tc>
          <w:tcPr>
            <w:tcW w:w="2551" w:type="dxa"/>
            <w:vAlign w:val="center"/>
          </w:tcPr>
          <w:p>
            <w:pPr>
              <w:pStyle w:val="11"/>
            </w:pPr>
            <w:r>
              <w:t>17.51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562成安县政法委</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562成安县政法委</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562成安县政法委</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成安县政法委2025年部门预算信息公开情况说明</w:t>
      </w:r>
    </w:p>
    <w:p>
      <w:pPr>
        <w:jc w:val="center"/>
      </w:pPr>
      <w:r>
        <w:rPr>
          <w:rFonts w:ascii="方正小标宋_GBK" w:hAnsi="方正小标宋_GBK" w:eastAsia="方正小标宋_GBK" w:cs="方正小标宋_GBK"/>
          <w:color w:val="000000"/>
          <w:sz w:val="44"/>
        </w:rPr>
        <w:t>成安县政法委2025年部门预算信息公开情况说明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按照《中华人民共和国预算法》、《地方预决算公开操作规程》和《关于进一步推进预算公开工作的实施意见》规定，现将成安县政法委2025年部门预算公开如下：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1.根据党中央的路线、方针、政策和县委部署，统一政法部门的思想和行动。</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2.研究制定全县政法工作和社会治安综合治理工作具体政策措施，及时向县委提出建议，对一定时期内的政法工作和社会综合治理工作，作出全局性部署，并督促贯彻落实。</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3.监督和支持政法部门依法行使职权，指导和协调政法部门在依法相互制约的同时密切配合，研究和讨论有争议的重大、疑难案件，参与大案要案的指导和监督工作。检查政法部门执行法律法规和党的方针、政策情况，结合实际，研究制定严肃执法，落实党的方针政策的具体措施。</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4.组织协调和指导维护社会稳定的工作。</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5.组织、协调社会治安综合治理工作，推动各项措施的落实。</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6.推动政法工作重大政策法律问题的调查研究，推进政法工作改革。</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7.按照县委的规定，协助党委及其组织部门考察、管理政法部门的领导干部，研究加强政法队伍建设和领导班子建设的措施。</w:t>
      </w:r>
    </w:p>
    <w:p>
      <w:pPr>
        <w:ind w:firstLine="640"/>
        <w:rPr>
          <w:rFonts w:hint="eastAsia"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8.办理县委和上级政法机关交办的其他事项。</w:t>
      </w:r>
    </w:p>
    <w:p>
      <w:pPr>
        <w:ind w:firstLine="640"/>
        <w:rPr>
          <w:rFonts w:hint="eastAsia" w:ascii="Times New Roman" w:hAnsi="Times New Roman" w:eastAsia="方正仿宋_GBK" w:cs="Times New Roman"/>
          <w:color w:val="000000"/>
          <w:kern w:val="0"/>
          <w:sz w:val="28"/>
          <w:lang w:eastAsia="uk-UA"/>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成安县政法委(本级)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numPr>
          <w:ilvl w:val="0"/>
          <w:numId w:val="1"/>
        </w:numPr>
        <w:spacing w:before="10" w:after="10" w:line="360" w:lineRule="auto"/>
        <w:ind w:firstLine="640"/>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pPr>
        <w:pStyle w:val="18"/>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按照预算管理有关规定，目前我省</w:t>
      </w:r>
      <w:r>
        <w:rPr>
          <w:rFonts w:hint="eastAsia" w:cs="Times New Roman"/>
          <w:color w:val="000000"/>
          <w:sz w:val="28"/>
          <w:lang w:val="en-US" w:eastAsia="zh-CN"/>
        </w:rPr>
        <w:t>单位</w:t>
      </w:r>
      <w:r>
        <w:rPr>
          <w:rFonts w:hint="eastAsia" w:ascii="Times New Roman" w:hAnsi="Times New Roman" w:eastAsia="方正仿宋_GBK" w:cs="Times New Roman"/>
          <w:color w:val="000000"/>
          <w:sz w:val="28"/>
        </w:rPr>
        <w:t>预算的编制实行综合预算管理，即全部收入和支出都反映在预算中。成安县</w:t>
      </w:r>
      <w:r>
        <w:rPr>
          <w:rFonts w:hint="eastAsia" w:cs="Times New Roman"/>
          <w:color w:val="000000"/>
          <w:sz w:val="28"/>
          <w:lang w:val="en-US" w:eastAsia="zh-CN"/>
        </w:rPr>
        <w:t>政法委</w:t>
      </w:r>
      <w:r>
        <w:rPr>
          <w:rFonts w:hint="eastAsia" w:ascii="Times New Roman" w:hAnsi="Times New Roman" w:eastAsia="方正仿宋_GBK" w:cs="Times New Roman"/>
          <w:color w:val="000000"/>
          <w:sz w:val="28"/>
        </w:rPr>
        <w:t>的收支包含在部门预算中。</w:t>
      </w:r>
    </w:p>
    <w:p>
      <w:pPr>
        <w:pStyle w:val="18"/>
        <w:rPr>
          <w:rFonts w:hint="eastAsia" w:ascii="黑体" w:hAnsi="黑体" w:eastAsia="黑体" w:cs="黑体"/>
          <w:color w:val="000000"/>
          <w:sz w:val="32"/>
        </w:rPr>
      </w:pPr>
      <w:r>
        <w:rPr>
          <w:rFonts w:hint="eastAsia" w:ascii="Times New Roman" w:hAnsi="Times New Roman" w:eastAsia="方正仿宋_GBK" w:cs="Times New Roman"/>
          <w:color w:val="000000"/>
          <w:sz w:val="28"/>
        </w:rPr>
        <w:t>按照预算管理有关规定，目前我</w:t>
      </w:r>
      <w:r>
        <w:rPr>
          <w:rFonts w:hint="eastAsia" w:cs="Times New Roman"/>
          <w:color w:val="000000"/>
          <w:sz w:val="28"/>
          <w:lang w:val="en-US" w:eastAsia="zh-CN"/>
        </w:rPr>
        <w:t>单位</w:t>
      </w:r>
      <w:r>
        <w:rPr>
          <w:rFonts w:hint="eastAsia" w:ascii="Times New Roman" w:hAnsi="Times New Roman" w:eastAsia="方正仿宋_GBK" w:cs="Times New Roman"/>
          <w:color w:val="000000"/>
          <w:sz w:val="28"/>
        </w:rPr>
        <w:t>预算的编制实行综合预算制度，即全部收入和支出都反映在预算中。</w:t>
      </w:r>
    </w:p>
    <w:p>
      <w:pPr>
        <w:pStyle w:val="18"/>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1、收入说明</w:t>
      </w:r>
    </w:p>
    <w:p>
      <w:pPr>
        <w:pStyle w:val="18"/>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cs="Times New Roman"/>
          <w:color w:val="000000"/>
          <w:sz w:val="28"/>
          <w:lang w:val="en-US" w:eastAsia="zh-CN"/>
        </w:rPr>
        <w:t>5</w:t>
      </w:r>
      <w:r>
        <w:rPr>
          <w:rFonts w:hint="eastAsia" w:ascii="Times New Roman" w:hAnsi="Times New Roman" w:eastAsia="方正仿宋_GBK" w:cs="Times New Roman"/>
          <w:color w:val="000000"/>
          <w:sz w:val="28"/>
        </w:rPr>
        <w:t>年预算收入</w:t>
      </w:r>
      <w:r>
        <w:rPr>
          <w:rFonts w:hint="eastAsia" w:cs="Times New Roman"/>
          <w:color w:val="000000"/>
          <w:sz w:val="28"/>
          <w:lang w:val="en-US" w:eastAsia="zh-CN"/>
        </w:rPr>
        <w:t>377.45</w:t>
      </w:r>
      <w:r>
        <w:rPr>
          <w:rFonts w:hint="eastAsia" w:ascii="Times New Roman" w:hAnsi="Times New Roman" w:eastAsia="方正仿宋_GBK" w:cs="Times New Roman"/>
          <w:color w:val="000000"/>
          <w:sz w:val="28"/>
        </w:rPr>
        <w:t>万元，其中：一般公共预算收入</w:t>
      </w:r>
      <w:r>
        <w:rPr>
          <w:rFonts w:hint="eastAsia" w:cs="Times New Roman"/>
          <w:color w:val="000000"/>
          <w:sz w:val="28"/>
          <w:lang w:val="en-US" w:eastAsia="zh-CN"/>
        </w:rPr>
        <w:t>377.45</w:t>
      </w:r>
      <w:r>
        <w:rPr>
          <w:rFonts w:hint="eastAsia" w:ascii="Times New Roman" w:hAnsi="Times New Roman" w:eastAsia="方正仿宋_GBK" w:cs="Times New Roman"/>
          <w:color w:val="000000"/>
          <w:sz w:val="28"/>
        </w:rPr>
        <w:t>万元。政府性基金收入0万元，国有资本经营收入0万元，事业收入0万元，其他收入0万元。</w:t>
      </w:r>
    </w:p>
    <w:p>
      <w:pPr>
        <w:pStyle w:val="18"/>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2、支出说明</w:t>
      </w:r>
    </w:p>
    <w:p>
      <w:pPr>
        <w:pStyle w:val="18"/>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cs="Times New Roman"/>
          <w:color w:val="000000"/>
          <w:sz w:val="28"/>
          <w:lang w:val="en-US" w:eastAsia="zh-CN"/>
        </w:rPr>
        <w:t>5</w:t>
      </w:r>
      <w:r>
        <w:rPr>
          <w:rFonts w:hint="eastAsia" w:ascii="Times New Roman" w:hAnsi="Times New Roman" w:eastAsia="方正仿宋_GBK" w:cs="Times New Roman"/>
          <w:color w:val="000000"/>
          <w:sz w:val="28"/>
        </w:rPr>
        <w:t>年支出预算</w:t>
      </w:r>
      <w:r>
        <w:rPr>
          <w:rFonts w:hint="eastAsia" w:cs="Times New Roman"/>
          <w:color w:val="000000"/>
          <w:sz w:val="28"/>
          <w:lang w:val="en-US" w:eastAsia="zh-CN"/>
        </w:rPr>
        <w:t>377.45</w:t>
      </w:r>
      <w:r>
        <w:rPr>
          <w:rFonts w:hint="eastAsia" w:ascii="Times New Roman" w:hAnsi="Times New Roman" w:eastAsia="方正仿宋_GBK" w:cs="Times New Roman"/>
          <w:color w:val="000000"/>
          <w:sz w:val="28"/>
        </w:rPr>
        <w:t>万元，其中基本支出</w:t>
      </w:r>
      <w:r>
        <w:rPr>
          <w:rFonts w:hint="eastAsia" w:cs="Times New Roman"/>
          <w:color w:val="000000"/>
          <w:sz w:val="28"/>
          <w:lang w:val="en-US" w:eastAsia="zh-CN"/>
        </w:rPr>
        <w:t>247.73</w:t>
      </w:r>
      <w:r>
        <w:rPr>
          <w:rFonts w:hint="eastAsia" w:ascii="Times New Roman" w:hAnsi="Times New Roman" w:eastAsia="方正仿宋_GBK" w:cs="Times New Roman"/>
          <w:color w:val="000000"/>
          <w:sz w:val="28"/>
        </w:rPr>
        <w:t>万元，包括人员经费</w:t>
      </w:r>
      <w:r>
        <w:rPr>
          <w:rFonts w:hint="eastAsia" w:cs="Times New Roman"/>
          <w:color w:val="000000"/>
          <w:sz w:val="28"/>
          <w:lang w:val="en-US" w:eastAsia="zh-CN"/>
        </w:rPr>
        <w:t>221.63</w:t>
      </w:r>
      <w:r>
        <w:rPr>
          <w:rFonts w:hint="eastAsia" w:ascii="Times New Roman" w:hAnsi="Times New Roman" w:eastAsia="方正仿宋_GBK" w:cs="Times New Roman"/>
          <w:color w:val="000000"/>
          <w:sz w:val="28"/>
        </w:rPr>
        <w:t>万元和日常公用经费</w:t>
      </w:r>
      <w:r>
        <w:rPr>
          <w:rFonts w:hint="eastAsia" w:cs="Times New Roman"/>
          <w:color w:val="000000"/>
          <w:sz w:val="28"/>
          <w:lang w:val="en-US" w:eastAsia="zh-CN"/>
        </w:rPr>
        <w:t>26.1</w:t>
      </w:r>
      <w:r>
        <w:rPr>
          <w:rFonts w:hint="eastAsia" w:ascii="Times New Roman" w:hAnsi="Times New Roman" w:eastAsia="方正仿宋_GBK" w:cs="Times New Roman"/>
          <w:color w:val="000000"/>
          <w:sz w:val="28"/>
        </w:rPr>
        <w:t>万元。项目支出</w:t>
      </w:r>
      <w:r>
        <w:rPr>
          <w:rFonts w:hint="eastAsia" w:cs="Times New Roman"/>
          <w:color w:val="000000"/>
          <w:sz w:val="28"/>
          <w:lang w:val="en-US" w:eastAsia="zh-CN"/>
        </w:rPr>
        <w:t>129.72</w:t>
      </w:r>
      <w:r>
        <w:rPr>
          <w:rFonts w:hint="eastAsia" w:ascii="Times New Roman" w:hAnsi="Times New Roman" w:eastAsia="方正仿宋_GBK" w:cs="Times New Roman"/>
          <w:color w:val="000000"/>
          <w:sz w:val="28"/>
        </w:rPr>
        <w:t>万元，主要是</w:t>
      </w:r>
      <w:r>
        <w:rPr>
          <w:rFonts w:hint="eastAsia" w:ascii="Times New Roman" w:hAnsi="Times New Roman" w:eastAsia="方正仿宋_GBK" w:cs="Times New Roman"/>
          <w:color w:val="000000"/>
          <w:sz w:val="28"/>
          <w:lang w:val="en-US" w:eastAsia="zh-CN"/>
        </w:rPr>
        <w:t>综治参与平安建设保险</w:t>
      </w:r>
      <w:r>
        <w:rPr>
          <w:rFonts w:hint="eastAsia" w:cs="Times New Roman"/>
          <w:color w:val="000000"/>
          <w:sz w:val="28"/>
          <w:lang w:val="en-US" w:eastAsia="zh-CN"/>
        </w:rPr>
        <w:t>业务</w:t>
      </w:r>
      <w:r>
        <w:rPr>
          <w:rFonts w:hint="eastAsia" w:ascii="Times New Roman" w:hAnsi="Times New Roman" w:eastAsia="方正仿宋_GBK" w:cs="Times New Roman"/>
          <w:color w:val="000000"/>
          <w:sz w:val="28"/>
        </w:rPr>
        <w:t>经费</w:t>
      </w:r>
      <w:r>
        <w:rPr>
          <w:rFonts w:hint="eastAsia" w:ascii="Times New Roman" w:hAnsi="Times New Roman" w:eastAsia="方正仿宋_GBK" w:cs="Times New Roman"/>
          <w:color w:val="000000"/>
          <w:sz w:val="28"/>
          <w:lang w:val="en-US" w:eastAsia="zh-CN"/>
        </w:rPr>
        <w:t>和政法网传输维保费</w:t>
      </w:r>
      <w:r>
        <w:rPr>
          <w:rFonts w:hint="eastAsia" w:ascii="Times New Roman" w:hAnsi="Times New Roman" w:eastAsia="方正仿宋_GBK" w:cs="Times New Roman"/>
          <w:color w:val="000000"/>
          <w:sz w:val="28"/>
        </w:rPr>
        <w:t>。</w:t>
      </w:r>
    </w:p>
    <w:p>
      <w:pPr>
        <w:pStyle w:val="18"/>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3、比上年增减变化情况</w:t>
      </w:r>
    </w:p>
    <w:p>
      <w:pPr>
        <w:pStyle w:val="18"/>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cs="Times New Roman"/>
          <w:color w:val="000000"/>
          <w:sz w:val="28"/>
          <w:lang w:val="en-US" w:eastAsia="zh-CN"/>
        </w:rPr>
        <w:t>5</w:t>
      </w:r>
      <w:r>
        <w:rPr>
          <w:rFonts w:hint="eastAsia" w:ascii="Times New Roman" w:hAnsi="Times New Roman" w:eastAsia="方正仿宋_GBK" w:cs="Times New Roman"/>
          <w:color w:val="000000"/>
          <w:sz w:val="28"/>
        </w:rPr>
        <w:t>年预算收支安排</w:t>
      </w:r>
      <w:r>
        <w:rPr>
          <w:rFonts w:hint="eastAsia" w:cs="Times New Roman"/>
          <w:color w:val="000000"/>
          <w:sz w:val="28"/>
          <w:lang w:val="en-US" w:eastAsia="zh-CN"/>
        </w:rPr>
        <w:t>277.45</w:t>
      </w:r>
      <w:r>
        <w:rPr>
          <w:rFonts w:hint="eastAsia" w:ascii="Times New Roman" w:hAnsi="Times New Roman" w:eastAsia="方正仿宋_GBK" w:cs="Times New Roman"/>
          <w:color w:val="000000"/>
          <w:sz w:val="28"/>
        </w:rPr>
        <w:t>万元，较20</w:t>
      </w:r>
      <w:r>
        <w:rPr>
          <w:rFonts w:hint="eastAsia" w:ascii="Times New Roman" w:hAnsi="Times New Roman" w:eastAsia="方正仿宋_GBK" w:cs="Times New Roman"/>
          <w:color w:val="000000"/>
          <w:sz w:val="28"/>
          <w:lang w:val="en-US" w:eastAsia="zh-CN"/>
        </w:rPr>
        <w:t>2</w:t>
      </w:r>
      <w:r>
        <w:rPr>
          <w:rFonts w:hint="eastAsia" w:cs="Times New Roman"/>
          <w:color w:val="000000"/>
          <w:sz w:val="28"/>
          <w:lang w:val="en-US" w:eastAsia="zh-CN"/>
        </w:rPr>
        <w:t>4</w:t>
      </w:r>
      <w:r>
        <w:rPr>
          <w:rFonts w:hint="eastAsia" w:ascii="Times New Roman" w:hAnsi="Times New Roman" w:eastAsia="方正仿宋_GBK" w:cs="Times New Roman"/>
          <w:color w:val="000000"/>
          <w:sz w:val="28"/>
        </w:rPr>
        <w:t>年预算</w:t>
      </w:r>
      <w:r>
        <w:rPr>
          <w:rFonts w:hint="eastAsia" w:cs="Times New Roman"/>
          <w:color w:val="000000"/>
          <w:sz w:val="28"/>
          <w:lang w:val="en-US" w:eastAsia="zh-CN"/>
        </w:rPr>
        <w:t>减少3.64</w:t>
      </w:r>
      <w:r>
        <w:rPr>
          <w:rFonts w:hint="eastAsia" w:ascii="Times New Roman" w:hAnsi="Times New Roman" w:eastAsia="方正仿宋_GBK" w:cs="Times New Roman"/>
          <w:color w:val="000000"/>
          <w:sz w:val="28"/>
        </w:rPr>
        <w:t>万元，主要原因：</w:t>
      </w:r>
      <w:r>
        <w:rPr>
          <w:rFonts w:hint="eastAsia" w:cs="Times New Roman"/>
          <w:color w:val="000000"/>
          <w:sz w:val="28"/>
          <w:lang w:val="en-US" w:eastAsia="zh-CN"/>
        </w:rPr>
        <w:t>日常公用经费减少。</w:t>
      </w:r>
    </w:p>
    <w:p>
      <w:pPr>
        <w:numPr>
          <w:ilvl w:val="0"/>
          <w:numId w:val="1"/>
        </w:numPr>
        <w:spacing w:before="10" w:after="10" w:line="360" w:lineRule="auto"/>
        <w:ind w:left="0" w:leftChars="0" w:firstLine="640" w:firstLineChars="0"/>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keepNext w:val="0"/>
        <w:keepLines w:val="0"/>
        <w:pageBreakBefore w:val="0"/>
        <w:widowControl/>
        <w:kinsoku/>
        <w:wordWrap/>
        <w:overflowPunct/>
        <w:topLinePunct w:val="0"/>
        <w:autoSpaceDE/>
        <w:autoSpaceDN/>
        <w:bidi w:val="0"/>
        <w:adjustRightInd/>
        <w:snapToGrid/>
        <w:spacing w:line="560" w:lineRule="exact"/>
        <w:ind w:firstLine="640"/>
        <w:textAlignment w:val="auto"/>
      </w:pPr>
      <w:r>
        <w:rPr>
          <w:rFonts w:hint="eastAsia" w:ascii="Times New Roman" w:hAnsi="Times New Roman" w:eastAsia="方正仿宋_GBK" w:cs="Times New Roman"/>
          <w:color w:val="000000"/>
          <w:sz w:val="28"/>
        </w:rPr>
        <w:t>日常公用经费安排</w:t>
      </w:r>
      <w:r>
        <w:rPr>
          <w:rFonts w:hint="eastAsia" w:eastAsia="方正仿宋_GBK" w:cs="Times New Roman"/>
          <w:color w:val="000000"/>
          <w:sz w:val="28"/>
          <w:lang w:val="en-US" w:eastAsia="zh-CN"/>
        </w:rPr>
        <w:t>26.1</w:t>
      </w:r>
      <w:r>
        <w:rPr>
          <w:rFonts w:hint="eastAsia" w:ascii="Times New Roman" w:hAnsi="Times New Roman" w:eastAsia="方正仿宋_GBK" w:cs="Times New Roman"/>
          <w:color w:val="000000"/>
          <w:sz w:val="28"/>
        </w:rPr>
        <w:t>万元，包括：办公费、其他交通费。</w:t>
      </w:r>
    </w:p>
    <w:p>
      <w:pPr>
        <w:numPr>
          <w:ilvl w:val="0"/>
          <w:numId w:val="1"/>
        </w:numPr>
        <w:spacing w:before="10" w:after="10" w:line="360" w:lineRule="auto"/>
        <w:ind w:left="0" w:leftChars="0" w:firstLine="640" w:firstLineChars="0"/>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pStyle w:val="20"/>
        <w:keepNext w:val="0"/>
        <w:keepLines w:val="0"/>
        <w:pageBreakBefore w:val="0"/>
        <w:widowControl/>
        <w:kinsoku/>
        <w:wordWrap/>
        <w:overflowPunct/>
        <w:topLinePunct w:val="0"/>
        <w:autoSpaceDE/>
        <w:autoSpaceDN/>
        <w:bidi w:val="0"/>
        <w:adjustRightInd/>
        <w:snapToGrid/>
        <w:spacing w:line="560" w:lineRule="exact"/>
        <w:textAlignment w:val="auto"/>
      </w:pPr>
      <w:r>
        <w:rPr>
          <w:rFonts w:hint="eastAsia" w:ascii="Times New Roman" w:hAnsi="Times New Roman" w:eastAsia="方正仿宋_GBK" w:cs="Times New Roman"/>
          <w:color w:val="000000"/>
          <w:sz w:val="28"/>
          <w:szCs w:val="24"/>
          <w:lang w:val="en-US" w:eastAsia="uk-UA" w:bidi="ar-SA"/>
        </w:rPr>
        <w:t>202</w:t>
      </w:r>
      <w:r>
        <w:rPr>
          <w:rFonts w:hint="eastAsia" w:cs="Times New Roman"/>
          <w:color w:val="000000"/>
          <w:sz w:val="28"/>
          <w:szCs w:val="24"/>
          <w:lang w:val="en-US" w:eastAsia="zh-CN" w:bidi="ar-SA"/>
        </w:rPr>
        <w:t>4</w:t>
      </w:r>
      <w:r>
        <w:rPr>
          <w:rFonts w:hint="eastAsia" w:ascii="Times New Roman" w:hAnsi="Times New Roman" w:eastAsia="方正仿宋_GBK" w:cs="Times New Roman"/>
          <w:color w:val="000000"/>
          <w:sz w:val="28"/>
          <w:szCs w:val="24"/>
          <w:lang w:val="en-US" w:eastAsia="uk-UA" w:bidi="ar-SA"/>
        </w:rPr>
        <w:t>年度“三公”预算支出</w:t>
      </w:r>
      <w:r>
        <w:rPr>
          <w:rFonts w:hint="eastAsia" w:cs="Times New Roman"/>
          <w:color w:val="000000"/>
          <w:sz w:val="28"/>
          <w:szCs w:val="24"/>
          <w:lang w:val="en-US" w:eastAsia="zh-CN" w:bidi="ar-SA"/>
        </w:rPr>
        <w:t>0</w:t>
      </w:r>
      <w:r>
        <w:rPr>
          <w:rFonts w:hint="eastAsia" w:ascii="Times New Roman" w:hAnsi="Times New Roman" w:eastAsia="方正仿宋_GBK" w:cs="Times New Roman"/>
          <w:color w:val="000000"/>
          <w:sz w:val="28"/>
          <w:szCs w:val="24"/>
          <w:lang w:val="en-US" w:eastAsia="uk-UA" w:bidi="ar-SA"/>
        </w:rPr>
        <w:t>万元，其中，因公出国（境）费0元，安排公务用车维护费</w:t>
      </w:r>
      <w:r>
        <w:rPr>
          <w:rFonts w:hint="eastAsia" w:cs="Times New Roman"/>
          <w:color w:val="000000"/>
          <w:sz w:val="28"/>
          <w:szCs w:val="24"/>
          <w:lang w:val="en-US" w:eastAsia="zh-CN" w:bidi="ar-SA"/>
        </w:rPr>
        <w:t>0</w:t>
      </w:r>
      <w:r>
        <w:rPr>
          <w:rFonts w:hint="eastAsia" w:ascii="Times New Roman" w:hAnsi="Times New Roman" w:eastAsia="方正仿宋_GBK" w:cs="Times New Roman"/>
          <w:color w:val="000000"/>
          <w:sz w:val="28"/>
          <w:szCs w:val="24"/>
          <w:lang w:val="en-US" w:eastAsia="zh-CN" w:bidi="ar-SA"/>
        </w:rPr>
        <w:t>万</w:t>
      </w:r>
      <w:r>
        <w:rPr>
          <w:rFonts w:hint="eastAsia" w:ascii="Times New Roman" w:hAnsi="Times New Roman" w:eastAsia="方正仿宋_GBK" w:cs="Times New Roman"/>
          <w:color w:val="000000"/>
          <w:sz w:val="28"/>
          <w:szCs w:val="24"/>
          <w:lang w:val="en-US" w:eastAsia="uk-UA" w:bidi="ar-SA"/>
        </w:rPr>
        <w:t>元，（其中公务用车购置费0元，公务用车运行维护费</w:t>
      </w:r>
      <w:r>
        <w:rPr>
          <w:rFonts w:hint="eastAsia" w:cs="Times New Roman"/>
          <w:color w:val="000000"/>
          <w:sz w:val="28"/>
          <w:szCs w:val="24"/>
          <w:lang w:val="en-US" w:eastAsia="zh-CN" w:bidi="ar-SA"/>
        </w:rPr>
        <w:t>0</w:t>
      </w:r>
      <w:r>
        <w:rPr>
          <w:rFonts w:hint="eastAsia" w:ascii="Times New Roman" w:hAnsi="Times New Roman" w:eastAsia="方正仿宋_GBK" w:cs="Times New Roman"/>
          <w:color w:val="000000"/>
          <w:sz w:val="28"/>
          <w:szCs w:val="24"/>
          <w:lang w:val="en-US" w:eastAsia="uk-UA" w:bidi="ar-SA"/>
        </w:rPr>
        <w:t>万元），公务接待费0万元，因</w:t>
      </w:r>
      <w:r>
        <w:rPr>
          <w:rFonts w:hint="eastAsia" w:cs="Times New Roman"/>
          <w:color w:val="000000"/>
          <w:sz w:val="28"/>
          <w:szCs w:val="24"/>
          <w:lang w:val="en-US" w:eastAsia="zh-CN" w:bidi="ar-SA"/>
        </w:rPr>
        <w:t>公</w:t>
      </w:r>
      <w:r>
        <w:rPr>
          <w:rFonts w:hint="eastAsia" w:ascii="Times New Roman" w:hAnsi="Times New Roman" w:eastAsia="方正仿宋_GBK" w:cs="Times New Roman"/>
          <w:color w:val="000000"/>
          <w:sz w:val="28"/>
          <w:szCs w:val="24"/>
          <w:lang w:val="en-US" w:eastAsia="uk-UA" w:bidi="ar-SA"/>
        </w:rPr>
        <w:t>出国（境）费与202</w:t>
      </w:r>
      <w:r>
        <w:rPr>
          <w:rFonts w:hint="eastAsia" w:cs="Times New Roman"/>
          <w:color w:val="000000"/>
          <w:sz w:val="28"/>
          <w:szCs w:val="24"/>
          <w:lang w:val="en-US" w:eastAsia="zh-CN" w:bidi="ar-SA"/>
        </w:rPr>
        <w:t>4</w:t>
      </w:r>
      <w:r>
        <w:rPr>
          <w:rFonts w:hint="eastAsia" w:ascii="Times New Roman" w:hAnsi="Times New Roman" w:eastAsia="方正仿宋_GBK" w:cs="Times New Roman"/>
          <w:color w:val="000000"/>
          <w:sz w:val="28"/>
          <w:szCs w:val="24"/>
          <w:lang w:val="en-US" w:eastAsia="uk-UA" w:bidi="ar-SA"/>
        </w:rPr>
        <w:t>年持平，公务接待费与202</w:t>
      </w:r>
      <w:r>
        <w:rPr>
          <w:rFonts w:hint="eastAsia" w:cs="Times New Roman"/>
          <w:color w:val="000000"/>
          <w:sz w:val="28"/>
          <w:szCs w:val="24"/>
          <w:lang w:val="en-US" w:eastAsia="zh-CN" w:bidi="ar-SA"/>
        </w:rPr>
        <w:t>4</w:t>
      </w:r>
      <w:r>
        <w:rPr>
          <w:rFonts w:hint="eastAsia" w:ascii="Times New Roman" w:hAnsi="Times New Roman" w:eastAsia="方正仿宋_GBK" w:cs="Times New Roman"/>
          <w:color w:val="000000"/>
          <w:sz w:val="28"/>
          <w:szCs w:val="24"/>
          <w:lang w:val="en-US" w:eastAsia="uk-UA" w:bidi="ar-SA"/>
        </w:rPr>
        <w:t>年持平，202</w:t>
      </w:r>
      <w:r>
        <w:rPr>
          <w:rFonts w:hint="eastAsia" w:cs="Times New Roman"/>
          <w:color w:val="000000"/>
          <w:sz w:val="28"/>
          <w:szCs w:val="24"/>
          <w:lang w:val="en-US" w:eastAsia="zh-CN" w:bidi="ar-SA"/>
        </w:rPr>
        <w:t>5</w:t>
      </w:r>
      <w:r>
        <w:rPr>
          <w:rFonts w:hint="eastAsia" w:ascii="Times New Roman" w:hAnsi="Times New Roman" w:eastAsia="方正仿宋_GBK" w:cs="Times New Roman"/>
          <w:color w:val="000000"/>
          <w:sz w:val="28"/>
          <w:szCs w:val="24"/>
          <w:lang w:val="en-US" w:eastAsia="uk-UA" w:bidi="ar-SA"/>
        </w:rPr>
        <w:t>年公务用车运行维护费</w:t>
      </w:r>
      <w:r>
        <w:rPr>
          <w:rFonts w:hint="eastAsia" w:cs="Times New Roman"/>
          <w:color w:val="000000"/>
          <w:sz w:val="28"/>
          <w:szCs w:val="24"/>
          <w:lang w:val="en-US" w:eastAsia="zh-CN" w:bidi="ar-SA"/>
        </w:rPr>
        <w:t>减少2万元，</w:t>
      </w:r>
      <w:r>
        <w:rPr>
          <w:rFonts w:hint="eastAsia" w:ascii="Times New Roman" w:hAnsi="Times New Roman" w:eastAsia="方正仿宋_GBK" w:cs="Times New Roman"/>
          <w:color w:val="000000"/>
          <w:sz w:val="28"/>
        </w:rPr>
        <w:t>主要原因：</w:t>
      </w:r>
      <w:r>
        <w:rPr>
          <w:rFonts w:hint="eastAsia" w:cs="Times New Roman"/>
          <w:color w:val="000000"/>
          <w:sz w:val="28"/>
          <w:lang w:val="en-US" w:eastAsia="zh-CN"/>
        </w:rPr>
        <w:t>车辆已报废</w:t>
      </w:r>
      <w:r>
        <w:rPr>
          <w:rFonts w:hint="eastAsia" w:cs="Times New Roman"/>
          <w:color w:val="000000"/>
          <w:sz w:val="28"/>
          <w:szCs w:val="24"/>
          <w:lang w:val="en-US" w:eastAsia="zh-CN" w:bidi="ar-SA"/>
        </w:rPr>
        <w:t>。</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rPr>
          <w:rFonts w:hint="eastAsia" w:ascii="Times New Roman" w:hAnsi="Times New Roman" w:eastAsia="方正仿宋_GBK" w:cs="Times New Roman"/>
          <w:color w:val="000000"/>
          <w:kern w:val="0"/>
          <w:sz w:val="28"/>
          <w:lang w:val="en-US" w:eastAsia="zh-CN"/>
        </w:rPr>
        <w:t>贯彻落实党中央和省、市委、县委关于政法工作的政策法规，加强</w:t>
      </w:r>
      <w:r>
        <w:rPr>
          <w:rFonts w:hint="eastAsia" w:eastAsia="方正仿宋_GBK" w:cs="Times New Roman"/>
          <w:color w:val="000000"/>
          <w:kern w:val="0"/>
          <w:sz w:val="28"/>
          <w:lang w:val="en-US" w:eastAsia="zh-CN"/>
        </w:rPr>
        <w:t>法治建设</w:t>
      </w:r>
      <w:r>
        <w:rPr>
          <w:rFonts w:hint="eastAsia" w:ascii="Times New Roman" w:hAnsi="Times New Roman" w:eastAsia="方正仿宋_GBK" w:cs="Times New Roman"/>
          <w:color w:val="000000"/>
          <w:kern w:val="0"/>
          <w:sz w:val="28"/>
          <w:lang w:val="en-US" w:eastAsia="zh-CN"/>
        </w:rPr>
        <w:t>、维护社会稳定、加强执法监督。</w:t>
      </w:r>
    </w:p>
    <w:p>
      <w:pPr>
        <w:spacing w:line="500" w:lineRule="exact"/>
        <w:ind w:firstLine="560"/>
      </w:pPr>
      <w:r>
        <w:rPr>
          <w:rFonts w:eastAsia="方正仿宋_GBK"/>
          <w:color w:val="000000"/>
          <w:sz w:val="28"/>
        </w:rPr>
        <w:t>（二）分项绩效目标</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val="en-US" w:eastAsia="uk-UA"/>
        </w:rPr>
      </w:pPr>
      <w:r>
        <w:rPr>
          <w:rFonts w:hint="eastAsia" w:ascii="Times New Roman" w:hAnsi="Times New Roman" w:eastAsia="方正仿宋_GBK" w:cs="Times New Roman"/>
          <w:color w:val="000000"/>
          <w:kern w:val="0"/>
          <w:sz w:val="28"/>
          <w:lang w:val="en-US" w:eastAsia="zh-CN"/>
        </w:rPr>
        <w:t>1、</w:t>
      </w:r>
      <w:r>
        <w:rPr>
          <w:rFonts w:hint="eastAsia" w:ascii="Times New Roman" w:hAnsi="Times New Roman" w:eastAsia="方正仿宋_GBK" w:cs="Times New Roman"/>
          <w:color w:val="000000"/>
          <w:kern w:val="0"/>
          <w:sz w:val="28"/>
          <w:lang w:val="en-US" w:eastAsia="uk-UA"/>
        </w:rPr>
        <w:t>202</w:t>
      </w:r>
      <w:r>
        <w:rPr>
          <w:rFonts w:hint="eastAsia" w:ascii="Times New Roman" w:hAnsi="Times New Roman" w:eastAsia="方正仿宋_GBK" w:cs="Times New Roman"/>
          <w:color w:val="000000"/>
          <w:kern w:val="0"/>
          <w:sz w:val="28"/>
          <w:lang w:val="en-US" w:eastAsia="zh-CN"/>
        </w:rPr>
        <w:t>5</w:t>
      </w:r>
      <w:r>
        <w:rPr>
          <w:rFonts w:hint="eastAsia" w:ascii="Times New Roman" w:hAnsi="Times New Roman" w:eastAsia="方正仿宋_GBK" w:cs="Times New Roman"/>
          <w:color w:val="000000"/>
          <w:kern w:val="0"/>
          <w:sz w:val="28"/>
          <w:lang w:val="en-US" w:eastAsia="uk-UA"/>
        </w:rPr>
        <w:t>年政法网传输维保费</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val="en-US" w:eastAsia="zh-CN"/>
        </w:rPr>
      </w:pPr>
      <w:r>
        <w:rPr>
          <w:rFonts w:hint="eastAsia" w:ascii="Times New Roman" w:hAnsi="Times New Roman" w:eastAsia="方正仿宋_GBK" w:cs="Times New Roman"/>
          <w:color w:val="000000"/>
          <w:kern w:val="0"/>
          <w:sz w:val="28"/>
          <w:lang w:val="en-US" w:eastAsia="uk-UA"/>
        </w:rPr>
        <w:t>绩效目标：切实加强做好政治信息化应用工作</w:t>
      </w:r>
      <w:r>
        <w:rPr>
          <w:rFonts w:hint="eastAsia" w:ascii="Times New Roman" w:hAnsi="Times New Roman" w:eastAsia="方正仿宋_GBK" w:cs="Times New Roman"/>
          <w:color w:val="000000"/>
          <w:kern w:val="0"/>
          <w:sz w:val="28"/>
          <w:lang w:val="en-US" w:eastAsia="zh-CN"/>
        </w:rPr>
        <w:t>。</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val="en-US" w:eastAsia="uk-UA"/>
        </w:rPr>
      </w:pPr>
      <w:r>
        <w:rPr>
          <w:rFonts w:hint="eastAsia" w:ascii="Times New Roman" w:hAnsi="Times New Roman" w:eastAsia="方正仿宋_GBK" w:cs="Times New Roman"/>
          <w:color w:val="000000"/>
          <w:kern w:val="0"/>
          <w:sz w:val="28"/>
          <w:lang w:val="en-US" w:eastAsia="uk-UA"/>
        </w:rPr>
        <w:t>绩效指标：根据上级时间要求有序推进各项工作。</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val="en-US" w:eastAsia="uk-UA"/>
        </w:rPr>
      </w:pPr>
      <w:r>
        <w:rPr>
          <w:rFonts w:hint="eastAsia" w:ascii="Times New Roman" w:hAnsi="Times New Roman" w:eastAsia="方正仿宋_GBK" w:cs="Times New Roman"/>
          <w:color w:val="000000"/>
          <w:kern w:val="0"/>
          <w:sz w:val="28"/>
          <w:lang w:val="en-US" w:eastAsia="zh-CN"/>
        </w:rPr>
        <w:t>2、</w:t>
      </w:r>
      <w:r>
        <w:rPr>
          <w:rFonts w:hint="eastAsia" w:ascii="Times New Roman" w:hAnsi="Times New Roman" w:eastAsia="方正仿宋_GBK" w:cs="Times New Roman"/>
          <w:color w:val="000000"/>
          <w:kern w:val="0"/>
          <w:sz w:val="28"/>
          <w:lang w:val="en-US" w:eastAsia="uk-UA"/>
        </w:rPr>
        <w:t>202</w:t>
      </w:r>
      <w:r>
        <w:rPr>
          <w:rFonts w:hint="eastAsia" w:eastAsia="方正仿宋_GBK" w:cs="Times New Roman"/>
          <w:color w:val="000000"/>
          <w:kern w:val="0"/>
          <w:sz w:val="28"/>
          <w:lang w:val="en-US" w:eastAsia="zh-CN"/>
        </w:rPr>
        <w:t>5</w:t>
      </w:r>
      <w:r>
        <w:rPr>
          <w:rFonts w:hint="eastAsia" w:ascii="Times New Roman" w:hAnsi="Times New Roman" w:eastAsia="方正仿宋_GBK" w:cs="Times New Roman"/>
          <w:color w:val="000000"/>
          <w:kern w:val="0"/>
          <w:sz w:val="28"/>
          <w:lang w:val="en-US" w:eastAsia="uk-UA"/>
        </w:rPr>
        <w:t>年常态化扫黑除恶专项斗争工作经费</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val="en-US" w:eastAsia="zh-CN"/>
        </w:rPr>
      </w:pPr>
      <w:r>
        <w:rPr>
          <w:rFonts w:hint="eastAsia" w:ascii="Times New Roman" w:hAnsi="Times New Roman" w:eastAsia="方正仿宋_GBK" w:cs="Times New Roman"/>
          <w:color w:val="000000"/>
          <w:kern w:val="0"/>
          <w:sz w:val="28"/>
          <w:lang w:val="en-US" w:eastAsia="uk-UA"/>
        </w:rPr>
        <w:t>绩效目标：</w:t>
      </w:r>
      <w:r>
        <w:rPr>
          <w:rFonts w:hint="eastAsia" w:ascii="Times New Roman" w:hAnsi="Times New Roman" w:eastAsia="方正仿宋_GBK" w:cs="Times New Roman"/>
          <w:color w:val="000000"/>
          <w:kern w:val="0"/>
          <w:sz w:val="28"/>
          <w:lang w:val="en-US" w:eastAsia="zh-CN"/>
        </w:rPr>
        <w:t>为全县经济社会健康、协调、可持续发展营造安全稳定的社会环境。</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val="en-US" w:eastAsia="uk-UA"/>
        </w:rPr>
      </w:pPr>
      <w:r>
        <w:rPr>
          <w:rFonts w:hint="eastAsia" w:ascii="Times New Roman" w:hAnsi="Times New Roman" w:eastAsia="方正仿宋_GBK" w:cs="Times New Roman"/>
          <w:color w:val="000000"/>
          <w:kern w:val="0"/>
          <w:sz w:val="28"/>
          <w:lang w:val="en-US" w:eastAsia="uk-UA"/>
        </w:rPr>
        <w:t>绩效指标：根据上级时间要求有序推进各项工作。</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val="en-US" w:eastAsia="uk-UA"/>
        </w:rPr>
      </w:pPr>
      <w:r>
        <w:rPr>
          <w:rFonts w:hint="eastAsia" w:ascii="Times New Roman" w:hAnsi="Times New Roman" w:eastAsia="方正仿宋_GBK" w:cs="Times New Roman"/>
          <w:color w:val="000000"/>
          <w:kern w:val="0"/>
          <w:sz w:val="28"/>
          <w:lang w:val="en-US" w:eastAsia="zh-CN"/>
        </w:rPr>
        <w:t>3、</w:t>
      </w:r>
      <w:r>
        <w:rPr>
          <w:rFonts w:hint="eastAsia" w:ascii="Times New Roman" w:hAnsi="Times New Roman" w:eastAsia="方正仿宋_GBK" w:cs="Times New Roman"/>
          <w:color w:val="000000"/>
          <w:kern w:val="0"/>
          <w:sz w:val="28"/>
          <w:lang w:val="en-US" w:eastAsia="uk-UA"/>
        </w:rPr>
        <w:t>202</w:t>
      </w:r>
      <w:r>
        <w:rPr>
          <w:rFonts w:hint="eastAsia" w:eastAsia="方正仿宋_GBK" w:cs="Times New Roman"/>
          <w:color w:val="000000"/>
          <w:kern w:val="0"/>
          <w:sz w:val="28"/>
          <w:lang w:val="en-US" w:eastAsia="zh-CN"/>
        </w:rPr>
        <w:t>5</w:t>
      </w:r>
      <w:r>
        <w:rPr>
          <w:rFonts w:hint="eastAsia" w:ascii="Times New Roman" w:hAnsi="Times New Roman" w:eastAsia="方正仿宋_GBK" w:cs="Times New Roman"/>
          <w:color w:val="000000"/>
          <w:kern w:val="0"/>
          <w:sz w:val="28"/>
          <w:lang w:val="en-US" w:eastAsia="uk-UA"/>
        </w:rPr>
        <w:t>年严重精神病障碍患者监护人责任险</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val="en-US" w:eastAsia="zh-CN"/>
        </w:rPr>
      </w:pPr>
      <w:r>
        <w:rPr>
          <w:rFonts w:hint="eastAsia" w:ascii="Times New Roman" w:hAnsi="Times New Roman" w:eastAsia="方正仿宋_GBK" w:cs="Times New Roman"/>
          <w:color w:val="000000"/>
          <w:kern w:val="0"/>
          <w:sz w:val="28"/>
          <w:lang w:val="en-US" w:eastAsia="uk-UA"/>
        </w:rPr>
        <w:t>绩效目标：督促落实严重精神障碍患者监护人“以奖代补”政策和监护人责任险工作，把以奖代补政策工作和监护人责任险工作纳入平安建设考核内容</w:t>
      </w:r>
      <w:r>
        <w:rPr>
          <w:rFonts w:hint="eastAsia" w:ascii="Times New Roman" w:hAnsi="Times New Roman" w:eastAsia="方正仿宋_GBK" w:cs="Times New Roman"/>
          <w:color w:val="000000"/>
          <w:kern w:val="0"/>
          <w:sz w:val="28"/>
          <w:lang w:val="en-US" w:eastAsia="zh-CN"/>
        </w:rPr>
        <w:t>。</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val="en-US" w:eastAsia="uk-UA"/>
        </w:rPr>
      </w:pPr>
      <w:r>
        <w:rPr>
          <w:rFonts w:hint="eastAsia" w:ascii="Times New Roman" w:hAnsi="Times New Roman" w:eastAsia="方正仿宋_GBK" w:cs="Times New Roman"/>
          <w:color w:val="000000"/>
          <w:kern w:val="0"/>
          <w:sz w:val="28"/>
          <w:lang w:val="en-US" w:eastAsia="uk-UA"/>
        </w:rPr>
        <w:t>绩效指标：根据上级时间要求有序推进各项工作。</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val="en-US" w:eastAsia="zh-CN"/>
        </w:rPr>
        <w:t>4、</w:t>
      </w:r>
      <w:r>
        <w:rPr>
          <w:rFonts w:hint="eastAsia" w:ascii="Times New Roman" w:hAnsi="Times New Roman" w:eastAsia="方正仿宋_GBK" w:cs="Times New Roman"/>
          <w:color w:val="000000"/>
          <w:kern w:val="0"/>
          <w:sz w:val="28"/>
          <w:lang w:val="en-US" w:eastAsia="uk-UA"/>
        </w:rPr>
        <w:t>202</w:t>
      </w:r>
      <w:r>
        <w:rPr>
          <w:rFonts w:hint="eastAsia" w:eastAsia="方正仿宋_GBK" w:cs="Times New Roman"/>
          <w:color w:val="000000"/>
          <w:kern w:val="0"/>
          <w:sz w:val="28"/>
          <w:lang w:val="en-US" w:eastAsia="zh-CN"/>
        </w:rPr>
        <w:t>5</w:t>
      </w:r>
      <w:r>
        <w:rPr>
          <w:rFonts w:hint="eastAsia" w:ascii="Times New Roman" w:hAnsi="Times New Roman" w:eastAsia="方正仿宋_GBK" w:cs="Times New Roman"/>
          <w:color w:val="000000"/>
          <w:kern w:val="0"/>
          <w:sz w:val="28"/>
          <w:lang w:val="en-US" w:eastAsia="uk-UA"/>
        </w:rPr>
        <w:t>年治安保险业参</w:t>
      </w:r>
      <w:r>
        <w:rPr>
          <w:rFonts w:hint="eastAsia" w:ascii="Times New Roman" w:hAnsi="Times New Roman" w:eastAsia="方正仿宋_GBK" w:cs="Times New Roman"/>
          <w:color w:val="000000"/>
          <w:kern w:val="0"/>
          <w:sz w:val="28"/>
          <w:lang w:eastAsia="uk-UA"/>
        </w:rPr>
        <w:t>与平安建设</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val="en-US" w:eastAsia="uk-UA"/>
        </w:rPr>
      </w:pPr>
      <w:r>
        <w:rPr>
          <w:rFonts w:hint="eastAsia" w:ascii="Times New Roman" w:hAnsi="Times New Roman" w:eastAsia="方正仿宋_GBK" w:cs="Times New Roman"/>
          <w:color w:val="000000"/>
          <w:kern w:val="0"/>
          <w:sz w:val="28"/>
          <w:lang w:val="en-US" w:eastAsia="uk-UA"/>
        </w:rPr>
        <w:t>绩效目标：保障全县人民群众家庭财产和人身安全，特别是当人民群众遭受突发事件，不可抗力自然灾害，精神病患者侵害，见义勇为，肇事车辆逃逸造成的人身伤亡及其他不可预见的财产损失等情况进行托底保障，为全县人民群众购买惠普型保险产品。</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val="en-US" w:eastAsia="uk-UA"/>
        </w:rPr>
      </w:pPr>
      <w:r>
        <w:rPr>
          <w:rFonts w:hint="eastAsia" w:ascii="Times New Roman" w:hAnsi="Times New Roman" w:eastAsia="方正仿宋_GBK" w:cs="Times New Roman"/>
          <w:color w:val="000000"/>
          <w:kern w:val="0"/>
          <w:sz w:val="28"/>
          <w:lang w:val="en-US" w:eastAsia="uk-UA"/>
        </w:rPr>
        <w:t>绩效指标：根据上级时间要求有序推进各项工作。</w:t>
      </w:r>
    </w:p>
    <w:p>
      <w:pPr>
        <w:spacing w:line="500" w:lineRule="exact"/>
        <w:ind w:firstLine="560"/>
      </w:pPr>
      <w:r>
        <w:rPr>
          <w:rFonts w:eastAsia="方正仿宋_GBK"/>
          <w:color w:val="000000"/>
          <w:sz w:val="28"/>
        </w:rPr>
        <w:t>（三）工作保障措施</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val="en-US" w:eastAsia="uk-UA"/>
        </w:rPr>
      </w:pPr>
      <w:r>
        <w:rPr>
          <w:rFonts w:hint="eastAsia" w:ascii="Times New Roman" w:hAnsi="Times New Roman" w:eastAsia="方正仿宋_GBK" w:cs="Times New Roman"/>
          <w:color w:val="000000"/>
          <w:kern w:val="0"/>
          <w:sz w:val="28"/>
          <w:lang w:val="en-US" w:eastAsia="zh-CN"/>
        </w:rPr>
        <w:t>1、</w:t>
      </w:r>
      <w:r>
        <w:rPr>
          <w:rFonts w:hint="eastAsia" w:ascii="Times New Roman" w:hAnsi="Times New Roman" w:eastAsia="方正仿宋_GBK" w:cs="Times New Roman"/>
          <w:color w:val="000000"/>
          <w:kern w:val="0"/>
          <w:sz w:val="28"/>
          <w:lang w:val="en-US" w:eastAsia="uk-UA"/>
        </w:rPr>
        <w:t>完善制度建设。对财务制度以及相关配套制度进行更新和完善，规范票据管理和报销流程，确保有章可循和有章必循，进一步提升财政资金管理使用科学化规范化水平，为全年预算绩效目标的实现奠定制度基础。</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val="en-US" w:eastAsia="uk-UA"/>
        </w:rPr>
      </w:pPr>
      <w:r>
        <w:rPr>
          <w:rFonts w:hint="eastAsia" w:ascii="Times New Roman" w:hAnsi="Times New Roman" w:eastAsia="方正仿宋_GBK" w:cs="Times New Roman"/>
          <w:color w:val="000000"/>
          <w:kern w:val="0"/>
          <w:sz w:val="28"/>
          <w:lang w:val="en-US" w:eastAsia="zh-CN"/>
        </w:rPr>
        <w:t>2、</w:t>
      </w:r>
      <w:r>
        <w:rPr>
          <w:rFonts w:hint="eastAsia" w:ascii="Times New Roman" w:hAnsi="Times New Roman" w:eastAsia="方正仿宋_GBK" w:cs="Times New Roman"/>
          <w:color w:val="000000"/>
          <w:kern w:val="0"/>
          <w:sz w:val="28"/>
          <w:lang w:val="en-US" w:eastAsia="uk-UA"/>
        </w:rPr>
        <w:t>加强支出管理。结合年度目标任务将全面工作进行细化分解，按月按活动制定支出计划，明确指出分类，不断优化支出结构，同时，严格经费使用管理，严把各个环节支出流程，确保资金使用合规。加快资金支付进度，与工作同时跟进，杜绝滞后现象，通过优化支出结构、编细编实预算、加快履行政府采购手续、尽快启动项目、及时支付资金、细化代编预算、按规定及时安排资金等多种措施，确保支出进度达标。</w:t>
      </w:r>
    </w:p>
    <w:p>
      <w:pPr>
        <w:widowControl/>
        <w:spacing w:before="0" w:after="0" w:line="500" w:lineRule="exact"/>
        <w:ind w:firstLine="560"/>
        <w:jc w:val="left"/>
        <w:outlineLvl w:val="9"/>
        <w:rPr>
          <w:rFonts w:hint="eastAsia" w:ascii="Times New Roman" w:hAnsi="Times New Roman" w:eastAsia="方正仿宋_GBK" w:cs="Times New Roman"/>
          <w:color w:val="000000"/>
          <w:kern w:val="0"/>
          <w:sz w:val="28"/>
          <w:lang w:val="en-US" w:eastAsia="uk-UA"/>
        </w:rPr>
      </w:pPr>
      <w:r>
        <w:rPr>
          <w:rFonts w:hint="eastAsia" w:ascii="Times New Roman" w:hAnsi="Times New Roman" w:eastAsia="方正仿宋_GBK" w:cs="Times New Roman"/>
          <w:color w:val="000000"/>
          <w:kern w:val="0"/>
          <w:sz w:val="28"/>
          <w:lang w:val="en-US" w:eastAsia="zh-CN"/>
        </w:rPr>
        <w:t>3、</w:t>
      </w:r>
      <w:r>
        <w:rPr>
          <w:rFonts w:hint="eastAsia" w:ascii="Times New Roman" w:hAnsi="Times New Roman" w:eastAsia="方正仿宋_GBK" w:cs="Times New Roman"/>
          <w:color w:val="000000"/>
          <w:kern w:val="0"/>
          <w:sz w:val="28"/>
          <w:lang w:val="en-US" w:eastAsia="uk-UA"/>
        </w:rPr>
        <w:t>加强绩效运行监控。按要求开展绩效运行监控，建立健全加强绩效监督管理运行长效机制，按月进行自查自纠，发现问题及时采取措施，确保绩效目标如期保质实现。</w:t>
      </w:r>
    </w:p>
    <w:p>
      <w:pPr>
        <w:pStyle w:val="23"/>
        <w:sectPr>
          <w:pgSz w:w="16840" w:h="11900" w:orient="landscape"/>
          <w:pgMar w:top="1361" w:right="1020" w:bottom="1361" w:left="1020" w:header="720" w:footer="720" w:gutter="0"/>
          <w:cols w:space="720" w:num="1"/>
        </w:sectPr>
      </w:pPr>
    </w:p>
    <w:p>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widowControl/>
        <w:spacing w:before="0" w:after="0" w:line="500" w:lineRule="exact"/>
        <w:ind w:firstLine="560"/>
        <w:jc w:val="left"/>
        <w:outlineLvl w:val="9"/>
        <w:rPr>
          <w:rFonts w:hint="eastAsia" w:ascii="宋体" w:hAnsi="宋体" w:eastAsia="宋体" w:cs="宋体"/>
          <w:color w:val="000000"/>
          <w:kern w:val="0"/>
          <w:sz w:val="32"/>
          <w:szCs w:val="32"/>
          <w:lang w:val="en-US" w:eastAsia="uk-UA"/>
        </w:rPr>
        <w:sectPr>
          <w:pgSz w:w="16840" w:h="11900" w:orient="landscape"/>
          <w:pgMar w:top="1361" w:right="1020" w:bottom="1134" w:left="1020" w:header="720" w:footer="720" w:gutter="0"/>
          <w:cols w:space="720" w:num="1"/>
        </w:sectPr>
      </w:pPr>
      <w:r>
        <w:rPr>
          <w:rFonts w:hint="eastAsia" w:ascii="宋体" w:hAnsi="宋体" w:eastAsia="宋体" w:cs="宋体"/>
          <w:color w:val="000000"/>
          <w:kern w:val="0"/>
          <w:sz w:val="32"/>
          <w:szCs w:val="32"/>
          <w:lang w:val="en-US" w:eastAsia="uk-UA"/>
        </w:rPr>
        <w:t>我部门无主管的专项资金预算</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1、2025常态化扫黑除恶工作经费绩效目标表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13042425P000033100045</w:t>
            </w:r>
          </w:p>
        </w:tc>
        <w:tc>
          <w:tcPr>
            <w:tcW w:w="2835" w:type="dxa"/>
            <w:vAlign w:val="center"/>
          </w:tcPr>
          <w:p>
            <w:pPr>
              <w:pStyle w:val="10"/>
            </w:pPr>
            <w:r>
              <w:t>项目名称</w:t>
            </w:r>
          </w:p>
        </w:tc>
        <w:tc>
          <w:tcPr>
            <w:tcW w:w="6095" w:type="dxa"/>
            <w:gridSpan w:val="3"/>
            <w:vAlign w:val="center"/>
          </w:tcPr>
          <w:p>
            <w:pPr>
              <w:pStyle w:val="12"/>
            </w:pPr>
            <w:r>
              <w:t>2025常态化扫黑除恶工作经费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"为巩固深化扫黑除恶专项斗争成果，常态化、机制化开展扫黑除恶斗争，确保人民安居乐业、社会安定有序、国家长治久安。</w:t>
            </w:r>
            <w:r>
              <w:tab/>
            </w:r>
            <w:r>
              <w:tab/>
            </w:r>
            <w:r>
              <w:tab/>
            </w:r>
            <w:r>
              <w:tab/>
            </w:r>
            <w:r>
              <w:tab/>
            </w:r>
            <w:r>
              <w:tab/>
            </w:r>
          </w:p>
          <w:p>
            <w:pPr>
              <w:pStyle w:val="12"/>
            </w:pPr>
            <w:r>
              <w:t>"</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w:t>
            </w:r>
          </w:p>
        </w:tc>
        <w:tc>
          <w:tcPr>
            <w:tcW w:w="2835" w:type="dxa"/>
            <w:vAlign w:val="center"/>
          </w:tcPr>
          <w:p>
            <w:pPr>
              <w:pStyle w:val="13"/>
            </w:pPr>
            <w:r>
              <w:t>10.00</w:t>
            </w:r>
          </w:p>
        </w:tc>
        <w:tc>
          <w:tcPr>
            <w:tcW w:w="2551" w:type="dxa"/>
            <w:vAlign w:val="center"/>
          </w:tcPr>
          <w:p>
            <w:pPr>
              <w:pStyle w:val="13"/>
            </w:pPr>
            <w:r>
              <w:t>15.00</w:t>
            </w:r>
          </w:p>
        </w:tc>
        <w:tc>
          <w:tcPr>
            <w:tcW w:w="3544" w:type="dxa"/>
            <w:gridSpan w:val="2"/>
            <w:vAlign w:val="center"/>
          </w:tcPr>
          <w:p>
            <w:pPr>
              <w:pStyle w:val="13"/>
            </w:pPr>
            <w:r>
              <w:t>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1."为巩固深化扫黑除恶专项斗争成果，常态化、机制化开展扫黑除恶斗争，确保人民安居乐业、社会安定有序、国家长治久安。</w:t>
            </w:r>
            <w:r>
              <w:tab/>
            </w:r>
            <w:r>
              <w:tab/>
            </w:r>
            <w:r>
              <w:tab/>
            </w:r>
            <w:r>
              <w:tab/>
            </w:r>
            <w:r>
              <w:tab/>
            </w:r>
            <w:r>
              <w:tab/>
            </w:r>
          </w:p>
          <w:p>
            <w:pPr>
              <w:pStyle w:val="12"/>
            </w:pPr>
            <w:r>
              <w:t>"</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宣传品数量</w:t>
            </w:r>
          </w:p>
        </w:tc>
        <w:tc>
          <w:tcPr>
            <w:tcW w:w="5386" w:type="dxa"/>
            <w:vAlign w:val="center"/>
          </w:tcPr>
          <w:p>
            <w:pPr>
              <w:pStyle w:val="12"/>
            </w:pPr>
            <w:r>
              <w:t>宣传品数量</w:t>
            </w:r>
          </w:p>
        </w:tc>
        <w:tc>
          <w:tcPr>
            <w:tcW w:w="2268" w:type="dxa"/>
            <w:vAlign w:val="center"/>
          </w:tcPr>
          <w:p>
            <w:pPr>
              <w:pStyle w:val="12"/>
            </w:pPr>
            <w:r>
              <w:t>≥5000份</w:t>
            </w:r>
          </w:p>
        </w:tc>
        <w:tc>
          <w:tcPr>
            <w:tcW w:w="1276" w:type="dxa"/>
            <w:vAlign w:val="center"/>
          </w:tcPr>
          <w:p>
            <w:pPr>
              <w:pStyle w:val="12"/>
            </w:pPr>
            <w:r>
              <w:t>关于常态化开展扫黑除恶斗争的实施意见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≥95百分比</w:t>
            </w:r>
          </w:p>
        </w:tc>
        <w:tc>
          <w:tcPr>
            <w:tcW w:w="1276" w:type="dxa"/>
            <w:vAlign w:val="center"/>
          </w:tcPr>
          <w:p>
            <w:pPr>
              <w:pStyle w:val="12"/>
            </w:pPr>
            <w:r>
              <w:t>关于常态化开展扫黑除恶斗争的实施意见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完成期限</w:t>
            </w:r>
          </w:p>
        </w:tc>
        <w:tc>
          <w:tcPr>
            <w:tcW w:w="2268" w:type="dxa"/>
            <w:vAlign w:val="center"/>
          </w:tcPr>
          <w:p>
            <w:pPr>
              <w:pStyle w:val="12"/>
            </w:pPr>
            <w:r>
              <w:t>≥1年</w:t>
            </w:r>
          </w:p>
        </w:tc>
        <w:tc>
          <w:tcPr>
            <w:tcW w:w="1276" w:type="dxa"/>
            <w:vAlign w:val="center"/>
          </w:tcPr>
          <w:p>
            <w:pPr>
              <w:pStyle w:val="12"/>
            </w:pPr>
            <w:r>
              <w:t>关于常态化开展扫黑除恶斗争的实施意见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宣传成品成本</w:t>
            </w:r>
          </w:p>
        </w:tc>
        <w:tc>
          <w:tcPr>
            <w:tcW w:w="5386" w:type="dxa"/>
            <w:vAlign w:val="center"/>
          </w:tcPr>
          <w:p>
            <w:pPr>
              <w:pStyle w:val="12"/>
            </w:pPr>
            <w:r>
              <w:t>印刷宣传资料、传单、宣传品等成本</w:t>
            </w:r>
          </w:p>
          <w:p>
            <w:pPr>
              <w:pStyle w:val="12"/>
            </w:pPr>
          </w:p>
        </w:tc>
        <w:tc>
          <w:tcPr>
            <w:tcW w:w="2268" w:type="dxa"/>
            <w:vAlign w:val="center"/>
          </w:tcPr>
          <w:p>
            <w:pPr>
              <w:pStyle w:val="12"/>
            </w:pPr>
            <w:r>
              <w:t>20万元</w:t>
            </w:r>
          </w:p>
        </w:tc>
        <w:tc>
          <w:tcPr>
            <w:tcW w:w="1276" w:type="dxa"/>
            <w:vAlign w:val="center"/>
          </w:tcPr>
          <w:p>
            <w:pPr>
              <w:pStyle w:val="12"/>
            </w:pPr>
            <w:r>
              <w:t>关于常态化开展扫黑除恶斗争的实施意见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关于常态化开展扫黑除恶斗争的实施意见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全县人民群众对扫黑除恶的新评价、新需求、新建议</w:t>
            </w:r>
          </w:p>
        </w:tc>
        <w:tc>
          <w:tcPr>
            <w:tcW w:w="5386" w:type="dxa"/>
            <w:vAlign w:val="center"/>
          </w:tcPr>
          <w:p>
            <w:pPr>
              <w:pStyle w:val="12"/>
            </w:pPr>
            <w:r>
              <w:t>确保扫黑除恶始终合民意、护民利、得民心</w:t>
            </w:r>
          </w:p>
        </w:tc>
        <w:tc>
          <w:tcPr>
            <w:tcW w:w="2268" w:type="dxa"/>
            <w:vAlign w:val="center"/>
          </w:tcPr>
          <w:p>
            <w:pPr>
              <w:pStyle w:val="12"/>
            </w:pPr>
            <w:r>
              <w:t>有所提高</w:t>
            </w:r>
          </w:p>
        </w:tc>
        <w:tc>
          <w:tcPr>
            <w:tcW w:w="1276" w:type="dxa"/>
            <w:vAlign w:val="center"/>
          </w:tcPr>
          <w:p>
            <w:pPr>
              <w:pStyle w:val="12"/>
            </w:pPr>
            <w:r>
              <w:t>关于常态化开展扫黑除恶斗争的实施意见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关于常态化开展扫黑除恶斗争的实施意见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全县人民群众获得感、幸福感、安全感</w:t>
            </w:r>
          </w:p>
        </w:tc>
        <w:tc>
          <w:tcPr>
            <w:tcW w:w="5386" w:type="dxa"/>
            <w:vAlign w:val="center"/>
          </w:tcPr>
          <w:p>
            <w:pPr>
              <w:pStyle w:val="12"/>
            </w:pPr>
            <w:r>
              <w:t>提高全县人民群众安全感</w:t>
            </w:r>
          </w:p>
        </w:tc>
        <w:tc>
          <w:tcPr>
            <w:tcW w:w="2268" w:type="dxa"/>
            <w:vAlign w:val="center"/>
          </w:tcPr>
          <w:p>
            <w:pPr>
              <w:pStyle w:val="12"/>
            </w:pPr>
            <w:r>
              <w:t>有所提高</w:t>
            </w:r>
          </w:p>
        </w:tc>
        <w:tc>
          <w:tcPr>
            <w:tcW w:w="1276" w:type="dxa"/>
            <w:vAlign w:val="center"/>
          </w:tcPr>
          <w:p>
            <w:pPr>
              <w:pStyle w:val="12"/>
            </w:pPr>
            <w:r>
              <w:t>关于常态化开展扫黑除恶斗争的实施意见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全县人民群众满意和较满意的</w:t>
            </w:r>
          </w:p>
        </w:tc>
        <w:tc>
          <w:tcPr>
            <w:tcW w:w="2268" w:type="dxa"/>
            <w:vAlign w:val="center"/>
          </w:tcPr>
          <w:p>
            <w:pPr>
              <w:pStyle w:val="12"/>
            </w:pPr>
            <w:r>
              <w:t>≥95百分比</w:t>
            </w:r>
          </w:p>
        </w:tc>
        <w:tc>
          <w:tcPr>
            <w:tcW w:w="1276" w:type="dxa"/>
            <w:vAlign w:val="center"/>
          </w:tcPr>
          <w:p>
            <w:pPr>
              <w:pStyle w:val="12"/>
            </w:pPr>
            <w:r>
              <w:t>关于常态化开展扫黑除恶斗争的实施意见</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2、2025年严重精神病障碍患者监护人责任险绩效目标表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13042425P00287310006C</w:t>
            </w:r>
          </w:p>
        </w:tc>
        <w:tc>
          <w:tcPr>
            <w:tcW w:w="2835" w:type="dxa"/>
            <w:vAlign w:val="center"/>
          </w:tcPr>
          <w:p>
            <w:pPr>
              <w:pStyle w:val="10"/>
            </w:pPr>
            <w:r>
              <w:t>项目名称</w:t>
            </w:r>
          </w:p>
        </w:tc>
        <w:tc>
          <w:tcPr>
            <w:tcW w:w="6095" w:type="dxa"/>
            <w:gridSpan w:val="3"/>
            <w:vAlign w:val="center"/>
          </w:tcPr>
          <w:p>
            <w:pPr>
              <w:pStyle w:val="12"/>
            </w:pPr>
            <w:r>
              <w:t>2025年严重精神病障碍患者监护人责任险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23.52</w:t>
            </w:r>
          </w:p>
        </w:tc>
        <w:tc>
          <w:tcPr>
            <w:tcW w:w="2835" w:type="dxa"/>
            <w:vAlign w:val="center"/>
          </w:tcPr>
          <w:p>
            <w:pPr>
              <w:pStyle w:val="10"/>
            </w:pPr>
            <w:r>
              <w:t>其中：财政    资金</w:t>
            </w:r>
          </w:p>
        </w:tc>
        <w:tc>
          <w:tcPr>
            <w:tcW w:w="2551" w:type="dxa"/>
            <w:vAlign w:val="center"/>
          </w:tcPr>
          <w:p>
            <w:pPr>
              <w:pStyle w:val="12"/>
            </w:pPr>
            <w:r>
              <w:t>23.52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"督促落实严重精神障碍患者监护人“以奖代补”政策和监护人责任险工作，把以奖代补政策工作和监护人责任险工作纳入平安建设考核内容</w:t>
            </w:r>
            <w:r>
              <w:tab/>
            </w:r>
            <w:r>
              <w:tab/>
            </w:r>
            <w:r>
              <w:tab/>
            </w:r>
            <w:r>
              <w:tab/>
            </w:r>
            <w:r>
              <w:tab/>
            </w:r>
            <w:r>
              <w:tab/>
            </w:r>
          </w:p>
          <w:p>
            <w:pPr>
              <w:pStyle w:val="12"/>
            </w:pPr>
            <w:r>
              <w:t>"</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5.88</w:t>
            </w:r>
          </w:p>
        </w:tc>
        <w:tc>
          <w:tcPr>
            <w:tcW w:w="2835" w:type="dxa"/>
            <w:vAlign w:val="center"/>
          </w:tcPr>
          <w:p>
            <w:pPr>
              <w:pStyle w:val="13"/>
            </w:pPr>
            <w:r>
              <w:t>11.76</w:t>
            </w:r>
          </w:p>
        </w:tc>
        <w:tc>
          <w:tcPr>
            <w:tcW w:w="2551" w:type="dxa"/>
            <w:vAlign w:val="center"/>
          </w:tcPr>
          <w:p>
            <w:pPr>
              <w:pStyle w:val="13"/>
            </w:pPr>
            <w:r>
              <w:t>17.64</w:t>
            </w:r>
          </w:p>
        </w:tc>
        <w:tc>
          <w:tcPr>
            <w:tcW w:w="3544" w:type="dxa"/>
            <w:gridSpan w:val="2"/>
            <w:vAlign w:val="center"/>
          </w:tcPr>
          <w:p>
            <w:pPr>
              <w:pStyle w:val="13"/>
            </w:pPr>
            <w:r>
              <w:t>23.52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1."督促落实严重精神障碍患者监护人“以奖代补”政策和监护人责任险工作，把以奖代补政策工作和监护人责任险工作纳入平安建设考核内容</w:t>
            </w:r>
            <w:r>
              <w:tab/>
            </w:r>
            <w:r>
              <w:tab/>
            </w:r>
            <w:r>
              <w:tab/>
            </w:r>
            <w:r>
              <w:tab/>
            </w:r>
            <w:r>
              <w:tab/>
            </w:r>
            <w:r>
              <w:tab/>
            </w:r>
          </w:p>
          <w:p>
            <w:pPr>
              <w:pStyle w:val="12"/>
            </w:pPr>
            <w:r>
              <w:t>"</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缴纳严重精神障碍患者户数</w:t>
            </w:r>
          </w:p>
        </w:tc>
        <w:tc>
          <w:tcPr>
            <w:tcW w:w="5386" w:type="dxa"/>
            <w:vAlign w:val="center"/>
          </w:tcPr>
          <w:p>
            <w:pPr>
              <w:pStyle w:val="12"/>
            </w:pPr>
            <w:r>
              <w:t>缴纳严重精神障碍监护人监护户数</w:t>
            </w:r>
          </w:p>
        </w:tc>
        <w:tc>
          <w:tcPr>
            <w:tcW w:w="2268" w:type="dxa"/>
            <w:vAlign w:val="center"/>
          </w:tcPr>
          <w:p>
            <w:pPr>
              <w:pStyle w:val="12"/>
            </w:pPr>
            <w:r>
              <w:t>18户</w:t>
            </w:r>
          </w:p>
        </w:tc>
        <w:tc>
          <w:tcPr>
            <w:tcW w:w="1276" w:type="dxa"/>
            <w:vAlign w:val="center"/>
          </w:tcPr>
          <w:p>
            <w:pPr>
              <w:pStyle w:val="12"/>
            </w:pPr>
            <w:r>
              <w:t>省综治委（2016）4号文件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缴纳全县精神病障碍患者人数</w:t>
            </w:r>
          </w:p>
        </w:tc>
        <w:tc>
          <w:tcPr>
            <w:tcW w:w="5386" w:type="dxa"/>
            <w:vAlign w:val="center"/>
          </w:tcPr>
          <w:p>
            <w:pPr>
              <w:pStyle w:val="12"/>
            </w:pPr>
            <w:r>
              <w:t>缴纳全县精神病障碍患者人数</w:t>
            </w:r>
          </w:p>
        </w:tc>
        <w:tc>
          <w:tcPr>
            <w:tcW w:w="2268" w:type="dxa"/>
            <w:vAlign w:val="center"/>
          </w:tcPr>
          <w:p>
            <w:pPr>
              <w:pStyle w:val="12"/>
            </w:pPr>
            <w:r>
              <w:t>1809人</w:t>
            </w:r>
          </w:p>
        </w:tc>
        <w:tc>
          <w:tcPr>
            <w:tcW w:w="1276" w:type="dxa"/>
            <w:vAlign w:val="center"/>
          </w:tcPr>
          <w:p>
            <w:pPr>
              <w:pStyle w:val="12"/>
            </w:pPr>
            <w:r>
              <w:t>省综治委（2016）4号文件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保费参保率</w:t>
            </w:r>
          </w:p>
        </w:tc>
        <w:tc>
          <w:tcPr>
            <w:tcW w:w="5386" w:type="dxa"/>
            <w:vAlign w:val="center"/>
          </w:tcPr>
          <w:p>
            <w:pPr>
              <w:pStyle w:val="12"/>
            </w:pPr>
            <w:r>
              <w:t>保费参保率</w:t>
            </w:r>
          </w:p>
        </w:tc>
        <w:tc>
          <w:tcPr>
            <w:tcW w:w="2268" w:type="dxa"/>
            <w:vAlign w:val="center"/>
          </w:tcPr>
          <w:p>
            <w:pPr>
              <w:pStyle w:val="12"/>
            </w:pPr>
            <w:r>
              <w:t>100百分比</w:t>
            </w:r>
          </w:p>
        </w:tc>
        <w:tc>
          <w:tcPr>
            <w:tcW w:w="1276" w:type="dxa"/>
            <w:vAlign w:val="center"/>
          </w:tcPr>
          <w:p>
            <w:pPr>
              <w:pStyle w:val="12"/>
            </w:pPr>
            <w:r>
              <w:t>省综治委（2016）4号文件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保费期限</w:t>
            </w:r>
          </w:p>
        </w:tc>
        <w:tc>
          <w:tcPr>
            <w:tcW w:w="5386" w:type="dxa"/>
            <w:vAlign w:val="center"/>
          </w:tcPr>
          <w:p>
            <w:pPr>
              <w:pStyle w:val="12"/>
            </w:pPr>
            <w:r>
              <w:t>2025年期间全县购买责任险</w:t>
            </w:r>
          </w:p>
        </w:tc>
        <w:tc>
          <w:tcPr>
            <w:tcW w:w="2268" w:type="dxa"/>
            <w:vAlign w:val="center"/>
          </w:tcPr>
          <w:p>
            <w:pPr>
              <w:pStyle w:val="12"/>
            </w:pPr>
            <w:r>
              <w:t>1年</w:t>
            </w:r>
          </w:p>
        </w:tc>
        <w:tc>
          <w:tcPr>
            <w:tcW w:w="1276" w:type="dxa"/>
            <w:vAlign w:val="center"/>
          </w:tcPr>
          <w:p>
            <w:pPr>
              <w:pStyle w:val="12"/>
            </w:pPr>
            <w:r>
              <w:t>省综治委（2016）4号文件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每人保费标准</w:t>
            </w:r>
          </w:p>
        </w:tc>
        <w:tc>
          <w:tcPr>
            <w:tcW w:w="5386" w:type="dxa"/>
            <w:vAlign w:val="center"/>
          </w:tcPr>
          <w:p>
            <w:pPr>
              <w:pStyle w:val="12"/>
            </w:pPr>
            <w:r>
              <w:t>人均缴纳标准</w:t>
            </w:r>
          </w:p>
        </w:tc>
        <w:tc>
          <w:tcPr>
            <w:tcW w:w="2268" w:type="dxa"/>
            <w:vAlign w:val="center"/>
          </w:tcPr>
          <w:p>
            <w:pPr>
              <w:pStyle w:val="12"/>
            </w:pPr>
            <w:r>
              <w:t>100元</w:t>
            </w:r>
          </w:p>
        </w:tc>
        <w:tc>
          <w:tcPr>
            <w:tcW w:w="1276" w:type="dxa"/>
            <w:vAlign w:val="center"/>
          </w:tcPr>
          <w:p>
            <w:pPr>
              <w:pStyle w:val="12"/>
            </w:pPr>
            <w:r>
              <w:t>省综治委（2016）4号文件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每户保费标准</w:t>
            </w:r>
          </w:p>
        </w:tc>
        <w:tc>
          <w:tcPr>
            <w:tcW w:w="5386" w:type="dxa"/>
            <w:vAlign w:val="center"/>
          </w:tcPr>
          <w:p>
            <w:pPr>
              <w:pStyle w:val="12"/>
            </w:pPr>
            <w:r>
              <w:t>每户缴纳标准</w:t>
            </w:r>
          </w:p>
        </w:tc>
        <w:tc>
          <w:tcPr>
            <w:tcW w:w="2268" w:type="dxa"/>
            <w:vAlign w:val="center"/>
          </w:tcPr>
          <w:p>
            <w:pPr>
              <w:pStyle w:val="12"/>
            </w:pPr>
            <w:r>
              <w:t>200元</w:t>
            </w:r>
          </w:p>
        </w:tc>
        <w:tc>
          <w:tcPr>
            <w:tcW w:w="1276" w:type="dxa"/>
            <w:vAlign w:val="center"/>
          </w:tcPr>
          <w:p>
            <w:pPr>
              <w:pStyle w:val="12"/>
            </w:pPr>
            <w:r>
              <w:t>省综治委（2016）4号文件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省综治委（2016）4号文件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创新社会治理体制</w:t>
            </w:r>
          </w:p>
        </w:tc>
        <w:tc>
          <w:tcPr>
            <w:tcW w:w="5386" w:type="dxa"/>
            <w:vAlign w:val="center"/>
          </w:tcPr>
          <w:p>
            <w:pPr>
              <w:pStyle w:val="12"/>
            </w:pPr>
            <w:r>
              <w:t>使严重精神障碍患者监护人更好履行看护责任</w:t>
            </w:r>
          </w:p>
        </w:tc>
        <w:tc>
          <w:tcPr>
            <w:tcW w:w="2268" w:type="dxa"/>
            <w:vAlign w:val="center"/>
          </w:tcPr>
          <w:p>
            <w:pPr>
              <w:pStyle w:val="12"/>
            </w:pPr>
            <w:r>
              <w:t>有所提高</w:t>
            </w:r>
          </w:p>
        </w:tc>
        <w:tc>
          <w:tcPr>
            <w:tcW w:w="1276" w:type="dxa"/>
            <w:vAlign w:val="center"/>
          </w:tcPr>
          <w:p>
            <w:pPr>
              <w:pStyle w:val="12"/>
            </w:pPr>
            <w:r>
              <w:t>省综治委（2016）4号文件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省综治委（2016）4号文件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w:t>
            </w:r>
          </w:p>
        </w:tc>
        <w:tc>
          <w:tcPr>
            <w:tcW w:w="5386" w:type="dxa"/>
            <w:vAlign w:val="center"/>
          </w:tcPr>
          <w:p>
            <w:pPr>
              <w:pStyle w:val="12"/>
            </w:pPr>
            <w:r>
              <w:t>在全县产生的重要影响</w:t>
            </w:r>
          </w:p>
        </w:tc>
        <w:tc>
          <w:tcPr>
            <w:tcW w:w="2268" w:type="dxa"/>
            <w:vAlign w:val="center"/>
          </w:tcPr>
          <w:p>
            <w:pPr>
              <w:pStyle w:val="12"/>
            </w:pPr>
            <w:r>
              <w:t>全县人民群众安全意识有所提高</w:t>
            </w:r>
          </w:p>
        </w:tc>
        <w:tc>
          <w:tcPr>
            <w:tcW w:w="1276" w:type="dxa"/>
            <w:vAlign w:val="center"/>
          </w:tcPr>
          <w:p>
            <w:pPr>
              <w:pStyle w:val="12"/>
            </w:pPr>
            <w:r>
              <w:t>省综治委（2016）4号文件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购买保险受益群众中满意和较满意的</w:t>
            </w:r>
          </w:p>
        </w:tc>
        <w:tc>
          <w:tcPr>
            <w:tcW w:w="2268" w:type="dxa"/>
            <w:vAlign w:val="center"/>
          </w:tcPr>
          <w:p>
            <w:pPr>
              <w:pStyle w:val="12"/>
            </w:pPr>
            <w:r>
              <w:t>≥95百分比</w:t>
            </w:r>
          </w:p>
        </w:tc>
        <w:tc>
          <w:tcPr>
            <w:tcW w:w="1276" w:type="dxa"/>
            <w:vAlign w:val="center"/>
          </w:tcPr>
          <w:p>
            <w:pPr>
              <w:pStyle w:val="12"/>
            </w:pPr>
            <w:r>
              <w:t>省综治委（2016）4号文件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3、2025年政法网维保传输费绩效目标表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13042425P00005510004Y</w:t>
            </w:r>
          </w:p>
        </w:tc>
        <w:tc>
          <w:tcPr>
            <w:tcW w:w="2835" w:type="dxa"/>
            <w:vAlign w:val="center"/>
          </w:tcPr>
          <w:p>
            <w:pPr>
              <w:pStyle w:val="10"/>
            </w:pPr>
            <w:r>
              <w:t>项目名称</w:t>
            </w:r>
          </w:p>
        </w:tc>
        <w:tc>
          <w:tcPr>
            <w:tcW w:w="6095" w:type="dxa"/>
            <w:gridSpan w:val="3"/>
            <w:vAlign w:val="center"/>
          </w:tcPr>
          <w:p>
            <w:pPr>
              <w:pStyle w:val="12"/>
            </w:pPr>
            <w:r>
              <w:t>2025年政法网维保传输费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18.20</w:t>
            </w:r>
          </w:p>
        </w:tc>
        <w:tc>
          <w:tcPr>
            <w:tcW w:w="2835" w:type="dxa"/>
            <w:vAlign w:val="center"/>
          </w:tcPr>
          <w:p>
            <w:pPr>
              <w:pStyle w:val="10"/>
            </w:pPr>
            <w:r>
              <w:t>其中：财政    资金</w:t>
            </w:r>
          </w:p>
        </w:tc>
        <w:tc>
          <w:tcPr>
            <w:tcW w:w="2551" w:type="dxa"/>
            <w:vAlign w:val="center"/>
          </w:tcPr>
          <w:p>
            <w:pPr>
              <w:pStyle w:val="12"/>
            </w:pPr>
            <w:r>
              <w:t>18.20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切实加强做好政治信息化应用工作。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4.55</w:t>
            </w:r>
          </w:p>
        </w:tc>
        <w:tc>
          <w:tcPr>
            <w:tcW w:w="2835" w:type="dxa"/>
            <w:vAlign w:val="center"/>
          </w:tcPr>
          <w:p>
            <w:pPr>
              <w:pStyle w:val="13"/>
            </w:pPr>
            <w:r>
              <w:t>9.10</w:t>
            </w:r>
          </w:p>
        </w:tc>
        <w:tc>
          <w:tcPr>
            <w:tcW w:w="2551" w:type="dxa"/>
            <w:vAlign w:val="center"/>
          </w:tcPr>
          <w:p>
            <w:pPr>
              <w:pStyle w:val="13"/>
            </w:pPr>
            <w:r>
              <w:t>13.65</w:t>
            </w:r>
          </w:p>
        </w:tc>
        <w:tc>
          <w:tcPr>
            <w:tcW w:w="3544" w:type="dxa"/>
            <w:gridSpan w:val="2"/>
            <w:vAlign w:val="center"/>
          </w:tcPr>
          <w:p>
            <w:pPr>
              <w:pStyle w:val="13"/>
            </w:pPr>
            <w:r>
              <w:t>18.20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1.切实加强做好政治信息化应用工作。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节点数量</w:t>
            </w:r>
          </w:p>
        </w:tc>
        <w:tc>
          <w:tcPr>
            <w:tcW w:w="5386" w:type="dxa"/>
            <w:vAlign w:val="center"/>
          </w:tcPr>
          <w:p>
            <w:pPr>
              <w:pStyle w:val="12"/>
            </w:pPr>
            <w:r>
              <w:t>接入网节点数量。</w:t>
            </w:r>
          </w:p>
        </w:tc>
        <w:tc>
          <w:tcPr>
            <w:tcW w:w="2268" w:type="dxa"/>
            <w:vAlign w:val="center"/>
          </w:tcPr>
          <w:p>
            <w:pPr>
              <w:pStyle w:val="12"/>
            </w:pPr>
            <w:r>
              <w:t>50个</w:t>
            </w:r>
          </w:p>
        </w:tc>
        <w:tc>
          <w:tcPr>
            <w:tcW w:w="1276" w:type="dxa"/>
            <w:vAlign w:val="center"/>
          </w:tcPr>
          <w:p>
            <w:pPr>
              <w:pStyle w:val="12"/>
            </w:pPr>
            <w:r>
              <w:t>邯政法字（2012）136号文件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政法网运行质量</w:t>
            </w:r>
          </w:p>
        </w:tc>
        <w:tc>
          <w:tcPr>
            <w:tcW w:w="5386" w:type="dxa"/>
            <w:vAlign w:val="center"/>
          </w:tcPr>
          <w:p>
            <w:pPr>
              <w:pStyle w:val="12"/>
            </w:pPr>
            <w:r>
              <w:t>政法网运行稳定率。</w:t>
            </w:r>
          </w:p>
        </w:tc>
        <w:tc>
          <w:tcPr>
            <w:tcW w:w="2268" w:type="dxa"/>
            <w:vAlign w:val="center"/>
          </w:tcPr>
          <w:p>
            <w:pPr>
              <w:pStyle w:val="12"/>
            </w:pPr>
            <w:r>
              <w:t>100百分比</w:t>
            </w:r>
          </w:p>
        </w:tc>
        <w:tc>
          <w:tcPr>
            <w:tcW w:w="1276" w:type="dxa"/>
            <w:vAlign w:val="center"/>
          </w:tcPr>
          <w:p>
            <w:pPr>
              <w:pStyle w:val="12"/>
            </w:pPr>
            <w:r>
              <w:t>邯政法字（2012）136号文件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接入网节点成本。</w:t>
            </w:r>
          </w:p>
        </w:tc>
        <w:tc>
          <w:tcPr>
            <w:tcW w:w="5386" w:type="dxa"/>
            <w:vAlign w:val="center"/>
          </w:tcPr>
          <w:p>
            <w:pPr>
              <w:pStyle w:val="12"/>
            </w:pPr>
            <w:r>
              <w:t>政法网接入网节点成本。</w:t>
            </w:r>
          </w:p>
        </w:tc>
        <w:tc>
          <w:tcPr>
            <w:tcW w:w="2268" w:type="dxa"/>
            <w:vAlign w:val="center"/>
          </w:tcPr>
          <w:p>
            <w:pPr>
              <w:pStyle w:val="12"/>
            </w:pPr>
            <w:r>
              <w:t>2440元</w:t>
            </w:r>
          </w:p>
        </w:tc>
        <w:tc>
          <w:tcPr>
            <w:tcW w:w="1276" w:type="dxa"/>
            <w:vAlign w:val="center"/>
          </w:tcPr>
          <w:p>
            <w:pPr>
              <w:pStyle w:val="12"/>
            </w:pPr>
            <w:r>
              <w:t>邯政法字（2012）136号文件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政法网维保费成本</w:t>
            </w:r>
          </w:p>
        </w:tc>
        <w:tc>
          <w:tcPr>
            <w:tcW w:w="5386" w:type="dxa"/>
            <w:vAlign w:val="center"/>
          </w:tcPr>
          <w:p>
            <w:pPr>
              <w:pStyle w:val="12"/>
            </w:pPr>
            <w:r>
              <w:t>政法网维保费成本</w:t>
            </w:r>
          </w:p>
        </w:tc>
        <w:tc>
          <w:tcPr>
            <w:tcW w:w="2268" w:type="dxa"/>
            <w:vAlign w:val="center"/>
          </w:tcPr>
          <w:p>
            <w:pPr>
              <w:pStyle w:val="12"/>
            </w:pPr>
            <w:r>
              <w:t>6万元</w:t>
            </w:r>
          </w:p>
        </w:tc>
        <w:tc>
          <w:tcPr>
            <w:tcW w:w="1276" w:type="dxa"/>
            <w:vAlign w:val="center"/>
          </w:tcPr>
          <w:p>
            <w:pPr>
              <w:pStyle w:val="12"/>
            </w:pPr>
            <w:r>
              <w:t>邯政法字（2012）136号文件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政法网时效。</w:t>
            </w:r>
          </w:p>
        </w:tc>
        <w:tc>
          <w:tcPr>
            <w:tcW w:w="5386" w:type="dxa"/>
            <w:vAlign w:val="center"/>
          </w:tcPr>
          <w:p>
            <w:pPr>
              <w:pStyle w:val="12"/>
            </w:pPr>
            <w:r>
              <w:t>政法网运行时效。</w:t>
            </w:r>
          </w:p>
        </w:tc>
        <w:tc>
          <w:tcPr>
            <w:tcW w:w="2268" w:type="dxa"/>
            <w:vAlign w:val="center"/>
          </w:tcPr>
          <w:p>
            <w:pPr>
              <w:pStyle w:val="12"/>
            </w:pPr>
            <w:r>
              <w:t>1年</w:t>
            </w:r>
          </w:p>
        </w:tc>
        <w:tc>
          <w:tcPr>
            <w:tcW w:w="1276" w:type="dxa"/>
            <w:vAlign w:val="center"/>
          </w:tcPr>
          <w:p>
            <w:pPr>
              <w:pStyle w:val="12"/>
            </w:pPr>
            <w:r>
              <w:t>邯政法字（2012）136号文件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政法网维保费时效</w:t>
            </w:r>
          </w:p>
        </w:tc>
        <w:tc>
          <w:tcPr>
            <w:tcW w:w="5386" w:type="dxa"/>
            <w:vAlign w:val="center"/>
          </w:tcPr>
          <w:p>
            <w:pPr>
              <w:pStyle w:val="12"/>
            </w:pPr>
            <w:r>
              <w:t>政法网维保费时效</w:t>
            </w:r>
          </w:p>
        </w:tc>
        <w:tc>
          <w:tcPr>
            <w:tcW w:w="2268" w:type="dxa"/>
            <w:vAlign w:val="center"/>
          </w:tcPr>
          <w:p>
            <w:pPr>
              <w:pStyle w:val="12"/>
            </w:pPr>
            <w:r>
              <w:t>1年</w:t>
            </w:r>
          </w:p>
        </w:tc>
        <w:tc>
          <w:tcPr>
            <w:tcW w:w="1276" w:type="dxa"/>
            <w:vAlign w:val="center"/>
          </w:tcPr>
          <w:p>
            <w:pPr>
              <w:pStyle w:val="12"/>
            </w:pPr>
            <w:r>
              <w:t>邯政法字（2012）136号文件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社会稳定水平</w:t>
            </w:r>
          </w:p>
        </w:tc>
        <w:tc>
          <w:tcPr>
            <w:tcW w:w="5386" w:type="dxa"/>
            <w:vAlign w:val="center"/>
          </w:tcPr>
          <w:p>
            <w:pPr>
              <w:pStyle w:val="12"/>
            </w:pPr>
            <w:r>
              <w:t>确保机关办公网络正常运行</w:t>
            </w:r>
          </w:p>
        </w:tc>
        <w:tc>
          <w:tcPr>
            <w:tcW w:w="2268" w:type="dxa"/>
            <w:vAlign w:val="center"/>
          </w:tcPr>
          <w:p>
            <w:pPr>
              <w:pStyle w:val="12"/>
            </w:pPr>
            <w:r>
              <w:t>有所提高</w:t>
            </w:r>
          </w:p>
        </w:tc>
        <w:tc>
          <w:tcPr>
            <w:tcW w:w="1276" w:type="dxa"/>
            <w:vAlign w:val="center"/>
          </w:tcPr>
          <w:p>
            <w:pPr>
              <w:pStyle w:val="12"/>
            </w:pPr>
            <w:r>
              <w:t>邯政法字（2012）136号文件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提高办公效率</w:t>
            </w:r>
          </w:p>
        </w:tc>
        <w:tc>
          <w:tcPr>
            <w:tcW w:w="5386" w:type="dxa"/>
            <w:vAlign w:val="center"/>
          </w:tcPr>
          <w:p>
            <w:pPr>
              <w:pStyle w:val="12"/>
            </w:pPr>
            <w:r>
              <w:t>提高办公效率</w:t>
            </w:r>
          </w:p>
        </w:tc>
        <w:tc>
          <w:tcPr>
            <w:tcW w:w="2268" w:type="dxa"/>
            <w:vAlign w:val="center"/>
          </w:tcPr>
          <w:p>
            <w:pPr>
              <w:pStyle w:val="12"/>
            </w:pPr>
            <w:r>
              <w:t>有所改善</w:t>
            </w:r>
          </w:p>
        </w:tc>
        <w:tc>
          <w:tcPr>
            <w:tcW w:w="1276" w:type="dxa"/>
            <w:vAlign w:val="center"/>
          </w:tcPr>
          <w:p>
            <w:pPr>
              <w:pStyle w:val="12"/>
            </w:pPr>
            <w:r>
              <w:t>邯政法字（2012）136号文件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工作人员满意度占总数的比例。</w:t>
            </w:r>
          </w:p>
        </w:tc>
        <w:tc>
          <w:tcPr>
            <w:tcW w:w="5386" w:type="dxa"/>
            <w:vAlign w:val="center"/>
          </w:tcPr>
          <w:p>
            <w:pPr>
              <w:pStyle w:val="12"/>
            </w:pPr>
            <w:r>
              <w:t>工作人员满意度占总数的比例。</w:t>
            </w:r>
          </w:p>
        </w:tc>
        <w:tc>
          <w:tcPr>
            <w:tcW w:w="2268" w:type="dxa"/>
            <w:vAlign w:val="center"/>
          </w:tcPr>
          <w:p>
            <w:pPr>
              <w:pStyle w:val="12"/>
            </w:pPr>
            <w:r>
              <w:t>≥95百分比</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4、2025年治安保险业参与平安建设绩效目标表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13042425P002873100070</w:t>
            </w:r>
          </w:p>
        </w:tc>
        <w:tc>
          <w:tcPr>
            <w:tcW w:w="2835" w:type="dxa"/>
            <w:vAlign w:val="center"/>
          </w:tcPr>
          <w:p>
            <w:pPr>
              <w:pStyle w:val="10"/>
            </w:pPr>
            <w:r>
              <w:t>项目名称</w:t>
            </w:r>
          </w:p>
        </w:tc>
        <w:tc>
          <w:tcPr>
            <w:tcW w:w="6095" w:type="dxa"/>
            <w:gridSpan w:val="3"/>
            <w:vAlign w:val="center"/>
          </w:tcPr>
          <w:p>
            <w:pPr>
              <w:pStyle w:val="12"/>
            </w:pPr>
            <w:r>
              <w:t>2025年治安保险业参与平安建设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68.00</w:t>
            </w:r>
          </w:p>
        </w:tc>
        <w:tc>
          <w:tcPr>
            <w:tcW w:w="2835" w:type="dxa"/>
            <w:vAlign w:val="center"/>
          </w:tcPr>
          <w:p>
            <w:pPr>
              <w:pStyle w:val="10"/>
            </w:pPr>
            <w:r>
              <w:t>其中：财政    资金</w:t>
            </w:r>
          </w:p>
        </w:tc>
        <w:tc>
          <w:tcPr>
            <w:tcW w:w="2551" w:type="dxa"/>
            <w:vAlign w:val="center"/>
          </w:tcPr>
          <w:p>
            <w:pPr>
              <w:pStyle w:val="12"/>
            </w:pPr>
            <w:r>
              <w:t>68.00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全县人民群众家庭财产和人身安全，特别是当人民群众遭受突发事件，不可抗力自然灾害，精神病患者侵害，见义勇为，肇事车辆逃逸造成的人身伤亡及其他不可预见的财产损失等情况进行托底保障，为全县人民群众购买惠普型保险产品。</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17.00</w:t>
            </w:r>
          </w:p>
        </w:tc>
        <w:tc>
          <w:tcPr>
            <w:tcW w:w="2835" w:type="dxa"/>
            <w:vAlign w:val="center"/>
          </w:tcPr>
          <w:p>
            <w:pPr>
              <w:pStyle w:val="13"/>
            </w:pPr>
            <w:r>
              <w:t>34.00</w:t>
            </w:r>
          </w:p>
        </w:tc>
        <w:tc>
          <w:tcPr>
            <w:tcW w:w="2551" w:type="dxa"/>
            <w:vAlign w:val="center"/>
          </w:tcPr>
          <w:p>
            <w:pPr>
              <w:pStyle w:val="13"/>
            </w:pPr>
            <w:r>
              <w:t>51.00</w:t>
            </w:r>
          </w:p>
        </w:tc>
        <w:tc>
          <w:tcPr>
            <w:tcW w:w="3544" w:type="dxa"/>
            <w:gridSpan w:val="2"/>
            <w:vAlign w:val="center"/>
          </w:tcPr>
          <w:p>
            <w:pPr>
              <w:pStyle w:val="13"/>
            </w:pPr>
            <w:r>
              <w:t>68.00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全县人民群众家庭财产和人身安全，特别是当人民群众遭受突发事件，不可抗力自然灾害，精神病患者侵害，见义勇为，肇事车辆逃逸造成的人身伤亡及其他不可预见的财产损失等情况进行托底保障，为全县人民群众购买惠普型保险产品。</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购买保险户数</w:t>
            </w:r>
          </w:p>
        </w:tc>
        <w:tc>
          <w:tcPr>
            <w:tcW w:w="5386" w:type="dxa"/>
            <w:vAlign w:val="center"/>
          </w:tcPr>
          <w:p>
            <w:pPr>
              <w:pStyle w:val="12"/>
            </w:pPr>
            <w:r>
              <w:t>购买保险户数</w:t>
            </w:r>
          </w:p>
        </w:tc>
        <w:tc>
          <w:tcPr>
            <w:tcW w:w="2268" w:type="dxa"/>
            <w:vAlign w:val="center"/>
          </w:tcPr>
          <w:p>
            <w:pPr>
              <w:pStyle w:val="12"/>
            </w:pPr>
            <w:r>
              <w:t>116472户</w:t>
            </w:r>
          </w:p>
        </w:tc>
        <w:tc>
          <w:tcPr>
            <w:tcW w:w="1276" w:type="dxa"/>
            <w:vAlign w:val="center"/>
          </w:tcPr>
          <w:p>
            <w:pPr>
              <w:pStyle w:val="12"/>
            </w:pPr>
            <w:r>
              <w:t>邯郸市2017年治安保险参与平安建设推广实施方案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已在保险人数</w:t>
            </w:r>
          </w:p>
        </w:tc>
        <w:tc>
          <w:tcPr>
            <w:tcW w:w="5386" w:type="dxa"/>
            <w:vAlign w:val="center"/>
          </w:tcPr>
          <w:p>
            <w:pPr>
              <w:pStyle w:val="12"/>
            </w:pPr>
            <w:r>
              <w:t>已在保险人数</w:t>
            </w:r>
          </w:p>
        </w:tc>
        <w:tc>
          <w:tcPr>
            <w:tcW w:w="2268" w:type="dxa"/>
            <w:vAlign w:val="center"/>
          </w:tcPr>
          <w:p>
            <w:pPr>
              <w:pStyle w:val="12"/>
            </w:pPr>
            <w:r>
              <w:t>100百分比</w:t>
            </w:r>
          </w:p>
        </w:tc>
        <w:tc>
          <w:tcPr>
            <w:tcW w:w="1276" w:type="dxa"/>
            <w:vAlign w:val="center"/>
          </w:tcPr>
          <w:p>
            <w:pPr>
              <w:pStyle w:val="12"/>
            </w:pPr>
            <w:r>
              <w:t>邯郸市2017年治安保险参与平安建设推广实施方案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完成时间</w:t>
            </w:r>
          </w:p>
        </w:tc>
        <w:tc>
          <w:tcPr>
            <w:tcW w:w="2268" w:type="dxa"/>
            <w:vAlign w:val="center"/>
          </w:tcPr>
          <w:p>
            <w:pPr>
              <w:pStyle w:val="12"/>
            </w:pPr>
            <w:r>
              <w:t>年初完成</w:t>
            </w:r>
          </w:p>
        </w:tc>
        <w:tc>
          <w:tcPr>
            <w:tcW w:w="1276" w:type="dxa"/>
            <w:vAlign w:val="center"/>
          </w:tcPr>
          <w:p>
            <w:pPr>
              <w:pStyle w:val="12"/>
            </w:pPr>
            <w:r>
              <w:t>邯郸市2017年治安保险参与平安建设推广实施方案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每户保费金额</w:t>
            </w:r>
          </w:p>
        </w:tc>
        <w:tc>
          <w:tcPr>
            <w:tcW w:w="5386" w:type="dxa"/>
            <w:vAlign w:val="center"/>
          </w:tcPr>
          <w:p>
            <w:pPr>
              <w:pStyle w:val="12"/>
            </w:pPr>
            <w:r>
              <w:t>为全县人民群众购买惠普型保险产品</w:t>
            </w:r>
          </w:p>
        </w:tc>
        <w:tc>
          <w:tcPr>
            <w:tcW w:w="2268" w:type="dxa"/>
            <w:vAlign w:val="center"/>
          </w:tcPr>
          <w:p>
            <w:pPr>
              <w:pStyle w:val="12"/>
            </w:pPr>
            <w:r>
              <w:t>6元</w:t>
            </w:r>
          </w:p>
        </w:tc>
        <w:tc>
          <w:tcPr>
            <w:tcW w:w="1276" w:type="dxa"/>
            <w:vAlign w:val="center"/>
          </w:tcPr>
          <w:p>
            <w:pPr>
              <w:pStyle w:val="12"/>
            </w:pPr>
            <w:r>
              <w:t>邯郸市2017年治安保险参与平安建设推广实施方案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事故赔偿和累计限额</w:t>
            </w:r>
          </w:p>
        </w:tc>
        <w:tc>
          <w:tcPr>
            <w:tcW w:w="5386" w:type="dxa"/>
            <w:vAlign w:val="center"/>
          </w:tcPr>
          <w:p>
            <w:pPr>
              <w:pStyle w:val="12"/>
            </w:pPr>
            <w:r>
              <w:t>保险条款中人身伤残或死亡赔偿</w:t>
            </w:r>
          </w:p>
        </w:tc>
        <w:tc>
          <w:tcPr>
            <w:tcW w:w="2268" w:type="dxa"/>
            <w:vAlign w:val="center"/>
          </w:tcPr>
          <w:p>
            <w:pPr>
              <w:pStyle w:val="12"/>
            </w:pPr>
            <w:r>
              <w:t>1300万元</w:t>
            </w:r>
          </w:p>
        </w:tc>
        <w:tc>
          <w:tcPr>
            <w:tcW w:w="1276" w:type="dxa"/>
            <w:vAlign w:val="center"/>
          </w:tcPr>
          <w:p>
            <w:pPr>
              <w:pStyle w:val="12"/>
            </w:pPr>
            <w:r>
              <w:t>邯郸市2017年治安保险参与平安建设推广实施方案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邯郸市2017年治安保险参与平安建设推广实施方案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邯郸市2017年治安保险参与平安建设推广实施方案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全县人民群众满意度</w:t>
            </w:r>
          </w:p>
        </w:tc>
        <w:tc>
          <w:tcPr>
            <w:tcW w:w="5386" w:type="dxa"/>
            <w:vAlign w:val="center"/>
          </w:tcPr>
          <w:p>
            <w:pPr>
              <w:pStyle w:val="12"/>
            </w:pPr>
            <w:r>
              <w:t>通过为全县人民群众购买保险，保障人民家庭财产和人身安全</w:t>
            </w:r>
          </w:p>
        </w:tc>
        <w:tc>
          <w:tcPr>
            <w:tcW w:w="2268" w:type="dxa"/>
            <w:vAlign w:val="center"/>
          </w:tcPr>
          <w:p>
            <w:pPr>
              <w:pStyle w:val="12"/>
            </w:pPr>
            <w:r>
              <w:t>有所提高</w:t>
            </w:r>
          </w:p>
        </w:tc>
        <w:tc>
          <w:tcPr>
            <w:tcW w:w="1276" w:type="dxa"/>
            <w:vAlign w:val="center"/>
          </w:tcPr>
          <w:p>
            <w:pPr>
              <w:pStyle w:val="12"/>
            </w:pPr>
            <w:r>
              <w:t>邯郸市2017年治安保险参与平安建设推广实施方案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人民群众中满意和较满意的</w:t>
            </w:r>
          </w:p>
        </w:tc>
        <w:tc>
          <w:tcPr>
            <w:tcW w:w="2268" w:type="dxa"/>
            <w:vAlign w:val="center"/>
          </w:tcPr>
          <w:p>
            <w:pPr>
              <w:pStyle w:val="12"/>
            </w:pPr>
            <w:r>
              <w:t>≥95百分比</w:t>
            </w:r>
          </w:p>
        </w:tc>
        <w:tc>
          <w:tcPr>
            <w:tcW w:w="1276" w:type="dxa"/>
            <w:vAlign w:val="center"/>
          </w:tcPr>
          <w:p>
            <w:pPr>
              <w:pStyle w:val="12"/>
            </w:pPr>
            <w:r>
              <w:t>人民群众中满意和较满意的</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562成安县政法委</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成安县政法委（含所属单位）上年末固定资产金额为</w:t>
      </w:r>
      <w:r>
        <w:rPr>
          <w:rFonts w:hint="eastAsia" w:eastAsia="方正仿宋_GBK"/>
          <w:color w:val="000000"/>
          <w:sz w:val="28"/>
          <w:lang w:val="en-US" w:eastAsia="zh-CN"/>
        </w:rPr>
        <w:t>6.0142</w:t>
      </w:r>
      <w:r>
        <w:rPr>
          <w:rFonts w:eastAsia="方正仿宋_GBK"/>
          <w:color w:val="000000"/>
          <w:sz w:val="28"/>
        </w:rPr>
        <w:t>万元（详见下表）。本年度拟购置固定资产总额为0.00万元，已按要求列入政府采购预算，详见政府采购预算表。</w:t>
      </w:r>
      <w:bookmarkStart w:id="20" w:name="_GoBack"/>
      <w:bookmarkEnd w:id="20"/>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562成安县政法委</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ind w:firstLine="0" w:firstLineChars="0"/>
              <w:jc w:val="center"/>
              <w:rPr>
                <w:rFonts w:ascii="方正书宋_GBK" w:hAnsi="方正书宋_GBK" w:eastAsia="方正书宋_GBK" w:cs="方正书宋_GBK"/>
                <w:kern w:val="2"/>
                <w:sz w:val="21"/>
                <w:szCs w:val="24"/>
                <w:lang w:val="en-US" w:eastAsia="zh-CN" w:bidi="ar-SA"/>
              </w:rPr>
            </w:pPr>
            <w:r>
              <w:rPr>
                <w:rFonts w:hint="eastAsia"/>
              </w:rPr>
              <w:t>资产总额</w:t>
            </w:r>
          </w:p>
        </w:tc>
        <w:tc>
          <w:tcPr>
            <w:tcW w:w="2835" w:type="dxa"/>
            <w:vAlign w:val="center"/>
          </w:tcPr>
          <w:p>
            <w:pPr>
              <w:pStyle w:val="12"/>
              <w:ind w:firstLine="0" w:firstLineChars="0"/>
              <w:jc w:val="center"/>
              <w:rPr>
                <w:rFonts w:hint="eastAsia" w:ascii="方正书宋_GBK" w:hAnsi="方正书宋_GBK" w:eastAsia="方正书宋_GBK" w:cs="方正书宋_GBK"/>
                <w:kern w:val="2"/>
                <w:sz w:val="21"/>
                <w:szCs w:val="24"/>
                <w:lang w:val="en-US" w:eastAsia="zh-CN" w:bidi="ar-SA"/>
              </w:rPr>
            </w:pPr>
            <w:r>
              <w:rPr>
                <w:rFonts w:hint="eastAsia"/>
              </w:rPr>
              <w:t>——</w:t>
            </w:r>
          </w:p>
        </w:tc>
        <w:tc>
          <w:tcPr>
            <w:tcW w:w="2835" w:type="dxa"/>
            <w:vAlign w:val="center"/>
          </w:tcPr>
          <w:p>
            <w:pPr>
              <w:pStyle w:val="12"/>
              <w:ind w:firstLine="0" w:firstLineChars="0"/>
              <w:jc w:val="center"/>
              <w:rPr>
                <w:rFonts w:hint="eastAsia"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6.0142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pStyle w:val="12"/>
              <w:ind w:firstLine="0" w:firstLineChars="0"/>
              <w:jc w:val="center"/>
              <w:rPr>
                <w:rFonts w:hint="eastAsia" w:ascii="仿宋" w:hAnsi="仿宋" w:eastAsia="仿宋" w:cs="仿宋"/>
                <w:kern w:val="0"/>
                <w:sz w:val="32"/>
                <w:szCs w:val="32"/>
                <w:lang w:val="en-US" w:eastAsia="zh-CN" w:bidi="ar-SA"/>
              </w:rPr>
            </w:pPr>
            <w:r>
              <w:rPr>
                <w:rFonts w:hint="eastAsia"/>
              </w:rPr>
              <w:t>1、房屋（平方米）</w:t>
            </w:r>
          </w:p>
        </w:tc>
        <w:tc>
          <w:tcPr>
            <w:tcW w:w="0" w:type="auto"/>
            <w:vAlign w:val="center"/>
          </w:tcPr>
          <w:p>
            <w:pPr>
              <w:pStyle w:val="12"/>
              <w:ind w:firstLine="0" w:firstLineChars="0"/>
              <w:jc w:val="center"/>
              <w:rPr>
                <w:rFonts w:hint="default" w:ascii="方正书宋_GBK" w:hAnsi="方正书宋_GBK" w:eastAsia="方正书宋_GBK" w:cs="方正书宋_GBK"/>
                <w:kern w:val="2"/>
                <w:sz w:val="21"/>
                <w:szCs w:val="24"/>
                <w:lang w:val="en-US" w:eastAsia="zh-CN" w:bidi="ar-SA"/>
              </w:rPr>
            </w:pPr>
            <w:r>
              <w:rPr>
                <w:rFonts w:hint="eastAsia"/>
                <w:lang w:val="en-US" w:eastAsia="zh-CN"/>
              </w:rPr>
              <w:t>318</w:t>
            </w:r>
          </w:p>
        </w:tc>
        <w:tc>
          <w:tcPr>
            <w:tcW w:w="0" w:type="auto"/>
            <w:vAlign w:val="center"/>
          </w:tcPr>
          <w:p>
            <w:pPr>
              <w:pStyle w:val="11"/>
              <w:ind w:firstLine="0" w:firstLineChars="0"/>
              <w:jc w:val="center"/>
              <w:rPr>
                <w:rFonts w:hint="eastAsia" w:ascii="仿宋" w:hAnsi="仿宋" w:eastAsia="仿宋" w:cs="仿宋"/>
                <w:kern w:val="0"/>
                <w:sz w:val="32"/>
                <w:szCs w:val="32"/>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pStyle w:val="12"/>
              <w:ind w:firstLine="0" w:firstLineChars="0"/>
              <w:jc w:val="center"/>
              <w:rPr>
                <w:rFonts w:hint="eastAsia" w:ascii="方正书宋_GBK" w:hAnsi="方正书宋_GBK" w:eastAsia="方正书宋_GBK" w:cs="方正书宋_GBK"/>
                <w:kern w:val="2"/>
                <w:sz w:val="21"/>
                <w:szCs w:val="24"/>
                <w:lang w:val="en-US" w:eastAsia="zh-CN" w:bidi="ar-SA"/>
              </w:rPr>
            </w:pPr>
            <w:r>
              <w:rPr>
                <w:rFonts w:hint="eastAsia"/>
              </w:rPr>
              <w:t>其中：办公用房（平方米）</w:t>
            </w:r>
          </w:p>
        </w:tc>
        <w:tc>
          <w:tcPr>
            <w:tcW w:w="0" w:type="auto"/>
            <w:vAlign w:val="center"/>
          </w:tcPr>
          <w:p>
            <w:pPr>
              <w:pStyle w:val="12"/>
              <w:ind w:firstLine="0" w:firstLineChars="0"/>
              <w:jc w:val="center"/>
              <w:rPr>
                <w:rFonts w:hint="default" w:ascii="方正书宋_GBK" w:hAnsi="方正书宋_GBK" w:eastAsia="方正书宋_GBK" w:cs="方正书宋_GBK"/>
                <w:kern w:val="2"/>
                <w:sz w:val="21"/>
                <w:szCs w:val="24"/>
                <w:lang w:val="en-US" w:eastAsia="zh-CN" w:bidi="ar-SA"/>
              </w:rPr>
            </w:pPr>
            <w:r>
              <w:rPr>
                <w:rFonts w:hint="eastAsia"/>
                <w:lang w:val="en-US" w:eastAsia="zh-CN"/>
              </w:rPr>
              <w:t>318</w:t>
            </w:r>
          </w:p>
        </w:tc>
        <w:tc>
          <w:tcPr>
            <w:tcW w:w="0" w:type="auto"/>
            <w:vAlign w:val="center"/>
          </w:tcPr>
          <w:p>
            <w:pPr>
              <w:pStyle w:val="12"/>
              <w:ind w:firstLine="0" w:firstLineChars="0"/>
              <w:jc w:val="center"/>
              <w:rPr>
                <w:rFonts w:hint="eastAsia" w:ascii="方正书宋_GBK" w:hAnsi="方正书宋_GBK" w:eastAsia="方正书宋_GBK" w:cs="方正书宋_GBK"/>
                <w:kern w:val="2"/>
                <w:sz w:val="21"/>
                <w:szCs w:val="24"/>
                <w:lang w:val="en-US" w:eastAsia="zh-CN" w:bidi="ar-SA"/>
              </w:rPr>
            </w:pPr>
            <w:r>
              <w:rPr>
                <w:rFonts w:hint="eastAsia"/>
              </w:rPr>
              <w:t>在政府集中办公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pStyle w:val="12"/>
              <w:ind w:firstLine="0" w:firstLineChars="0"/>
              <w:jc w:val="center"/>
              <w:rPr>
                <w:rFonts w:hint="eastAsia" w:ascii="方正书宋_GBK" w:hAnsi="方正书宋_GBK" w:eastAsia="方正书宋_GBK" w:cs="方正书宋_GBK"/>
                <w:kern w:val="2"/>
                <w:sz w:val="21"/>
                <w:szCs w:val="24"/>
                <w:lang w:val="en-US" w:eastAsia="zh-CN" w:bidi="ar-SA"/>
              </w:rPr>
            </w:pPr>
            <w:r>
              <w:rPr>
                <w:rFonts w:hint="eastAsia"/>
              </w:rPr>
              <w:t>2、车辆（台、辆）</w:t>
            </w:r>
          </w:p>
        </w:tc>
        <w:tc>
          <w:tcPr>
            <w:tcW w:w="0" w:type="auto"/>
            <w:vAlign w:val="center"/>
          </w:tcPr>
          <w:p>
            <w:pPr>
              <w:pStyle w:val="12"/>
              <w:ind w:firstLine="0" w:firstLineChars="0"/>
              <w:jc w:val="center"/>
              <w:rPr>
                <w:rFonts w:hint="eastAsia" w:ascii="方正书宋_GBK" w:hAnsi="方正书宋_GBK" w:eastAsia="方正书宋_GBK" w:cs="方正书宋_GBK"/>
                <w:kern w:val="2"/>
                <w:sz w:val="21"/>
                <w:szCs w:val="24"/>
                <w:lang w:val="en-US" w:eastAsia="zh-CN" w:bidi="ar-SA"/>
              </w:rPr>
            </w:pPr>
          </w:p>
        </w:tc>
        <w:tc>
          <w:tcPr>
            <w:tcW w:w="0" w:type="auto"/>
            <w:vAlign w:val="center"/>
          </w:tcPr>
          <w:p>
            <w:pPr>
              <w:pStyle w:val="12"/>
              <w:ind w:firstLine="0" w:firstLineChars="0"/>
              <w:jc w:val="center"/>
              <w:rPr>
                <w:rFonts w:hint="default" w:ascii="方正书宋_GBK" w:hAnsi="方正书宋_GBK" w:eastAsia="方正书宋_GBK" w:cs="方正书宋_GBK"/>
                <w:kern w:val="2"/>
                <w:sz w:val="21"/>
                <w:szCs w:val="24"/>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pStyle w:val="12"/>
              <w:ind w:firstLine="0" w:firstLineChars="0"/>
              <w:jc w:val="center"/>
              <w:rPr>
                <w:rFonts w:hint="eastAsia" w:ascii="方正书宋_GBK" w:hAnsi="方正书宋_GBK" w:eastAsia="方正书宋_GBK" w:cs="方正书宋_GBK"/>
                <w:kern w:val="2"/>
                <w:sz w:val="21"/>
                <w:szCs w:val="24"/>
                <w:lang w:val="en-US" w:eastAsia="zh-CN" w:bidi="ar-SA"/>
              </w:rPr>
            </w:pPr>
            <w:r>
              <w:rPr>
                <w:rFonts w:hint="eastAsia"/>
              </w:rPr>
              <w:t>3、单价在50万元以上的设备</w:t>
            </w:r>
          </w:p>
        </w:tc>
        <w:tc>
          <w:tcPr>
            <w:tcW w:w="0" w:type="auto"/>
            <w:vAlign w:val="center"/>
          </w:tcPr>
          <w:p>
            <w:pPr>
              <w:pStyle w:val="13"/>
              <w:ind w:firstLine="0" w:firstLineChars="0"/>
              <w:jc w:val="center"/>
              <w:rPr>
                <w:rFonts w:hint="eastAsia" w:ascii="仿宋" w:hAnsi="仿宋" w:eastAsia="仿宋" w:cs="仿宋"/>
                <w:kern w:val="0"/>
                <w:sz w:val="32"/>
                <w:szCs w:val="32"/>
                <w:lang w:val="en-US" w:eastAsia="zh-CN" w:bidi="ar-SA"/>
              </w:rPr>
            </w:pPr>
          </w:p>
        </w:tc>
        <w:tc>
          <w:tcPr>
            <w:tcW w:w="0" w:type="auto"/>
            <w:vAlign w:val="center"/>
          </w:tcPr>
          <w:p>
            <w:pPr>
              <w:pStyle w:val="11"/>
              <w:ind w:firstLine="0" w:firstLineChars="0"/>
              <w:jc w:val="center"/>
              <w:rPr>
                <w:rFonts w:hint="eastAsia" w:ascii="仿宋" w:hAnsi="仿宋" w:eastAsia="仿宋" w:cs="仿宋"/>
                <w:kern w:val="0"/>
                <w:sz w:val="32"/>
                <w:szCs w:val="32"/>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pStyle w:val="12"/>
              <w:ind w:firstLine="0" w:firstLineChars="0"/>
              <w:jc w:val="center"/>
              <w:rPr>
                <w:rFonts w:hint="default" w:eastAsia="方正书宋_GBK"/>
                <w:lang w:val="en-US" w:eastAsia="zh-CN"/>
              </w:rPr>
            </w:pPr>
            <w:r>
              <w:rPr>
                <w:rFonts w:hint="eastAsia"/>
                <w:lang w:val="en-US" w:eastAsia="zh-CN"/>
              </w:rPr>
              <w:t>4.其他固定资产</w:t>
            </w:r>
          </w:p>
        </w:tc>
        <w:tc>
          <w:tcPr>
            <w:tcW w:w="0" w:type="auto"/>
            <w:vAlign w:val="center"/>
          </w:tcPr>
          <w:p>
            <w:pPr>
              <w:pStyle w:val="13"/>
              <w:ind w:firstLine="0" w:firstLineChars="0"/>
              <w:jc w:val="center"/>
              <w:rPr>
                <w:rFonts w:hint="default" w:ascii="仿宋" w:hAnsi="仿宋" w:eastAsia="仿宋" w:cs="仿宋"/>
                <w:kern w:val="0"/>
                <w:sz w:val="32"/>
                <w:szCs w:val="32"/>
                <w:lang w:val="en-US" w:eastAsia="zh-CN" w:bidi="ar-SA"/>
              </w:rPr>
            </w:pPr>
          </w:p>
        </w:tc>
        <w:tc>
          <w:tcPr>
            <w:tcW w:w="0" w:type="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6.0142</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8634D0"/>
    <w:multiLevelType w:val="singleLevel"/>
    <w:tmpl w:val="3E8634D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M1MGYzMjVkNzg5NTUxOWQxMmNhZTMyOTA0OTM2MzAifQ=="/>
  </w:docVars>
  <w:rsids>
    <w:rsidRoot w:val="00DE6059"/>
    <w:rsid w:val="001A538F"/>
    <w:rsid w:val="006C17F5"/>
    <w:rsid w:val="00A525FD"/>
    <w:rsid w:val="00DE6059"/>
    <w:rsid w:val="057F6DC9"/>
    <w:rsid w:val="066E30C6"/>
    <w:rsid w:val="06BA630B"/>
    <w:rsid w:val="06FF01C2"/>
    <w:rsid w:val="09B039F5"/>
    <w:rsid w:val="0DC74AAB"/>
    <w:rsid w:val="0F9C734A"/>
    <w:rsid w:val="12505D75"/>
    <w:rsid w:val="16F72C63"/>
    <w:rsid w:val="20470AEA"/>
    <w:rsid w:val="21617F9F"/>
    <w:rsid w:val="25091017"/>
    <w:rsid w:val="25270BB7"/>
    <w:rsid w:val="253908EB"/>
    <w:rsid w:val="27E56B08"/>
    <w:rsid w:val="2A1A0CEB"/>
    <w:rsid w:val="2E89643F"/>
    <w:rsid w:val="31077AEF"/>
    <w:rsid w:val="3330332D"/>
    <w:rsid w:val="39253208"/>
    <w:rsid w:val="3C221C81"/>
    <w:rsid w:val="3D74650C"/>
    <w:rsid w:val="40E8793D"/>
    <w:rsid w:val="44B518E4"/>
    <w:rsid w:val="45C85647"/>
    <w:rsid w:val="48482A6F"/>
    <w:rsid w:val="51EE6435"/>
    <w:rsid w:val="5B9C6F02"/>
    <w:rsid w:val="63224191"/>
    <w:rsid w:val="677D5E3A"/>
    <w:rsid w:val="698E432E"/>
    <w:rsid w:val="6CB73B9C"/>
    <w:rsid w:val="70BA3C5B"/>
    <w:rsid w:val="78397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autoRedefine/>
    <w:semiHidden/>
    <w:unhideWhenUsed/>
    <w:qFormat/>
    <w:uiPriority w:val="99"/>
    <w:pPr>
      <w:tabs>
        <w:tab w:val="center" w:pos="4153"/>
        <w:tab w:val="right" w:pos="8306"/>
      </w:tabs>
      <w:snapToGrid w:val="0"/>
    </w:pPr>
    <w:rPr>
      <w:sz w:val="18"/>
      <w:szCs w:val="18"/>
    </w:rPr>
  </w:style>
  <w:style w:type="paragraph" w:styleId="3">
    <w:name w:val="header"/>
    <w:basedOn w:val="1"/>
    <w:link w:val="2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autoRedefine/>
    <w:qFormat/>
    <w:uiPriority w:val="0"/>
    <w:pPr>
      <w:jc w:val="right"/>
    </w:pPr>
    <w:rPr>
      <w:rFonts w:ascii="方正书宋_GBK" w:hAnsi="方正书宋_GBK" w:eastAsia="方正书宋_GBK" w:cs="方正书宋_GBK"/>
      <w:sz w:val="24"/>
      <w:lang w:val="en-US" w:eastAsia="zh-CN" w:bidi="ar-SA"/>
    </w:rPr>
  </w:style>
  <w:style w:type="paragraph" w:customStyle="1" w:styleId="25">
    <w:name w:val="TOC 2"/>
    <w:basedOn w:val="1"/>
    <w:autoRedefine/>
    <w:qFormat/>
    <w:uiPriority w:val="0"/>
    <w:pPr>
      <w:ind w:left="240"/>
    </w:pPr>
  </w:style>
  <w:style w:type="paragraph" w:customStyle="1" w:styleId="26">
    <w:name w:val="TOC 3"/>
    <w:basedOn w:val="1"/>
    <w:qFormat/>
    <w:uiPriority w:val="0"/>
    <w:pPr>
      <w:ind w:left="480"/>
    </w:pPr>
  </w:style>
  <w:style w:type="paragraph" w:customStyle="1" w:styleId="27">
    <w:name w:val="TOC 1"/>
    <w:basedOn w:val="1"/>
    <w:autoRedefine/>
    <w:qFormat/>
    <w:uiPriority w:val="0"/>
    <w:pPr>
      <w:spacing w:before="120"/>
      <w:ind w:firstLine="560"/>
    </w:pPr>
    <w:rPr>
      <w:rFonts w:eastAsia="方正仿宋_GBK"/>
      <w:color w:val="000000"/>
      <w:sz w:val="28"/>
    </w:rPr>
  </w:style>
  <w:style w:type="character" w:customStyle="1" w:styleId="28">
    <w:name w:val="页眉 Char"/>
    <w:basedOn w:val="6"/>
    <w:link w:val="3"/>
    <w:autoRedefine/>
    <w:semiHidden/>
    <w:qFormat/>
    <w:uiPriority w:val="99"/>
    <w:rPr>
      <w:rFonts w:eastAsia="Times New Roman"/>
      <w:sz w:val="18"/>
      <w:szCs w:val="18"/>
      <w:lang w:eastAsia="uk-UA"/>
    </w:rPr>
  </w:style>
  <w:style w:type="character" w:customStyle="1" w:styleId="2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30</Pages>
  <Words>1868</Words>
  <Characters>10648</Characters>
  <Lines>88</Lines>
  <Paragraphs>24</Paragraphs>
  <TotalTime>0</TotalTime>
  <ScaleCrop>false</ScaleCrop>
  <LinksUpToDate>false</LinksUpToDate>
  <CharactersWithSpaces>12492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2025-02-26T07:14:00Z</dcterms:created>
  <dc:creator>Administrator</dc:creator>
  <cp:lastModifiedBy>Pizrik_</cp:lastModifiedBy>
  <dcterms:modified xsi:type="dcterms:W3CDTF">2025-03-03T09:26:12Z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18D1A4AECCEB4F9F8A1F6D7A0ABD2EFB_12</vt:lpwstr>
  </property>
</Properties>
</file>