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9</w:t>
      </w:r>
    </w:p>
    <w:p>
      <w:pPr>
        <w:pStyle w:val="2"/>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3</w:t>
      </w:r>
      <w:r>
        <w:rPr>
          <w:rFonts w:hint="eastAsia"/>
          <w:lang w:val="en-US" w:eastAsia="zh-CN"/>
        </w:rPr>
        <w:t>0</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3</w:t>
      </w:r>
      <w:r>
        <w:rPr>
          <w:rFonts w:hint="eastAsia"/>
          <w:lang w:val="en-US" w:eastAsia="zh-CN"/>
        </w:rP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一、成安县辛义乡政府机关本级收支预算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2168.45</w:t>
            </w:r>
          </w:p>
        </w:tc>
        <w:tc>
          <w:tcPr>
            <w:tcW w:w="4535" w:type="dxa"/>
            <w:vAlign w:val="center"/>
          </w:tcPr>
          <w:p>
            <w:pPr>
              <w:pStyle w:val="12"/>
            </w:pPr>
            <w:r>
              <w:t>一、一般公共服务支出</w:t>
            </w:r>
          </w:p>
        </w:tc>
        <w:tc>
          <w:tcPr>
            <w:tcW w:w="2126" w:type="dxa"/>
            <w:vAlign w:val="center"/>
          </w:tcPr>
          <w:p>
            <w:pPr>
              <w:pStyle w:val="11"/>
            </w:pPr>
            <w:r>
              <w:t>497.08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2168.45</w:t>
            </w:r>
          </w:p>
        </w:tc>
        <w:tc>
          <w:tcPr>
            <w:tcW w:w="4535" w:type="dxa"/>
            <w:vAlign w:val="center"/>
          </w:tcPr>
          <w:p>
            <w:pPr>
              <w:pStyle w:val="14"/>
            </w:pPr>
            <w:r>
              <w:t>本年支出合计</w:t>
            </w:r>
          </w:p>
        </w:tc>
        <w:tc>
          <w:tcPr>
            <w:tcW w:w="2126" w:type="dxa"/>
            <w:vAlign w:val="center"/>
          </w:tcPr>
          <w:p>
            <w:pPr>
              <w:pStyle w:val="15"/>
            </w:pPr>
            <w:r>
              <w:t>2168.45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2168.45</w:t>
            </w:r>
          </w:p>
        </w:tc>
        <w:tc>
          <w:tcPr>
            <w:tcW w:w="4535" w:type="dxa"/>
            <w:vAlign w:val="center"/>
          </w:tcPr>
          <w:p>
            <w:pPr>
              <w:pStyle w:val="14"/>
            </w:pPr>
            <w:r>
              <w:t>支出总计</w:t>
            </w:r>
          </w:p>
        </w:tc>
        <w:tc>
          <w:tcPr>
            <w:tcW w:w="2126" w:type="dxa"/>
            <w:vAlign w:val="center"/>
          </w:tcPr>
          <w:p>
            <w:pPr>
              <w:pStyle w:val="15"/>
            </w:pPr>
            <w:r>
              <w:t>2168.45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2168.45</w:t>
            </w:r>
          </w:p>
        </w:tc>
        <w:tc>
          <w:tcPr>
            <w:tcW w:w="1134" w:type="dxa"/>
            <w:vAlign w:val="center"/>
          </w:tcPr>
          <w:p>
            <w:pPr>
              <w:pStyle w:val="15"/>
            </w:pPr>
            <w:r>
              <w:t>2168.45</w:t>
            </w:r>
          </w:p>
        </w:tc>
        <w:tc>
          <w:tcPr>
            <w:tcW w:w="1134" w:type="dxa"/>
            <w:vAlign w:val="center"/>
          </w:tcPr>
          <w:p>
            <w:pPr>
              <w:pStyle w:val="15"/>
            </w:pPr>
            <w:r>
              <w:t>2168.45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497.08</w:t>
            </w:r>
          </w:p>
        </w:tc>
        <w:tc>
          <w:tcPr>
            <w:tcW w:w="1134" w:type="dxa"/>
            <w:vAlign w:val="center"/>
          </w:tcPr>
          <w:p>
            <w:pPr>
              <w:pStyle w:val="11"/>
            </w:pPr>
            <w:r>
              <w:t>497.08</w:t>
            </w:r>
          </w:p>
        </w:tc>
        <w:tc>
          <w:tcPr>
            <w:tcW w:w="1134" w:type="dxa"/>
            <w:vAlign w:val="center"/>
          </w:tcPr>
          <w:p>
            <w:pPr>
              <w:pStyle w:val="11"/>
            </w:pPr>
            <w:r>
              <w:t>497.08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477.08</w:t>
            </w:r>
          </w:p>
        </w:tc>
        <w:tc>
          <w:tcPr>
            <w:tcW w:w="1134" w:type="dxa"/>
            <w:vAlign w:val="center"/>
          </w:tcPr>
          <w:p>
            <w:pPr>
              <w:pStyle w:val="11"/>
            </w:pPr>
            <w:r>
              <w:t>477.08</w:t>
            </w:r>
          </w:p>
        </w:tc>
        <w:tc>
          <w:tcPr>
            <w:tcW w:w="1134" w:type="dxa"/>
            <w:vAlign w:val="center"/>
          </w:tcPr>
          <w:p>
            <w:pPr>
              <w:pStyle w:val="11"/>
            </w:pPr>
            <w:r>
              <w:t>477.08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477.08</w:t>
            </w:r>
          </w:p>
        </w:tc>
        <w:tc>
          <w:tcPr>
            <w:tcW w:w="1134" w:type="dxa"/>
            <w:vAlign w:val="center"/>
          </w:tcPr>
          <w:p>
            <w:pPr>
              <w:pStyle w:val="11"/>
            </w:pPr>
            <w:r>
              <w:t>477.08</w:t>
            </w:r>
          </w:p>
        </w:tc>
        <w:tc>
          <w:tcPr>
            <w:tcW w:w="1134" w:type="dxa"/>
            <w:vAlign w:val="center"/>
          </w:tcPr>
          <w:p>
            <w:pPr>
              <w:pStyle w:val="11"/>
            </w:pPr>
            <w:r>
              <w:t>477.08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128.26</w:t>
            </w:r>
          </w:p>
        </w:tc>
        <w:tc>
          <w:tcPr>
            <w:tcW w:w="1134" w:type="dxa"/>
            <w:vAlign w:val="center"/>
          </w:tcPr>
          <w:p>
            <w:pPr>
              <w:pStyle w:val="11"/>
            </w:pPr>
            <w:r>
              <w:t>128.26</w:t>
            </w:r>
          </w:p>
        </w:tc>
        <w:tc>
          <w:tcPr>
            <w:tcW w:w="1134" w:type="dxa"/>
            <w:vAlign w:val="center"/>
          </w:tcPr>
          <w:p>
            <w:pPr>
              <w:pStyle w:val="11"/>
            </w:pPr>
            <w:r>
              <w:t>128.26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123.65</w:t>
            </w:r>
          </w:p>
        </w:tc>
        <w:tc>
          <w:tcPr>
            <w:tcW w:w="1134" w:type="dxa"/>
            <w:vAlign w:val="center"/>
          </w:tcPr>
          <w:p>
            <w:pPr>
              <w:pStyle w:val="11"/>
            </w:pPr>
            <w:r>
              <w:t>123.65</w:t>
            </w:r>
          </w:p>
        </w:tc>
        <w:tc>
          <w:tcPr>
            <w:tcW w:w="1134" w:type="dxa"/>
            <w:vAlign w:val="center"/>
          </w:tcPr>
          <w:p>
            <w:pPr>
              <w:pStyle w:val="11"/>
            </w:pPr>
            <w:r>
              <w:t>123.65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31.60</w:t>
            </w:r>
          </w:p>
        </w:tc>
        <w:tc>
          <w:tcPr>
            <w:tcW w:w="1134" w:type="dxa"/>
            <w:vAlign w:val="center"/>
          </w:tcPr>
          <w:p>
            <w:pPr>
              <w:pStyle w:val="11"/>
            </w:pPr>
            <w:r>
              <w:t>31.60</w:t>
            </w:r>
          </w:p>
        </w:tc>
        <w:tc>
          <w:tcPr>
            <w:tcW w:w="1134" w:type="dxa"/>
            <w:vAlign w:val="center"/>
          </w:tcPr>
          <w:p>
            <w:pPr>
              <w:pStyle w:val="11"/>
            </w:pPr>
            <w:r>
              <w:t>31.60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92.05</w:t>
            </w:r>
          </w:p>
        </w:tc>
        <w:tc>
          <w:tcPr>
            <w:tcW w:w="1134" w:type="dxa"/>
            <w:vAlign w:val="center"/>
          </w:tcPr>
          <w:p>
            <w:pPr>
              <w:pStyle w:val="11"/>
            </w:pPr>
            <w:r>
              <w:t>92.05</w:t>
            </w:r>
          </w:p>
        </w:tc>
        <w:tc>
          <w:tcPr>
            <w:tcW w:w="1134" w:type="dxa"/>
            <w:vAlign w:val="center"/>
          </w:tcPr>
          <w:p>
            <w:pPr>
              <w:pStyle w:val="11"/>
            </w:pPr>
            <w:r>
              <w:t>92.05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3.02</w:t>
            </w:r>
          </w:p>
        </w:tc>
        <w:tc>
          <w:tcPr>
            <w:tcW w:w="1134" w:type="dxa"/>
            <w:vAlign w:val="center"/>
          </w:tcPr>
          <w:p>
            <w:pPr>
              <w:pStyle w:val="11"/>
            </w:pPr>
            <w:r>
              <w:t>3.02</w:t>
            </w:r>
          </w:p>
        </w:tc>
        <w:tc>
          <w:tcPr>
            <w:tcW w:w="1134" w:type="dxa"/>
            <w:vAlign w:val="center"/>
          </w:tcPr>
          <w:p>
            <w:pPr>
              <w:pStyle w:val="11"/>
            </w:pPr>
            <w:r>
              <w:t>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3.02</w:t>
            </w:r>
          </w:p>
        </w:tc>
        <w:tc>
          <w:tcPr>
            <w:tcW w:w="1134" w:type="dxa"/>
            <w:vAlign w:val="center"/>
          </w:tcPr>
          <w:p>
            <w:pPr>
              <w:pStyle w:val="11"/>
            </w:pPr>
            <w:r>
              <w:t>3.02</w:t>
            </w:r>
          </w:p>
        </w:tc>
        <w:tc>
          <w:tcPr>
            <w:tcW w:w="1134" w:type="dxa"/>
            <w:vAlign w:val="center"/>
          </w:tcPr>
          <w:p>
            <w:pPr>
              <w:pStyle w:val="11"/>
            </w:pPr>
            <w:r>
              <w:t>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1.58</w:t>
            </w:r>
          </w:p>
        </w:tc>
        <w:tc>
          <w:tcPr>
            <w:tcW w:w="1134" w:type="dxa"/>
            <w:vAlign w:val="center"/>
          </w:tcPr>
          <w:p>
            <w:pPr>
              <w:pStyle w:val="11"/>
            </w:pPr>
            <w:r>
              <w:t>1.58</w:t>
            </w:r>
          </w:p>
        </w:tc>
        <w:tc>
          <w:tcPr>
            <w:tcW w:w="1134" w:type="dxa"/>
            <w:vAlign w:val="center"/>
          </w:tcPr>
          <w:p>
            <w:pPr>
              <w:pStyle w:val="11"/>
            </w:pPr>
            <w:r>
              <w:t>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1.58</w:t>
            </w:r>
          </w:p>
        </w:tc>
        <w:tc>
          <w:tcPr>
            <w:tcW w:w="1134" w:type="dxa"/>
            <w:vAlign w:val="center"/>
          </w:tcPr>
          <w:p>
            <w:pPr>
              <w:pStyle w:val="11"/>
            </w:pPr>
            <w:r>
              <w:t>1.58</w:t>
            </w:r>
          </w:p>
        </w:tc>
        <w:tc>
          <w:tcPr>
            <w:tcW w:w="1134" w:type="dxa"/>
            <w:vAlign w:val="center"/>
          </w:tcPr>
          <w:p>
            <w:pPr>
              <w:pStyle w:val="11"/>
            </w:pPr>
            <w:r>
              <w:t>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20.33</w:t>
            </w:r>
          </w:p>
        </w:tc>
        <w:tc>
          <w:tcPr>
            <w:tcW w:w="1134" w:type="dxa"/>
            <w:vAlign w:val="center"/>
          </w:tcPr>
          <w:p>
            <w:pPr>
              <w:pStyle w:val="11"/>
            </w:pPr>
            <w:r>
              <w:t>20.33</w:t>
            </w:r>
          </w:p>
        </w:tc>
        <w:tc>
          <w:tcPr>
            <w:tcW w:w="1134" w:type="dxa"/>
            <w:vAlign w:val="center"/>
          </w:tcPr>
          <w:p>
            <w:pPr>
              <w:pStyle w:val="11"/>
            </w:pPr>
            <w:r>
              <w:t>20.33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1473.00</w:t>
            </w:r>
          </w:p>
        </w:tc>
        <w:tc>
          <w:tcPr>
            <w:tcW w:w="1134" w:type="dxa"/>
            <w:vAlign w:val="center"/>
          </w:tcPr>
          <w:p>
            <w:pPr>
              <w:pStyle w:val="11"/>
            </w:pPr>
            <w:r>
              <w:t>1473.00</w:t>
            </w:r>
          </w:p>
        </w:tc>
        <w:tc>
          <w:tcPr>
            <w:tcW w:w="1134" w:type="dxa"/>
            <w:vAlign w:val="center"/>
          </w:tcPr>
          <w:p>
            <w:pPr>
              <w:pStyle w:val="11"/>
            </w:pPr>
            <w:r>
              <w:t>1473.00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1473.00</w:t>
            </w:r>
          </w:p>
        </w:tc>
        <w:tc>
          <w:tcPr>
            <w:tcW w:w="1134" w:type="dxa"/>
            <w:vAlign w:val="center"/>
          </w:tcPr>
          <w:p>
            <w:pPr>
              <w:pStyle w:val="11"/>
            </w:pPr>
            <w:r>
              <w:t>1473.00</w:t>
            </w:r>
          </w:p>
        </w:tc>
        <w:tc>
          <w:tcPr>
            <w:tcW w:w="1134" w:type="dxa"/>
            <w:vAlign w:val="center"/>
          </w:tcPr>
          <w:p>
            <w:pPr>
              <w:pStyle w:val="11"/>
            </w:pPr>
            <w:r>
              <w:t>1473.00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1428.00</w:t>
            </w:r>
          </w:p>
        </w:tc>
        <w:tc>
          <w:tcPr>
            <w:tcW w:w="1134" w:type="dxa"/>
            <w:vAlign w:val="center"/>
          </w:tcPr>
          <w:p>
            <w:pPr>
              <w:pStyle w:val="11"/>
            </w:pPr>
            <w:r>
              <w:t>1428.00</w:t>
            </w:r>
          </w:p>
        </w:tc>
        <w:tc>
          <w:tcPr>
            <w:tcW w:w="1134" w:type="dxa"/>
            <w:vAlign w:val="center"/>
          </w:tcPr>
          <w:p>
            <w:pPr>
              <w:pStyle w:val="11"/>
            </w:pPr>
            <w:r>
              <w:t>1428.00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29.78</w:t>
            </w:r>
          </w:p>
        </w:tc>
        <w:tc>
          <w:tcPr>
            <w:tcW w:w="1134" w:type="dxa"/>
            <w:vAlign w:val="center"/>
          </w:tcPr>
          <w:p>
            <w:pPr>
              <w:pStyle w:val="11"/>
            </w:pPr>
            <w:r>
              <w:t>29.78</w:t>
            </w:r>
          </w:p>
        </w:tc>
        <w:tc>
          <w:tcPr>
            <w:tcW w:w="1134" w:type="dxa"/>
            <w:vAlign w:val="center"/>
          </w:tcPr>
          <w:p>
            <w:pPr>
              <w:pStyle w:val="11"/>
            </w:pPr>
            <w:r>
              <w:t>29.78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29.78</w:t>
            </w:r>
          </w:p>
        </w:tc>
        <w:tc>
          <w:tcPr>
            <w:tcW w:w="1134" w:type="dxa"/>
            <w:vAlign w:val="center"/>
          </w:tcPr>
          <w:p>
            <w:pPr>
              <w:pStyle w:val="11"/>
            </w:pPr>
            <w:r>
              <w:t>29.78</w:t>
            </w:r>
          </w:p>
        </w:tc>
        <w:tc>
          <w:tcPr>
            <w:tcW w:w="1134" w:type="dxa"/>
            <w:vAlign w:val="center"/>
          </w:tcPr>
          <w:p>
            <w:pPr>
              <w:pStyle w:val="11"/>
            </w:pPr>
            <w:r>
              <w:t>29.78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29.78</w:t>
            </w:r>
          </w:p>
        </w:tc>
        <w:tc>
          <w:tcPr>
            <w:tcW w:w="1134" w:type="dxa"/>
            <w:vAlign w:val="center"/>
          </w:tcPr>
          <w:p>
            <w:pPr>
              <w:pStyle w:val="11"/>
            </w:pPr>
            <w:r>
              <w:t>29.78</w:t>
            </w:r>
          </w:p>
        </w:tc>
        <w:tc>
          <w:tcPr>
            <w:tcW w:w="1134" w:type="dxa"/>
            <w:vAlign w:val="center"/>
          </w:tcPr>
          <w:p>
            <w:pPr>
              <w:pStyle w:val="11"/>
            </w:pPr>
            <w:r>
              <w:t>29.78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2168.45</w:t>
            </w:r>
          </w:p>
        </w:tc>
        <w:tc>
          <w:tcPr>
            <w:tcW w:w="1361" w:type="dxa"/>
            <w:vAlign w:val="center"/>
          </w:tcPr>
          <w:p>
            <w:pPr>
              <w:pStyle w:val="15"/>
            </w:pPr>
            <w:r>
              <w:t>524.64</w:t>
            </w:r>
          </w:p>
        </w:tc>
        <w:tc>
          <w:tcPr>
            <w:tcW w:w="1361" w:type="dxa"/>
            <w:vAlign w:val="center"/>
          </w:tcPr>
          <w:p>
            <w:pPr>
              <w:pStyle w:val="15"/>
            </w:pPr>
            <w:r>
              <w:t>1643.81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497.08</w:t>
            </w:r>
          </w:p>
        </w:tc>
        <w:tc>
          <w:tcPr>
            <w:tcW w:w="1361" w:type="dxa"/>
            <w:vAlign w:val="center"/>
          </w:tcPr>
          <w:p>
            <w:pPr>
              <w:pStyle w:val="11"/>
            </w:pPr>
            <w:r>
              <w:t>346.27</w:t>
            </w:r>
          </w:p>
        </w:tc>
        <w:tc>
          <w:tcPr>
            <w:tcW w:w="1361" w:type="dxa"/>
            <w:vAlign w:val="center"/>
          </w:tcPr>
          <w:p>
            <w:pPr>
              <w:pStyle w:val="11"/>
            </w:pPr>
            <w:r>
              <w:t>150.81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477.08</w:t>
            </w:r>
          </w:p>
        </w:tc>
        <w:tc>
          <w:tcPr>
            <w:tcW w:w="1361" w:type="dxa"/>
            <w:vAlign w:val="center"/>
          </w:tcPr>
          <w:p>
            <w:pPr>
              <w:pStyle w:val="11"/>
            </w:pPr>
            <w:r>
              <w:t>346.27</w:t>
            </w:r>
          </w:p>
        </w:tc>
        <w:tc>
          <w:tcPr>
            <w:tcW w:w="1361" w:type="dxa"/>
            <w:vAlign w:val="center"/>
          </w:tcPr>
          <w:p>
            <w:pPr>
              <w:pStyle w:val="11"/>
            </w:pPr>
            <w:r>
              <w:t>130.81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477.08</w:t>
            </w:r>
          </w:p>
        </w:tc>
        <w:tc>
          <w:tcPr>
            <w:tcW w:w="1361" w:type="dxa"/>
            <w:vAlign w:val="center"/>
          </w:tcPr>
          <w:p>
            <w:pPr>
              <w:pStyle w:val="11"/>
            </w:pPr>
            <w:r>
              <w:t>346.27</w:t>
            </w:r>
          </w:p>
        </w:tc>
        <w:tc>
          <w:tcPr>
            <w:tcW w:w="1361" w:type="dxa"/>
            <w:vAlign w:val="center"/>
          </w:tcPr>
          <w:p>
            <w:pPr>
              <w:pStyle w:val="11"/>
            </w:pPr>
            <w:r>
              <w:t>130.81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128.26</w:t>
            </w:r>
          </w:p>
        </w:tc>
        <w:tc>
          <w:tcPr>
            <w:tcW w:w="1361" w:type="dxa"/>
            <w:vAlign w:val="center"/>
          </w:tcPr>
          <w:p>
            <w:pPr>
              <w:pStyle w:val="11"/>
            </w:pPr>
            <w:r>
              <w:t>128.26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123.65</w:t>
            </w:r>
          </w:p>
        </w:tc>
        <w:tc>
          <w:tcPr>
            <w:tcW w:w="1361" w:type="dxa"/>
            <w:vAlign w:val="center"/>
          </w:tcPr>
          <w:p>
            <w:pPr>
              <w:pStyle w:val="11"/>
            </w:pPr>
            <w:r>
              <w:t>123.65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31.60</w:t>
            </w:r>
          </w:p>
        </w:tc>
        <w:tc>
          <w:tcPr>
            <w:tcW w:w="1361" w:type="dxa"/>
            <w:vAlign w:val="center"/>
          </w:tcPr>
          <w:p>
            <w:pPr>
              <w:pStyle w:val="11"/>
            </w:pPr>
            <w:r>
              <w:t>31.60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92.05</w:t>
            </w:r>
          </w:p>
        </w:tc>
        <w:tc>
          <w:tcPr>
            <w:tcW w:w="1361" w:type="dxa"/>
            <w:vAlign w:val="center"/>
          </w:tcPr>
          <w:p>
            <w:pPr>
              <w:pStyle w:val="11"/>
            </w:pPr>
            <w:r>
              <w:t>92.05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3.02</w:t>
            </w:r>
          </w:p>
        </w:tc>
        <w:tc>
          <w:tcPr>
            <w:tcW w:w="1361" w:type="dxa"/>
            <w:vAlign w:val="center"/>
          </w:tcPr>
          <w:p>
            <w:pPr>
              <w:pStyle w:val="11"/>
            </w:pPr>
            <w:r>
              <w:t>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3.02</w:t>
            </w:r>
          </w:p>
        </w:tc>
        <w:tc>
          <w:tcPr>
            <w:tcW w:w="1361" w:type="dxa"/>
            <w:vAlign w:val="center"/>
          </w:tcPr>
          <w:p>
            <w:pPr>
              <w:pStyle w:val="11"/>
            </w:pPr>
            <w:r>
              <w:t>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1.58</w:t>
            </w:r>
          </w:p>
        </w:tc>
        <w:tc>
          <w:tcPr>
            <w:tcW w:w="1361" w:type="dxa"/>
            <w:vAlign w:val="center"/>
          </w:tcPr>
          <w:p>
            <w:pPr>
              <w:pStyle w:val="11"/>
            </w:pPr>
            <w:r>
              <w:t>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1.58</w:t>
            </w:r>
          </w:p>
        </w:tc>
        <w:tc>
          <w:tcPr>
            <w:tcW w:w="1361" w:type="dxa"/>
            <w:vAlign w:val="center"/>
          </w:tcPr>
          <w:p>
            <w:pPr>
              <w:pStyle w:val="11"/>
            </w:pPr>
            <w:r>
              <w:t>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20.33</w:t>
            </w:r>
          </w:p>
        </w:tc>
        <w:tc>
          <w:tcPr>
            <w:tcW w:w="1361" w:type="dxa"/>
            <w:vAlign w:val="center"/>
          </w:tcPr>
          <w:p>
            <w:pPr>
              <w:pStyle w:val="11"/>
            </w:pPr>
            <w:r>
              <w:t>20.33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0.20</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0.20</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20.13</w:t>
            </w:r>
          </w:p>
        </w:tc>
        <w:tc>
          <w:tcPr>
            <w:tcW w:w="1361" w:type="dxa"/>
            <w:vAlign w:val="center"/>
          </w:tcPr>
          <w:p>
            <w:pPr>
              <w:pStyle w:val="11"/>
            </w:pPr>
            <w:r>
              <w:t>20.13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20.13</w:t>
            </w:r>
          </w:p>
        </w:tc>
        <w:tc>
          <w:tcPr>
            <w:tcW w:w="1361" w:type="dxa"/>
            <w:vAlign w:val="center"/>
          </w:tcPr>
          <w:p>
            <w:pPr>
              <w:pStyle w:val="11"/>
            </w:pPr>
            <w:r>
              <w:t>20.13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1473.00</w:t>
            </w:r>
          </w:p>
        </w:tc>
        <w:tc>
          <w:tcPr>
            <w:tcW w:w="1361" w:type="dxa"/>
            <w:vAlign w:val="center"/>
          </w:tcPr>
          <w:p>
            <w:pPr>
              <w:pStyle w:val="11"/>
            </w:pPr>
          </w:p>
        </w:tc>
        <w:tc>
          <w:tcPr>
            <w:tcW w:w="1361" w:type="dxa"/>
            <w:vAlign w:val="center"/>
          </w:tcPr>
          <w:p>
            <w:pPr>
              <w:pStyle w:val="11"/>
            </w:pPr>
            <w:r>
              <w:t>1473.00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1473.00</w:t>
            </w:r>
          </w:p>
        </w:tc>
        <w:tc>
          <w:tcPr>
            <w:tcW w:w="1361" w:type="dxa"/>
            <w:vAlign w:val="center"/>
          </w:tcPr>
          <w:p>
            <w:pPr>
              <w:pStyle w:val="11"/>
            </w:pPr>
          </w:p>
        </w:tc>
        <w:tc>
          <w:tcPr>
            <w:tcW w:w="1361" w:type="dxa"/>
            <w:vAlign w:val="center"/>
          </w:tcPr>
          <w:p>
            <w:pPr>
              <w:pStyle w:val="11"/>
            </w:pPr>
            <w:r>
              <w:t>1473.00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1428.00</w:t>
            </w:r>
          </w:p>
        </w:tc>
        <w:tc>
          <w:tcPr>
            <w:tcW w:w="1361" w:type="dxa"/>
            <w:vAlign w:val="center"/>
          </w:tcPr>
          <w:p>
            <w:pPr>
              <w:pStyle w:val="11"/>
            </w:pPr>
          </w:p>
        </w:tc>
        <w:tc>
          <w:tcPr>
            <w:tcW w:w="1361" w:type="dxa"/>
            <w:vAlign w:val="center"/>
          </w:tcPr>
          <w:p>
            <w:pPr>
              <w:pStyle w:val="11"/>
            </w:pPr>
            <w:r>
              <w:t>1428.00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29.78</w:t>
            </w:r>
          </w:p>
        </w:tc>
        <w:tc>
          <w:tcPr>
            <w:tcW w:w="1361" w:type="dxa"/>
            <w:vAlign w:val="center"/>
          </w:tcPr>
          <w:p>
            <w:pPr>
              <w:pStyle w:val="11"/>
            </w:pPr>
            <w:r>
              <w:t>29.78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29.78</w:t>
            </w:r>
          </w:p>
        </w:tc>
        <w:tc>
          <w:tcPr>
            <w:tcW w:w="1361" w:type="dxa"/>
            <w:vAlign w:val="center"/>
          </w:tcPr>
          <w:p>
            <w:pPr>
              <w:pStyle w:val="11"/>
            </w:pPr>
            <w:r>
              <w:t>29.78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29.78</w:t>
            </w:r>
          </w:p>
        </w:tc>
        <w:tc>
          <w:tcPr>
            <w:tcW w:w="1361" w:type="dxa"/>
            <w:vAlign w:val="center"/>
          </w:tcPr>
          <w:p>
            <w:pPr>
              <w:pStyle w:val="11"/>
            </w:pPr>
            <w:r>
              <w:t>29.78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2168.45</w:t>
            </w:r>
          </w:p>
        </w:tc>
        <w:tc>
          <w:tcPr>
            <w:tcW w:w="3402" w:type="dxa"/>
            <w:vAlign w:val="center"/>
          </w:tcPr>
          <w:p>
            <w:pPr>
              <w:pStyle w:val="12"/>
            </w:pPr>
            <w:r>
              <w:t>一、一般公共服务支出</w:t>
            </w:r>
          </w:p>
        </w:tc>
        <w:tc>
          <w:tcPr>
            <w:tcW w:w="1474" w:type="dxa"/>
            <w:vAlign w:val="center"/>
          </w:tcPr>
          <w:p>
            <w:pPr>
              <w:pStyle w:val="11"/>
            </w:pPr>
            <w:r>
              <w:t>497.08</w:t>
            </w:r>
          </w:p>
        </w:tc>
        <w:tc>
          <w:tcPr>
            <w:tcW w:w="1474" w:type="dxa"/>
            <w:vAlign w:val="center"/>
          </w:tcPr>
          <w:p>
            <w:pPr>
              <w:pStyle w:val="11"/>
            </w:pPr>
            <w:r>
              <w:t>497.08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128.26</w:t>
            </w:r>
          </w:p>
        </w:tc>
        <w:tc>
          <w:tcPr>
            <w:tcW w:w="1474" w:type="dxa"/>
            <w:vAlign w:val="center"/>
          </w:tcPr>
          <w:p>
            <w:pPr>
              <w:pStyle w:val="11"/>
            </w:pPr>
            <w:r>
              <w:t>128.26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20.33</w:t>
            </w:r>
          </w:p>
        </w:tc>
        <w:tc>
          <w:tcPr>
            <w:tcW w:w="1474" w:type="dxa"/>
            <w:vAlign w:val="center"/>
          </w:tcPr>
          <w:p>
            <w:pPr>
              <w:pStyle w:val="11"/>
            </w:pPr>
            <w:r>
              <w:t>20.33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1473.00</w:t>
            </w:r>
          </w:p>
        </w:tc>
        <w:tc>
          <w:tcPr>
            <w:tcW w:w="1474" w:type="dxa"/>
            <w:vAlign w:val="center"/>
          </w:tcPr>
          <w:p>
            <w:pPr>
              <w:pStyle w:val="11"/>
            </w:pPr>
            <w:r>
              <w:t>1473.00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29.78</w:t>
            </w:r>
          </w:p>
        </w:tc>
        <w:tc>
          <w:tcPr>
            <w:tcW w:w="1474" w:type="dxa"/>
            <w:vAlign w:val="center"/>
          </w:tcPr>
          <w:p>
            <w:pPr>
              <w:pStyle w:val="11"/>
            </w:pPr>
            <w:r>
              <w:t>29.78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2168.45</w:t>
            </w:r>
          </w:p>
        </w:tc>
        <w:tc>
          <w:tcPr>
            <w:tcW w:w="3402" w:type="dxa"/>
            <w:vAlign w:val="center"/>
          </w:tcPr>
          <w:p>
            <w:pPr>
              <w:pStyle w:val="14"/>
            </w:pPr>
            <w:r>
              <w:t>本年支出合计</w:t>
            </w:r>
          </w:p>
        </w:tc>
        <w:tc>
          <w:tcPr>
            <w:tcW w:w="1474" w:type="dxa"/>
            <w:vAlign w:val="center"/>
          </w:tcPr>
          <w:p>
            <w:pPr>
              <w:pStyle w:val="15"/>
            </w:pPr>
            <w:r>
              <w:t>2168.45</w:t>
            </w:r>
          </w:p>
        </w:tc>
        <w:tc>
          <w:tcPr>
            <w:tcW w:w="1474" w:type="dxa"/>
            <w:vAlign w:val="center"/>
          </w:tcPr>
          <w:p>
            <w:pPr>
              <w:pStyle w:val="15"/>
            </w:pPr>
            <w:r>
              <w:t>2168.45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2168.45</w:t>
            </w:r>
          </w:p>
        </w:tc>
        <w:tc>
          <w:tcPr>
            <w:tcW w:w="3402" w:type="dxa"/>
            <w:vAlign w:val="center"/>
          </w:tcPr>
          <w:p>
            <w:pPr>
              <w:pStyle w:val="14"/>
            </w:pPr>
            <w:r>
              <w:t>支出总计</w:t>
            </w:r>
          </w:p>
        </w:tc>
        <w:tc>
          <w:tcPr>
            <w:tcW w:w="1474" w:type="dxa"/>
            <w:vAlign w:val="center"/>
          </w:tcPr>
          <w:p>
            <w:pPr>
              <w:pStyle w:val="15"/>
            </w:pPr>
            <w:r>
              <w:t>2168.45</w:t>
            </w:r>
          </w:p>
        </w:tc>
        <w:tc>
          <w:tcPr>
            <w:tcW w:w="1474" w:type="dxa"/>
            <w:vAlign w:val="center"/>
          </w:tcPr>
          <w:p>
            <w:pPr>
              <w:pStyle w:val="15"/>
            </w:pPr>
            <w:r>
              <w:t>2168.45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2168.45</w:t>
            </w:r>
          </w:p>
        </w:tc>
        <w:tc>
          <w:tcPr>
            <w:tcW w:w="2551" w:type="dxa"/>
            <w:vAlign w:val="center"/>
          </w:tcPr>
          <w:p>
            <w:pPr>
              <w:pStyle w:val="15"/>
            </w:pPr>
            <w:r>
              <w:t>524.64</w:t>
            </w:r>
          </w:p>
        </w:tc>
        <w:tc>
          <w:tcPr>
            <w:tcW w:w="2551" w:type="dxa"/>
            <w:vAlign w:val="center"/>
          </w:tcPr>
          <w:p>
            <w:pPr>
              <w:pStyle w:val="15"/>
            </w:pPr>
            <w:r>
              <w:t>1643.81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497.08</w:t>
            </w:r>
          </w:p>
        </w:tc>
        <w:tc>
          <w:tcPr>
            <w:tcW w:w="2551" w:type="dxa"/>
            <w:vAlign w:val="center"/>
          </w:tcPr>
          <w:p>
            <w:pPr>
              <w:pStyle w:val="11"/>
            </w:pPr>
            <w:r>
              <w:t>346.27</w:t>
            </w:r>
          </w:p>
        </w:tc>
        <w:tc>
          <w:tcPr>
            <w:tcW w:w="2551" w:type="dxa"/>
            <w:vAlign w:val="center"/>
          </w:tcPr>
          <w:p>
            <w:pPr>
              <w:pStyle w:val="11"/>
            </w:pPr>
            <w:r>
              <w:t>150.81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477.08</w:t>
            </w:r>
          </w:p>
        </w:tc>
        <w:tc>
          <w:tcPr>
            <w:tcW w:w="2551" w:type="dxa"/>
            <w:vAlign w:val="center"/>
          </w:tcPr>
          <w:p>
            <w:pPr>
              <w:pStyle w:val="11"/>
            </w:pPr>
            <w:r>
              <w:t>346.27</w:t>
            </w:r>
          </w:p>
        </w:tc>
        <w:tc>
          <w:tcPr>
            <w:tcW w:w="2551" w:type="dxa"/>
            <w:vAlign w:val="center"/>
          </w:tcPr>
          <w:p>
            <w:pPr>
              <w:pStyle w:val="11"/>
            </w:pPr>
            <w:r>
              <w:t>130.81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477.08</w:t>
            </w:r>
          </w:p>
        </w:tc>
        <w:tc>
          <w:tcPr>
            <w:tcW w:w="2551" w:type="dxa"/>
            <w:vAlign w:val="center"/>
          </w:tcPr>
          <w:p>
            <w:pPr>
              <w:pStyle w:val="11"/>
            </w:pPr>
            <w:r>
              <w:t>346.27</w:t>
            </w:r>
          </w:p>
        </w:tc>
        <w:tc>
          <w:tcPr>
            <w:tcW w:w="2551" w:type="dxa"/>
            <w:vAlign w:val="center"/>
          </w:tcPr>
          <w:p>
            <w:pPr>
              <w:pStyle w:val="11"/>
            </w:pPr>
            <w:r>
              <w:t>130.81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128.26</w:t>
            </w:r>
          </w:p>
        </w:tc>
        <w:tc>
          <w:tcPr>
            <w:tcW w:w="2551" w:type="dxa"/>
            <w:vAlign w:val="center"/>
          </w:tcPr>
          <w:p>
            <w:pPr>
              <w:pStyle w:val="11"/>
            </w:pPr>
            <w:r>
              <w:t>128.26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123.65</w:t>
            </w:r>
          </w:p>
        </w:tc>
        <w:tc>
          <w:tcPr>
            <w:tcW w:w="2551" w:type="dxa"/>
            <w:vAlign w:val="center"/>
          </w:tcPr>
          <w:p>
            <w:pPr>
              <w:pStyle w:val="11"/>
            </w:pPr>
            <w:r>
              <w:t>123.65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31.60</w:t>
            </w:r>
          </w:p>
        </w:tc>
        <w:tc>
          <w:tcPr>
            <w:tcW w:w="2551" w:type="dxa"/>
            <w:vAlign w:val="center"/>
          </w:tcPr>
          <w:p>
            <w:pPr>
              <w:pStyle w:val="11"/>
            </w:pPr>
            <w:r>
              <w:t>31.60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92.05</w:t>
            </w:r>
          </w:p>
        </w:tc>
        <w:tc>
          <w:tcPr>
            <w:tcW w:w="2551" w:type="dxa"/>
            <w:vAlign w:val="center"/>
          </w:tcPr>
          <w:p>
            <w:pPr>
              <w:pStyle w:val="11"/>
            </w:pPr>
            <w:r>
              <w:t>92.05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3.02</w:t>
            </w:r>
          </w:p>
        </w:tc>
        <w:tc>
          <w:tcPr>
            <w:tcW w:w="2551" w:type="dxa"/>
            <w:vAlign w:val="center"/>
          </w:tcPr>
          <w:p>
            <w:pPr>
              <w:pStyle w:val="11"/>
            </w:pPr>
            <w:r>
              <w:t>3.02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3.02</w:t>
            </w:r>
          </w:p>
        </w:tc>
        <w:tc>
          <w:tcPr>
            <w:tcW w:w="2551" w:type="dxa"/>
            <w:vAlign w:val="center"/>
          </w:tcPr>
          <w:p>
            <w:pPr>
              <w:pStyle w:val="11"/>
            </w:pPr>
            <w:r>
              <w:t>3.02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20.33</w:t>
            </w:r>
          </w:p>
        </w:tc>
        <w:tc>
          <w:tcPr>
            <w:tcW w:w="2551" w:type="dxa"/>
            <w:vAlign w:val="center"/>
          </w:tcPr>
          <w:p>
            <w:pPr>
              <w:pStyle w:val="11"/>
            </w:pPr>
            <w:r>
              <w:t>20.33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20.13</w:t>
            </w:r>
          </w:p>
        </w:tc>
        <w:tc>
          <w:tcPr>
            <w:tcW w:w="2551" w:type="dxa"/>
            <w:vAlign w:val="center"/>
          </w:tcPr>
          <w:p>
            <w:pPr>
              <w:pStyle w:val="11"/>
            </w:pPr>
            <w:r>
              <w:t>20.13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20.13</w:t>
            </w:r>
          </w:p>
        </w:tc>
        <w:tc>
          <w:tcPr>
            <w:tcW w:w="2551" w:type="dxa"/>
            <w:vAlign w:val="center"/>
          </w:tcPr>
          <w:p>
            <w:pPr>
              <w:pStyle w:val="11"/>
            </w:pPr>
            <w:r>
              <w:t>20.13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1473.00</w:t>
            </w:r>
          </w:p>
        </w:tc>
        <w:tc>
          <w:tcPr>
            <w:tcW w:w="2551" w:type="dxa"/>
            <w:vAlign w:val="center"/>
          </w:tcPr>
          <w:p>
            <w:pPr>
              <w:pStyle w:val="11"/>
            </w:pPr>
          </w:p>
        </w:tc>
        <w:tc>
          <w:tcPr>
            <w:tcW w:w="2551" w:type="dxa"/>
            <w:vAlign w:val="center"/>
          </w:tcPr>
          <w:p>
            <w:pPr>
              <w:pStyle w:val="11"/>
            </w:pPr>
            <w:r>
              <w:t>1473.00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1473.00</w:t>
            </w:r>
          </w:p>
        </w:tc>
        <w:tc>
          <w:tcPr>
            <w:tcW w:w="2551" w:type="dxa"/>
            <w:vAlign w:val="center"/>
          </w:tcPr>
          <w:p>
            <w:pPr>
              <w:pStyle w:val="11"/>
            </w:pPr>
          </w:p>
        </w:tc>
        <w:tc>
          <w:tcPr>
            <w:tcW w:w="2551" w:type="dxa"/>
            <w:vAlign w:val="center"/>
          </w:tcPr>
          <w:p>
            <w:pPr>
              <w:pStyle w:val="11"/>
            </w:pPr>
            <w:r>
              <w:t>1473.00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1428.00</w:t>
            </w:r>
          </w:p>
        </w:tc>
        <w:tc>
          <w:tcPr>
            <w:tcW w:w="2551" w:type="dxa"/>
            <w:vAlign w:val="center"/>
          </w:tcPr>
          <w:p>
            <w:pPr>
              <w:pStyle w:val="11"/>
            </w:pPr>
          </w:p>
        </w:tc>
        <w:tc>
          <w:tcPr>
            <w:tcW w:w="2551" w:type="dxa"/>
            <w:vAlign w:val="center"/>
          </w:tcPr>
          <w:p>
            <w:pPr>
              <w:pStyle w:val="11"/>
            </w:pPr>
            <w:r>
              <w:t>1428.00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524.64</w:t>
            </w:r>
          </w:p>
        </w:tc>
        <w:tc>
          <w:tcPr>
            <w:tcW w:w="2551" w:type="dxa"/>
            <w:vAlign w:val="center"/>
          </w:tcPr>
          <w:p>
            <w:pPr>
              <w:pStyle w:val="15"/>
            </w:pPr>
            <w:r>
              <w:t>491.36</w:t>
            </w:r>
          </w:p>
        </w:tc>
        <w:tc>
          <w:tcPr>
            <w:tcW w:w="2551" w:type="dxa"/>
            <w:vAlign w:val="center"/>
          </w:tcPr>
          <w:p>
            <w:pPr>
              <w:pStyle w:val="15"/>
            </w:pPr>
            <w:r>
              <w:t>33.28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456.74</w:t>
            </w:r>
          </w:p>
        </w:tc>
        <w:tc>
          <w:tcPr>
            <w:tcW w:w="2551" w:type="dxa"/>
            <w:vAlign w:val="center"/>
          </w:tcPr>
          <w:p>
            <w:pPr>
              <w:pStyle w:val="11"/>
            </w:pPr>
            <w:r>
              <w:t>456.74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131.42</w:t>
            </w:r>
          </w:p>
        </w:tc>
        <w:tc>
          <w:tcPr>
            <w:tcW w:w="2551" w:type="dxa"/>
            <w:vAlign w:val="center"/>
          </w:tcPr>
          <w:p>
            <w:pPr>
              <w:pStyle w:val="11"/>
            </w:pPr>
            <w:r>
              <w:t>131.42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115.02</w:t>
            </w:r>
          </w:p>
        </w:tc>
        <w:tc>
          <w:tcPr>
            <w:tcW w:w="2551" w:type="dxa"/>
            <w:vAlign w:val="center"/>
          </w:tcPr>
          <w:p>
            <w:pPr>
              <w:pStyle w:val="11"/>
            </w:pPr>
            <w:r>
              <w:t>115.02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52.81</w:t>
            </w:r>
          </w:p>
        </w:tc>
        <w:tc>
          <w:tcPr>
            <w:tcW w:w="2551" w:type="dxa"/>
            <w:vAlign w:val="center"/>
          </w:tcPr>
          <w:p>
            <w:pPr>
              <w:pStyle w:val="11"/>
            </w:pPr>
            <w:r>
              <w:t>52.81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13.74</w:t>
            </w:r>
          </w:p>
        </w:tc>
        <w:tc>
          <w:tcPr>
            <w:tcW w:w="2551" w:type="dxa"/>
            <w:vAlign w:val="center"/>
          </w:tcPr>
          <w:p>
            <w:pPr>
              <w:pStyle w:val="11"/>
            </w:pPr>
            <w:r>
              <w:t>13.74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92.05</w:t>
            </w:r>
          </w:p>
        </w:tc>
        <w:tc>
          <w:tcPr>
            <w:tcW w:w="2551" w:type="dxa"/>
            <w:vAlign w:val="center"/>
          </w:tcPr>
          <w:p>
            <w:pPr>
              <w:pStyle w:val="11"/>
            </w:pPr>
            <w:r>
              <w:t>92.05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20.33</w:t>
            </w:r>
          </w:p>
        </w:tc>
        <w:tc>
          <w:tcPr>
            <w:tcW w:w="2551" w:type="dxa"/>
            <w:vAlign w:val="center"/>
          </w:tcPr>
          <w:p>
            <w:pPr>
              <w:pStyle w:val="11"/>
            </w:pPr>
            <w:r>
              <w:t>20.33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33.28</w:t>
            </w:r>
          </w:p>
        </w:tc>
        <w:tc>
          <w:tcPr>
            <w:tcW w:w="2551" w:type="dxa"/>
            <w:vAlign w:val="center"/>
          </w:tcPr>
          <w:p>
            <w:pPr>
              <w:pStyle w:val="11"/>
            </w:pPr>
          </w:p>
        </w:tc>
        <w:tc>
          <w:tcPr>
            <w:tcW w:w="2551" w:type="dxa"/>
            <w:vAlign w:val="center"/>
          </w:tcPr>
          <w:p>
            <w:pPr>
              <w:pStyle w:val="11"/>
            </w:pPr>
            <w:r>
              <w:t>33.28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18.28</w:t>
            </w:r>
          </w:p>
        </w:tc>
        <w:tc>
          <w:tcPr>
            <w:tcW w:w="2551" w:type="dxa"/>
            <w:vAlign w:val="center"/>
          </w:tcPr>
          <w:p>
            <w:pPr>
              <w:pStyle w:val="11"/>
            </w:pPr>
          </w:p>
        </w:tc>
        <w:tc>
          <w:tcPr>
            <w:tcW w:w="2551" w:type="dxa"/>
            <w:vAlign w:val="center"/>
          </w:tcPr>
          <w:p>
            <w:pPr>
              <w:pStyle w:val="11"/>
            </w:pPr>
            <w:r>
              <w:t>18.28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34.62</w:t>
            </w:r>
          </w:p>
        </w:tc>
        <w:tc>
          <w:tcPr>
            <w:tcW w:w="2551" w:type="dxa"/>
            <w:vAlign w:val="center"/>
          </w:tcPr>
          <w:p>
            <w:pPr>
              <w:pStyle w:val="11"/>
            </w:pPr>
            <w:r>
              <w:t>34.62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31.60</w:t>
            </w:r>
          </w:p>
        </w:tc>
        <w:tc>
          <w:tcPr>
            <w:tcW w:w="2551" w:type="dxa"/>
            <w:vAlign w:val="center"/>
          </w:tcPr>
          <w:p>
            <w:pPr>
              <w:pStyle w:val="11"/>
            </w:pPr>
            <w:r>
              <w:t>31.60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3.02</w:t>
            </w:r>
          </w:p>
        </w:tc>
        <w:tc>
          <w:tcPr>
            <w:tcW w:w="2551" w:type="dxa"/>
            <w:vAlign w:val="center"/>
          </w:tcPr>
          <w:p>
            <w:pPr>
              <w:pStyle w:val="11"/>
            </w:pPr>
            <w:r>
              <w:t>3.02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1</w:t>
            </w:r>
          </w:p>
        </w:tc>
        <w:tc>
          <w:tcPr>
            <w:tcW w:w="3798" w:type="dxa"/>
            <w:vAlign w:val="center"/>
          </w:tcPr>
          <w:p>
            <w:pPr>
              <w:widowControl/>
              <w:jc w:val="left"/>
              <w:textAlignment w:val="center"/>
            </w:pPr>
            <w:r>
              <w:rPr>
                <w:rFonts w:hint="eastAsia" w:ascii="宋体" w:hAnsi="宋体" w:cs="宋体"/>
                <w:color w:val="000000"/>
                <w:kern w:val="0"/>
                <w:sz w:val="18"/>
                <w:szCs w:val="18"/>
                <w:lang w:bidi="ar"/>
              </w:rPr>
              <w:t>合计</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2</w:t>
            </w:r>
          </w:p>
        </w:tc>
        <w:tc>
          <w:tcPr>
            <w:tcW w:w="3798" w:type="dxa"/>
            <w:vAlign w:val="center"/>
          </w:tcPr>
          <w:p>
            <w:pPr>
              <w:widowControl/>
              <w:jc w:val="left"/>
              <w:textAlignment w:val="center"/>
            </w:pPr>
            <w:r>
              <w:rPr>
                <w:rFonts w:hint="eastAsia" w:ascii="宋体" w:hAnsi="宋体" w:cs="宋体"/>
                <w:color w:val="000000"/>
                <w:kern w:val="0"/>
                <w:sz w:val="18"/>
                <w:szCs w:val="18"/>
                <w:lang w:bidi="ar"/>
              </w:rPr>
              <w:t>“三公”经费小计</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1.00</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1.00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3</w:t>
            </w:r>
          </w:p>
        </w:tc>
        <w:tc>
          <w:tcPr>
            <w:tcW w:w="3798" w:type="dxa"/>
            <w:vAlign w:val="center"/>
          </w:tcPr>
          <w:p>
            <w:pPr>
              <w:widowControl/>
              <w:jc w:val="left"/>
              <w:textAlignment w:val="center"/>
            </w:pPr>
            <w:r>
              <w:rPr>
                <w:rFonts w:hint="eastAsia" w:ascii="宋体" w:hAnsi="宋体" w:cs="宋体"/>
                <w:color w:val="000000"/>
                <w:kern w:val="0"/>
                <w:sz w:val="18"/>
                <w:szCs w:val="18"/>
                <w:lang w:bidi="ar"/>
              </w:rPr>
              <w:t>一、因公出国（境）费</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4</w:t>
            </w:r>
          </w:p>
        </w:tc>
        <w:tc>
          <w:tcPr>
            <w:tcW w:w="3798" w:type="dxa"/>
            <w:vAlign w:val="center"/>
          </w:tcPr>
          <w:p>
            <w:pPr>
              <w:widowControl/>
              <w:jc w:val="left"/>
              <w:textAlignment w:val="center"/>
            </w:pPr>
            <w:r>
              <w:rPr>
                <w:rFonts w:hint="eastAsia" w:ascii="宋体" w:hAnsi="宋体" w:cs="宋体"/>
                <w:color w:val="000000"/>
                <w:kern w:val="0"/>
                <w:sz w:val="18"/>
                <w:szCs w:val="18"/>
                <w:lang w:bidi="ar"/>
              </w:rPr>
              <w:t xml:space="preserve">    其中：教学科研人员因公出国（境）费</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ascii="宋体" w:hAnsi="宋体" w:eastAsia="方正书宋_GBK" w:cs="宋体"/>
                <w:color w:val="000000"/>
                <w:kern w:val="0"/>
                <w:sz w:val="18"/>
                <w:szCs w:val="18"/>
                <w:lang w:val="en-US" w:eastAsia="zh-CN" w:bidi="ar"/>
              </w:rPr>
            </w:pPr>
            <w:r>
              <w:rPr>
                <w:rFonts w:hint="eastAsia" w:ascii="宋体" w:hAnsi="宋体" w:eastAsia="方正书宋_GBK" w:cs="宋体"/>
                <w:color w:val="000000"/>
                <w:kern w:val="0"/>
                <w:sz w:val="18"/>
                <w:szCs w:val="18"/>
                <w:lang w:val="en-US" w:eastAsia="zh-CN" w:bidi="ar"/>
              </w:rPr>
              <w:t>5</w:t>
            </w:r>
          </w:p>
        </w:tc>
        <w:tc>
          <w:tcPr>
            <w:tcW w:w="3798" w:type="dxa"/>
            <w:vAlign w:val="center"/>
          </w:tcPr>
          <w:p>
            <w:pPr>
              <w:widowControl/>
              <w:jc w:val="left"/>
              <w:textAlignment w:val="center"/>
            </w:pPr>
            <w:r>
              <w:rPr>
                <w:rFonts w:hint="eastAsia" w:ascii="宋体" w:hAnsi="宋体" w:cs="宋体"/>
                <w:color w:val="000000"/>
                <w:kern w:val="0"/>
                <w:sz w:val="18"/>
                <w:szCs w:val="18"/>
                <w:lang w:bidi="ar"/>
              </w:rPr>
              <w:t xml:space="preserve">          其他因公出国（境）费</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6</w:t>
            </w:r>
          </w:p>
        </w:tc>
        <w:tc>
          <w:tcPr>
            <w:tcW w:w="3798" w:type="dxa"/>
            <w:vAlign w:val="center"/>
          </w:tcPr>
          <w:p>
            <w:pPr>
              <w:widowControl/>
              <w:jc w:val="left"/>
              <w:textAlignment w:val="center"/>
            </w:pPr>
            <w:r>
              <w:rPr>
                <w:rFonts w:hint="eastAsia" w:ascii="宋体" w:hAnsi="宋体" w:cs="宋体"/>
                <w:color w:val="000000"/>
                <w:kern w:val="0"/>
                <w:sz w:val="18"/>
                <w:szCs w:val="18"/>
                <w:lang w:bidi="ar"/>
              </w:rPr>
              <w:t>二、公务用车购置及运维费</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1.00</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1.00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7</w:t>
            </w:r>
          </w:p>
        </w:tc>
        <w:tc>
          <w:tcPr>
            <w:tcW w:w="3798" w:type="dxa"/>
            <w:vAlign w:val="center"/>
          </w:tcPr>
          <w:p>
            <w:pPr>
              <w:widowControl/>
              <w:jc w:val="left"/>
              <w:textAlignment w:val="center"/>
            </w:pPr>
            <w:r>
              <w:rPr>
                <w:rFonts w:hint="eastAsia" w:ascii="宋体" w:hAnsi="宋体" w:cs="宋体"/>
                <w:color w:val="000000"/>
                <w:kern w:val="0"/>
                <w:sz w:val="18"/>
                <w:szCs w:val="18"/>
                <w:lang w:bidi="ar"/>
              </w:rPr>
              <w:t xml:space="preserve">    其中：公务用车购置费</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8</w:t>
            </w:r>
          </w:p>
        </w:tc>
        <w:tc>
          <w:tcPr>
            <w:tcW w:w="3798" w:type="dxa"/>
            <w:vAlign w:val="center"/>
          </w:tcPr>
          <w:p>
            <w:pPr>
              <w:widowControl/>
              <w:jc w:val="left"/>
              <w:textAlignment w:val="center"/>
            </w:pPr>
            <w:r>
              <w:rPr>
                <w:rFonts w:hint="eastAsia" w:ascii="宋体" w:hAnsi="宋体" w:cs="宋体"/>
                <w:color w:val="000000"/>
                <w:kern w:val="0"/>
                <w:sz w:val="18"/>
                <w:szCs w:val="18"/>
                <w:lang w:bidi="ar"/>
              </w:rPr>
              <w:t xml:space="preserve">          公务用车运行维护费</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1.00</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1.00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eastAsia" w:eastAsia="方正书宋_GBK"/>
                <w:lang w:val="en-US" w:eastAsia="zh-CN"/>
              </w:rPr>
            </w:pPr>
            <w:r>
              <w:rPr>
                <w:rFonts w:hint="eastAsia" w:ascii="宋体" w:hAnsi="宋体" w:eastAsia="方正书宋_GBK" w:cs="宋体"/>
                <w:color w:val="000000"/>
                <w:kern w:val="0"/>
                <w:sz w:val="18"/>
                <w:szCs w:val="18"/>
                <w:lang w:val="en-US" w:eastAsia="zh-CN" w:bidi="ar"/>
              </w:rPr>
              <w:t>9</w:t>
            </w:r>
          </w:p>
        </w:tc>
        <w:tc>
          <w:tcPr>
            <w:tcW w:w="3798" w:type="dxa"/>
            <w:vAlign w:val="center"/>
          </w:tcPr>
          <w:p>
            <w:pPr>
              <w:widowControl/>
              <w:jc w:val="left"/>
              <w:textAlignment w:val="center"/>
            </w:pPr>
            <w:r>
              <w:rPr>
                <w:rFonts w:hint="eastAsia" w:ascii="宋体" w:hAnsi="宋体" w:cs="宋体"/>
                <w:color w:val="000000"/>
                <w:kern w:val="0"/>
                <w:sz w:val="18"/>
                <w:szCs w:val="18"/>
                <w:lang w:bidi="ar"/>
              </w:rPr>
              <w:t>三、公务接待费</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0.00</w:t>
            </w:r>
          </w:p>
        </w:tc>
        <w:tc>
          <w:tcPr>
            <w:tcW w:w="2381" w:type="dxa"/>
            <w:vAlign w:val="center"/>
          </w:tcPr>
          <w:p>
            <w:pPr>
              <w:widowControl/>
              <w:jc w:val="right"/>
              <w:textAlignment w:val="center"/>
              <w:rPr>
                <w:rFonts w:hint="eastAsia" w:eastAsia="方正书宋_GBK"/>
                <w:lang w:val="en-US" w:eastAsia="zh-CN"/>
              </w:rPr>
            </w:pPr>
            <w:r>
              <w:rPr>
                <w:rFonts w:hint="eastAsia" w:ascii="宋体" w:hAnsi="宋体" w:cs="宋体"/>
                <w:color w:val="000000"/>
                <w:kern w:val="0"/>
                <w:sz w:val="18"/>
                <w:szCs w:val="18"/>
                <w:lang w:bidi="ar"/>
              </w:rPr>
              <w:t>0.00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c>
          <w:tcPr>
            <w:tcW w:w="2381" w:type="dxa"/>
            <w:vAlign w:val="center"/>
          </w:tcPr>
          <w:p>
            <w:pPr>
              <w:widowControl/>
              <w:jc w:val="right"/>
              <w:textAlignment w:val="center"/>
            </w:pPr>
            <w:r>
              <w:rPr>
                <w:rFonts w:hint="eastAsia" w:ascii="宋体" w:hAnsi="宋体" w:cs="宋体"/>
                <w:color w:val="000000"/>
                <w:kern w:val="0"/>
                <w:sz w:val="18"/>
                <w:szCs w:val="18"/>
                <w:lang w:bidi="ar"/>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default" w:eastAsia="方正书宋_GBK"/>
                <w:lang w:val="en-US" w:eastAsia="zh-CN"/>
              </w:rPr>
            </w:pPr>
            <w:r>
              <w:rPr>
                <w:rFonts w:hint="eastAsia" w:ascii="宋体" w:hAnsi="宋体" w:eastAsia="方正书宋_GBK" w:cs="宋体"/>
                <w:color w:val="000000"/>
                <w:kern w:val="0"/>
                <w:sz w:val="18"/>
                <w:szCs w:val="18"/>
                <w:lang w:val="en-US" w:eastAsia="zh-CN" w:bidi="ar"/>
              </w:rPr>
              <w:t>10</w:t>
            </w:r>
          </w:p>
        </w:tc>
        <w:tc>
          <w:tcPr>
            <w:tcW w:w="3798" w:type="dxa"/>
            <w:vAlign w:val="center"/>
          </w:tcPr>
          <w:p>
            <w:pPr>
              <w:widowControl/>
              <w:jc w:val="left"/>
              <w:textAlignment w:val="center"/>
            </w:pPr>
            <w:r>
              <w:rPr>
                <w:rFonts w:hint="eastAsia" w:ascii="宋体" w:hAnsi="宋体" w:cs="宋体"/>
                <w:color w:val="000000"/>
                <w:kern w:val="0"/>
                <w:sz w:val="18"/>
                <w:szCs w:val="18"/>
                <w:lang w:bidi="ar"/>
              </w:rPr>
              <w:t>四、会议费</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0" w:type="dxa"/>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11</w:t>
            </w:r>
          </w:p>
        </w:tc>
        <w:tc>
          <w:tcPr>
            <w:tcW w:w="3798" w:type="dxa"/>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五、培训费</w:t>
            </w:r>
          </w:p>
        </w:tc>
        <w:tc>
          <w:tcPr>
            <w:tcW w:w="2381" w:type="dxa"/>
            <w:vAlign w:val="center"/>
          </w:tcPr>
          <w:p>
            <w:pPr>
              <w:jc w:val="right"/>
              <w:rPr>
                <w:rFonts w:hint="eastAsia" w:eastAsia="方正书宋_GBK"/>
                <w:lang w:val="en-US" w:eastAsia="zh-CN"/>
              </w:rPr>
            </w:pPr>
          </w:p>
        </w:tc>
        <w:tc>
          <w:tcPr>
            <w:tcW w:w="2381" w:type="dxa"/>
            <w:vAlign w:val="center"/>
          </w:tcPr>
          <w:p>
            <w:pPr>
              <w:jc w:val="right"/>
              <w:rPr>
                <w:rFonts w:hint="eastAsia" w:eastAsia="方正书宋_GBK"/>
                <w:lang w:val="en-US" w:eastAsia="zh-CN"/>
              </w:rPr>
            </w:pPr>
          </w:p>
        </w:tc>
        <w:tc>
          <w:tcPr>
            <w:tcW w:w="2381" w:type="dxa"/>
            <w:vAlign w:val="center"/>
          </w:tcPr>
          <w:p>
            <w:pPr>
              <w:jc w:val="right"/>
            </w:pPr>
          </w:p>
        </w:tc>
        <w:tc>
          <w:tcPr>
            <w:tcW w:w="2381" w:type="dxa"/>
            <w:vAlign w:val="center"/>
          </w:tcPr>
          <w:p>
            <w:pPr>
              <w:jc w:val="right"/>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成安县辛义乡政府机关本级2025年单位预算信息公开情况说明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按照《中华人民共和国预算法》、《地方预决算公开操作规程》和《关于进一步推进预算公开工作的实施意见》规定，现将成安县辛义乡政府机关本级2025年单位预算公开如下：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rPr>
          <w:rFonts w:hint="eastAsia"/>
        </w:rPr>
      </w:pPr>
      <w:r>
        <w:rPr>
          <w:rFonts w:hint="eastAsia"/>
        </w:rPr>
        <w:t>1、宣传、贯彻党的路线、方针、政策和上级党组织的决议，执行乡党员代表大会(党员大会)决议，讨论决定本乡的重大问题。</w:t>
      </w:r>
    </w:p>
    <w:p>
      <w:pPr>
        <w:pStyle w:val="22"/>
        <w:rPr>
          <w:rFonts w:hint="eastAsia"/>
        </w:rPr>
      </w:pPr>
      <w:r>
        <w:rPr>
          <w:rFonts w:hint="eastAsia"/>
        </w:rPr>
        <w:t>2、抓好自身和所属党组织以及非公企业和社会组织的党组织建设。</w:t>
      </w:r>
    </w:p>
    <w:p>
      <w:pPr>
        <w:pStyle w:val="22"/>
        <w:rPr>
          <w:rFonts w:hint="eastAsia"/>
        </w:rPr>
      </w:pPr>
      <w:r>
        <w:rPr>
          <w:rFonts w:hint="eastAsia"/>
        </w:rPr>
        <w:t>3、领导乡经济建设，制定本乡经济和社会发展规划并组织实施。</w:t>
      </w:r>
    </w:p>
    <w:p>
      <w:pPr>
        <w:pStyle w:val="22"/>
        <w:rPr>
          <w:rFonts w:hint="eastAsia"/>
        </w:rPr>
      </w:pPr>
      <w:r>
        <w:rPr>
          <w:rFonts w:hint="eastAsia"/>
        </w:rPr>
        <w:t>4、领导乡社会主义精神文明和民主法</w:t>
      </w:r>
      <w:r>
        <w:rPr>
          <w:rFonts w:hint="eastAsia"/>
          <w:lang w:eastAsia="zh-CN"/>
        </w:rPr>
        <w:t>治建设</w:t>
      </w:r>
      <w:r>
        <w:rPr>
          <w:rFonts w:hint="eastAsia"/>
        </w:rPr>
        <w:t>加强农村社会治安综合治理，落实统一战线工作任务，做好民族事务工作。</w:t>
      </w:r>
    </w:p>
    <w:p>
      <w:pPr>
        <w:pStyle w:val="22"/>
        <w:rPr>
          <w:rFonts w:hint="eastAsia"/>
        </w:rPr>
      </w:pPr>
      <w:r>
        <w:rPr>
          <w:rFonts w:hint="eastAsia"/>
        </w:rPr>
        <w:t>5、领导并支持乡政府依法行使各项行政管理职权。</w:t>
      </w:r>
    </w:p>
    <w:p>
      <w:pPr>
        <w:pStyle w:val="22"/>
        <w:rPr>
          <w:rFonts w:hint="eastAsia"/>
        </w:rPr>
      </w:pPr>
      <w:r>
        <w:rPr>
          <w:rFonts w:hint="eastAsia"/>
        </w:rPr>
        <w:t>6、领导人大主席团及经济组织、人民武装和共青团、妇联等人民团体的工作。</w:t>
      </w:r>
    </w:p>
    <w:p>
      <w:pPr>
        <w:pStyle w:val="22"/>
        <w:rPr>
          <w:rFonts w:hint="eastAsia"/>
        </w:rPr>
      </w:pPr>
      <w:r>
        <w:rPr>
          <w:rFonts w:hint="eastAsia"/>
        </w:rPr>
        <w:t>7、统一指挥协调上级有关部门派驻乡单位的工作。</w:t>
      </w:r>
    </w:p>
    <w:p>
      <w:pPr>
        <w:pStyle w:val="22"/>
        <w:rPr>
          <w:rFonts w:hint="eastAsia"/>
        </w:rPr>
      </w:pPr>
      <w:r>
        <w:rPr>
          <w:rFonts w:hint="eastAsia"/>
        </w:rPr>
        <w:t>8、完成上级党组织交办的其他任务。</w:t>
      </w:r>
    </w:p>
    <w:p>
      <w:pPr>
        <w:pStyle w:val="22"/>
        <w:rPr>
          <w:rFonts w:hint="eastAsia" w:eastAsia="方正仿宋_GBK"/>
          <w:lang w:eastAsia="zh-CN"/>
        </w:rPr>
      </w:pPr>
      <w:r>
        <w:rPr>
          <w:rFonts w:hint="eastAsia"/>
        </w:rPr>
        <w:t>9、促进经济发展、增加农民收入</w:t>
      </w:r>
      <w:r>
        <w:rPr>
          <w:rFonts w:hint="eastAsia"/>
          <w:lang w:eastAsia="zh-CN"/>
        </w:rPr>
        <w:t>。</w:t>
      </w:r>
    </w:p>
    <w:p>
      <w:pPr>
        <w:pStyle w:val="22"/>
        <w:rPr>
          <w:rFonts w:hint="eastAsia" w:eastAsia="方正仿宋_GBK"/>
          <w:lang w:eastAsia="zh-CN"/>
        </w:rPr>
      </w:pPr>
      <w:r>
        <w:rPr>
          <w:rFonts w:hint="eastAsia"/>
        </w:rPr>
        <w:t>10、优化公共服务、着力改善民生</w:t>
      </w:r>
      <w:r>
        <w:rPr>
          <w:rFonts w:hint="eastAsia"/>
          <w:lang w:eastAsia="zh-CN"/>
        </w:rPr>
        <w:t>。</w:t>
      </w:r>
    </w:p>
    <w:p>
      <w:pPr>
        <w:pStyle w:val="22"/>
        <w:rPr>
          <w:rFonts w:hint="eastAsia" w:eastAsia="方正仿宋_GBK"/>
          <w:lang w:eastAsia="zh-CN"/>
        </w:rPr>
      </w:pPr>
      <w:r>
        <w:rPr>
          <w:rFonts w:hint="eastAsia"/>
        </w:rPr>
        <w:t>11、强化社会管理、维护农村稳定</w:t>
      </w:r>
      <w:r>
        <w:rPr>
          <w:rFonts w:hint="eastAsia"/>
          <w:lang w:eastAsia="zh-CN"/>
        </w:rPr>
        <w:t>。</w:t>
      </w:r>
    </w:p>
    <w:p>
      <w:pPr>
        <w:pStyle w:val="22"/>
        <w:rPr>
          <w:rFonts w:hint="eastAsia" w:eastAsia="方正仿宋_GBK"/>
          <w:lang w:eastAsia="zh-CN"/>
        </w:rPr>
      </w:pPr>
      <w:r>
        <w:rPr>
          <w:rFonts w:hint="eastAsia"/>
        </w:rPr>
        <w:t>12、推进基层民主、促进农村和谐</w:t>
      </w:r>
      <w:r>
        <w:rPr>
          <w:rFonts w:hint="eastAsia"/>
          <w:lang w:eastAsia="zh-CN"/>
        </w:rPr>
        <w:t>。</w:t>
      </w:r>
    </w:p>
    <w:p>
      <w:pPr>
        <w:pStyle w:val="17"/>
      </w:pPr>
      <w:r>
        <w:rPr>
          <w:rFonts w:hint="eastAsia"/>
        </w:rPr>
        <w:t>13、改善生态环境、提升乡风文明</w:t>
      </w:r>
      <w:r>
        <w:rPr>
          <w:rFonts w:hint="eastAsia"/>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成安县辛义乡政府机关本级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keepNext w:val="0"/>
        <w:keepLines w:val="0"/>
        <w:pageBreakBefore w:val="0"/>
        <w:widowControl/>
        <w:kinsoku/>
        <w:wordWrap/>
        <w:overflowPunct/>
        <w:topLinePunct w:val="0"/>
        <w:autoSpaceDE/>
        <w:autoSpaceDN/>
        <w:bidi w:val="0"/>
        <w:adjustRightInd/>
        <w:snapToGrid/>
        <w:spacing w:before="0" w:beforeAutospacing="0" w:line="500" w:lineRule="exact"/>
        <w:ind w:firstLine="561"/>
        <w:textAlignment w:val="auto"/>
        <w:rPr>
          <w:rFonts w:hint="eastAsia"/>
        </w:rPr>
      </w:pPr>
      <w:r>
        <w:rPr>
          <w:rFonts w:hint="eastAsia"/>
        </w:rPr>
        <w:t>按照预算管理有关规定，目前我</w:t>
      </w:r>
      <w:r>
        <w:rPr>
          <w:rFonts w:hint="eastAsia"/>
          <w:lang w:val="en-US" w:eastAsia="zh-CN"/>
        </w:rPr>
        <w:t>单位</w:t>
      </w:r>
      <w:r>
        <w:rPr>
          <w:rFonts w:hint="eastAsia"/>
        </w:rPr>
        <w:t>预算的编制实行综合预算管理，即全部收入和支出都反映在预算中。成安县辛义乡政府机关及所属事业单位的收支包含在</w:t>
      </w:r>
      <w:r>
        <w:rPr>
          <w:rFonts w:hint="eastAsia"/>
          <w:lang w:eastAsia="zh-CN"/>
        </w:rPr>
        <w:t>单位</w:t>
      </w:r>
      <w:r>
        <w:rPr>
          <w:rFonts w:hint="eastAsia"/>
        </w:rPr>
        <w:t>预算中。</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rPr>
      </w:pPr>
      <w:r>
        <w:rPr>
          <w:rFonts w:hint="eastAsia"/>
        </w:rPr>
        <w:t>1、收入说明</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rPr>
      </w:pPr>
      <w:r>
        <w:rPr>
          <w:rFonts w:hint="eastAsia"/>
        </w:rPr>
        <w:t>202</w:t>
      </w:r>
      <w:r>
        <w:rPr>
          <w:rFonts w:hint="eastAsia"/>
          <w:lang w:val="en-US" w:eastAsia="zh-CN"/>
        </w:rPr>
        <w:t>5</w:t>
      </w:r>
      <w:r>
        <w:rPr>
          <w:rFonts w:hint="eastAsia"/>
        </w:rPr>
        <w:t>年预算收入2168.45万元，其中：一般公共预算收入2168.45万元，政府性基金收入0万元，国有资本经营收入0万元，事业收入0万元，其他收入0万元。</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rPr>
      </w:pPr>
      <w:r>
        <w:rPr>
          <w:rFonts w:hint="eastAsia"/>
        </w:rPr>
        <w:t>2、支出说明</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rPr>
      </w:pPr>
      <w:r>
        <w:rPr>
          <w:rFonts w:hint="eastAsia"/>
        </w:rPr>
        <w:t>202</w:t>
      </w:r>
      <w:r>
        <w:rPr>
          <w:rFonts w:hint="eastAsia"/>
          <w:lang w:val="en-US" w:eastAsia="zh-CN"/>
        </w:rPr>
        <w:t>5</w:t>
      </w:r>
      <w:r>
        <w:rPr>
          <w:rFonts w:hint="eastAsia"/>
        </w:rPr>
        <w:t>年支出预算2168.45万元，其中基本支出524.64万元，包括人员经费和日常公用经费；项目支出1643.81万元。</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rPr>
      </w:pPr>
      <w:r>
        <w:rPr>
          <w:rFonts w:hint="eastAsia"/>
        </w:rPr>
        <w:t>3、比上年增减变化情况</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rPr>
        <w:t>202</w:t>
      </w:r>
      <w:r>
        <w:rPr>
          <w:rFonts w:hint="eastAsia"/>
          <w:lang w:val="en-US" w:eastAsia="zh-CN"/>
        </w:rPr>
        <w:t>5</w:t>
      </w:r>
      <w:r>
        <w:rPr>
          <w:rFonts w:hint="eastAsia"/>
        </w:rPr>
        <w:t>年预算收支安排2168.45万元，较202</w:t>
      </w:r>
      <w:r>
        <w:rPr>
          <w:rFonts w:hint="eastAsia"/>
          <w:lang w:val="en-US" w:eastAsia="zh-CN"/>
        </w:rPr>
        <w:t>4</w:t>
      </w:r>
      <w:r>
        <w:rPr>
          <w:rFonts w:hint="eastAsia"/>
        </w:rPr>
        <w:t>年预算</w:t>
      </w:r>
      <w:r>
        <w:rPr>
          <w:rFonts w:hint="eastAsia"/>
          <w:lang w:val="en-US" w:eastAsia="zh-CN"/>
        </w:rPr>
        <w:t>增加</w:t>
      </w:r>
      <w:r>
        <w:rPr>
          <w:rFonts w:hint="eastAsia"/>
        </w:rPr>
        <w:t>958.89万元，其中：基本支出</w:t>
      </w:r>
      <w:r>
        <w:rPr>
          <w:rFonts w:hint="eastAsia"/>
          <w:lang w:val="en-US" w:eastAsia="zh-CN"/>
        </w:rPr>
        <w:t>增加</w:t>
      </w:r>
      <w:r>
        <w:rPr>
          <w:rFonts w:hint="eastAsia"/>
        </w:rPr>
        <w:t>26.42万元，主要是财政供养人员调整；项目支出</w:t>
      </w:r>
      <w:r>
        <w:rPr>
          <w:rFonts w:hint="eastAsia"/>
          <w:lang w:val="en-US" w:eastAsia="zh-CN"/>
        </w:rPr>
        <w:t>增加</w:t>
      </w:r>
      <w:r>
        <w:rPr>
          <w:rFonts w:hint="eastAsia"/>
        </w:rPr>
        <w:t>932.47万元，主要是</w:t>
      </w:r>
      <w:r>
        <w:rPr>
          <w:rFonts w:hint="eastAsia"/>
          <w:lang w:val="en-US" w:eastAsia="zh-CN"/>
        </w:rPr>
        <w:t>专款项目的增加</w:t>
      </w:r>
      <w:r>
        <w:rPr>
          <w:rFonts w:hint="eastAsia"/>
        </w:rP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eastAsia="方正仿宋_GBK"/>
          <w:lang w:eastAsia="zh-CN"/>
        </w:rPr>
      </w:pPr>
      <w:r>
        <w:rPr>
          <w:rFonts w:hint="eastAsia"/>
        </w:rPr>
        <w:t>机关运行经费共计安排</w:t>
      </w:r>
      <w:r>
        <w:rPr>
          <w:rFonts w:hint="eastAsia"/>
          <w:lang w:val="en-US" w:eastAsia="zh-CN"/>
        </w:rPr>
        <w:t>33.28</w:t>
      </w:r>
      <w:r>
        <w:rPr>
          <w:rFonts w:hint="eastAsia"/>
        </w:rPr>
        <w:t>万元，主要用于办公费和其他交通费用等日常运行支出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“三公”经费预算安排</w:t>
      </w:r>
      <w:r>
        <w:rPr>
          <w:rFonts w:hint="eastAsia"/>
          <w:lang w:val="en-US" w:eastAsia="zh-CN"/>
        </w:rPr>
        <w:t>1</w:t>
      </w:r>
      <w:r>
        <w:rPr>
          <w:rFonts w:hint="eastAsia"/>
        </w:rPr>
        <w:t>万元，其中因公出国（境）费0万元,较上年数持平；公务用车购置及运维费</w:t>
      </w:r>
      <w:r>
        <w:rPr>
          <w:rFonts w:hint="eastAsia"/>
          <w:lang w:val="en-US" w:eastAsia="zh-CN"/>
        </w:rPr>
        <w:t>1</w:t>
      </w:r>
      <w:r>
        <w:rPr>
          <w:rFonts w:hint="eastAsia"/>
        </w:rPr>
        <w:t>万元（其中：公务用车购置费为0万元，公务用车运行费</w:t>
      </w:r>
      <w:r>
        <w:rPr>
          <w:rFonts w:hint="eastAsia"/>
          <w:lang w:val="en-US" w:eastAsia="zh-CN"/>
        </w:rPr>
        <w:t>1</w:t>
      </w:r>
      <w:r>
        <w:rPr>
          <w:rFonts w:hint="eastAsia"/>
        </w:rPr>
        <w:t>万元) ，较上年持平；公务接待费0万元，较上年持平。“三公”经费与上年持平。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1、2025年村级转移支付绩效目标表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13042425P00003310003H</w:t>
            </w:r>
          </w:p>
        </w:tc>
        <w:tc>
          <w:tcPr>
            <w:tcW w:w="2835" w:type="dxa"/>
            <w:vAlign w:val="center"/>
          </w:tcPr>
          <w:p>
            <w:pPr>
              <w:pStyle w:val="10"/>
            </w:pPr>
            <w:r>
              <w:t>项目名称</w:t>
            </w:r>
          </w:p>
        </w:tc>
        <w:tc>
          <w:tcPr>
            <w:tcW w:w="6095" w:type="dxa"/>
            <w:gridSpan w:val="3"/>
            <w:vAlign w:val="center"/>
          </w:tcPr>
          <w:p>
            <w:pPr>
              <w:pStyle w:val="12"/>
            </w:pPr>
            <w:r>
              <w:t>2025年村级转移支付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资金将全部用于村级日常办公相关支出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w:t>
            </w:r>
          </w:p>
        </w:tc>
        <w:tc>
          <w:tcPr>
            <w:tcW w:w="2835" w:type="dxa"/>
            <w:vAlign w:val="center"/>
          </w:tcPr>
          <w:p>
            <w:pPr>
              <w:pStyle w:val="13"/>
            </w:pPr>
            <w:r>
              <w:t>22.50</w:t>
            </w:r>
          </w:p>
        </w:tc>
        <w:tc>
          <w:tcPr>
            <w:tcW w:w="2551" w:type="dxa"/>
            <w:vAlign w:val="center"/>
          </w:tcPr>
          <w:p>
            <w:pPr>
              <w:pStyle w:val="13"/>
            </w:pPr>
            <w:r>
              <w:t>33.75</w:t>
            </w:r>
          </w:p>
        </w:tc>
        <w:tc>
          <w:tcPr>
            <w:tcW w:w="3544" w:type="dxa"/>
            <w:gridSpan w:val="2"/>
            <w:vAlign w:val="center"/>
          </w:tcPr>
          <w:p>
            <w:pPr>
              <w:pStyle w:val="13"/>
            </w:pPr>
            <w:r>
              <w:t>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1.保障村级日常办公，提高村级办事效率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使用村级转移支付的村数量</w:t>
            </w:r>
          </w:p>
        </w:tc>
        <w:tc>
          <w:tcPr>
            <w:tcW w:w="5386" w:type="dxa"/>
            <w:vAlign w:val="center"/>
          </w:tcPr>
          <w:p>
            <w:pPr>
              <w:pStyle w:val="12"/>
            </w:pPr>
            <w:r>
              <w:t>使用村级转移支付的村数量</w:t>
            </w:r>
          </w:p>
        </w:tc>
        <w:tc>
          <w:tcPr>
            <w:tcW w:w="2268" w:type="dxa"/>
            <w:vAlign w:val="center"/>
          </w:tcPr>
          <w:p>
            <w:pPr>
              <w:pStyle w:val="12"/>
            </w:pPr>
            <w:r>
              <w:t>25个</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资金使用规范率</w:t>
            </w:r>
          </w:p>
        </w:tc>
        <w:tc>
          <w:tcPr>
            <w:tcW w:w="5386" w:type="dxa"/>
            <w:vAlign w:val="center"/>
          </w:tcPr>
          <w:p>
            <w:pPr>
              <w:pStyle w:val="12"/>
            </w:pPr>
            <w:r>
              <w:t>资金使用规范率</w:t>
            </w:r>
          </w:p>
        </w:tc>
        <w:tc>
          <w:tcPr>
            <w:tcW w:w="2268" w:type="dxa"/>
            <w:vAlign w:val="center"/>
          </w:tcPr>
          <w:p>
            <w:pPr>
              <w:pStyle w:val="12"/>
            </w:pPr>
            <w:r>
              <w:t>≥99百分比</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资金保障期限</w:t>
            </w:r>
          </w:p>
        </w:tc>
        <w:tc>
          <w:tcPr>
            <w:tcW w:w="5386" w:type="dxa"/>
            <w:vAlign w:val="center"/>
          </w:tcPr>
          <w:p>
            <w:pPr>
              <w:pStyle w:val="12"/>
            </w:pPr>
            <w:r>
              <w:t>资金保障期限</w:t>
            </w:r>
          </w:p>
        </w:tc>
        <w:tc>
          <w:tcPr>
            <w:tcW w:w="2268" w:type="dxa"/>
            <w:vAlign w:val="center"/>
          </w:tcPr>
          <w:p>
            <w:pPr>
              <w:pStyle w:val="12"/>
            </w:pPr>
            <w:r>
              <w:t>≤1年</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每村每年拨款标准</w:t>
            </w:r>
          </w:p>
        </w:tc>
        <w:tc>
          <w:tcPr>
            <w:tcW w:w="5386" w:type="dxa"/>
            <w:vAlign w:val="center"/>
          </w:tcPr>
          <w:p>
            <w:pPr>
              <w:pStyle w:val="12"/>
            </w:pPr>
            <w:r>
              <w:t>每村每年拨款标准</w:t>
            </w:r>
          </w:p>
        </w:tc>
        <w:tc>
          <w:tcPr>
            <w:tcW w:w="2268" w:type="dxa"/>
            <w:vAlign w:val="center"/>
          </w:tcPr>
          <w:p>
            <w:pPr>
              <w:pStyle w:val="12"/>
            </w:pPr>
            <w:r>
              <w:t>≥10000元/村/年</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保障村级日常办公</w:t>
            </w:r>
          </w:p>
        </w:tc>
        <w:tc>
          <w:tcPr>
            <w:tcW w:w="5386" w:type="dxa"/>
            <w:vAlign w:val="center"/>
          </w:tcPr>
          <w:p>
            <w:pPr>
              <w:pStyle w:val="12"/>
            </w:pPr>
            <w:r>
              <w:t>保障村级日常办公</w:t>
            </w:r>
          </w:p>
        </w:tc>
        <w:tc>
          <w:tcPr>
            <w:tcW w:w="2268" w:type="dxa"/>
            <w:vAlign w:val="center"/>
          </w:tcPr>
          <w:p>
            <w:pPr>
              <w:pStyle w:val="12"/>
            </w:pPr>
            <w:r>
              <w:t>得到保障</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提高村级办事效率</w:t>
            </w:r>
          </w:p>
        </w:tc>
        <w:tc>
          <w:tcPr>
            <w:tcW w:w="5386" w:type="dxa"/>
            <w:vAlign w:val="center"/>
          </w:tcPr>
          <w:p>
            <w:pPr>
              <w:pStyle w:val="12"/>
            </w:pPr>
            <w:r>
              <w:t>提高村级办事效率</w:t>
            </w:r>
          </w:p>
        </w:tc>
        <w:tc>
          <w:tcPr>
            <w:tcW w:w="2268" w:type="dxa"/>
            <w:vAlign w:val="center"/>
          </w:tcPr>
          <w:p>
            <w:pPr>
              <w:pStyle w:val="12"/>
            </w:pPr>
            <w:r>
              <w:t>得到提高</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2、2025年党委应急值守视频调度系统信息技术费绩效目标表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13042425P00002810006H</w:t>
            </w:r>
          </w:p>
        </w:tc>
        <w:tc>
          <w:tcPr>
            <w:tcW w:w="2835" w:type="dxa"/>
            <w:vAlign w:val="center"/>
          </w:tcPr>
          <w:p>
            <w:pPr>
              <w:pStyle w:val="10"/>
            </w:pPr>
            <w:r>
              <w:t>项目名称</w:t>
            </w:r>
          </w:p>
        </w:tc>
        <w:tc>
          <w:tcPr>
            <w:tcW w:w="6095" w:type="dxa"/>
            <w:gridSpan w:val="3"/>
            <w:vAlign w:val="center"/>
          </w:tcPr>
          <w:p>
            <w:pPr>
              <w:pStyle w:val="12"/>
            </w:pPr>
            <w:r>
              <w:t>2025年党委应急值守视频调度系统信息技术费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资金将全部用于缴纳党委应急值守视频调度系统信息技术费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1.提高应急值守指挥调度能力和水平，提高应急事件响应处置效率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值守系统缴费数量</w:t>
            </w:r>
          </w:p>
        </w:tc>
        <w:tc>
          <w:tcPr>
            <w:tcW w:w="5386" w:type="dxa"/>
            <w:vAlign w:val="center"/>
          </w:tcPr>
          <w:p>
            <w:pPr>
              <w:pStyle w:val="12"/>
            </w:pPr>
            <w:r>
              <w:t>值守系统缴费数量</w:t>
            </w:r>
          </w:p>
        </w:tc>
        <w:tc>
          <w:tcPr>
            <w:tcW w:w="2268" w:type="dxa"/>
            <w:vAlign w:val="center"/>
          </w:tcPr>
          <w:p>
            <w:pPr>
              <w:pStyle w:val="12"/>
            </w:pPr>
            <w:r>
              <w:t>1套</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系统设备畅通率</w:t>
            </w:r>
          </w:p>
        </w:tc>
        <w:tc>
          <w:tcPr>
            <w:tcW w:w="5386" w:type="dxa"/>
            <w:vAlign w:val="center"/>
          </w:tcPr>
          <w:p>
            <w:pPr>
              <w:pStyle w:val="12"/>
            </w:pPr>
            <w:r>
              <w:t>系统设备畅通率</w:t>
            </w:r>
          </w:p>
        </w:tc>
        <w:tc>
          <w:tcPr>
            <w:tcW w:w="2268" w:type="dxa"/>
            <w:vAlign w:val="center"/>
          </w:tcPr>
          <w:p>
            <w:pPr>
              <w:pStyle w:val="12"/>
            </w:pPr>
            <w:r>
              <w:t>≥98百分比</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系统缴费使用期限</w:t>
            </w:r>
          </w:p>
        </w:tc>
        <w:tc>
          <w:tcPr>
            <w:tcW w:w="5386" w:type="dxa"/>
            <w:vAlign w:val="center"/>
          </w:tcPr>
          <w:p>
            <w:pPr>
              <w:pStyle w:val="12"/>
            </w:pPr>
            <w:r>
              <w:t>系统缴费使用期限</w:t>
            </w:r>
          </w:p>
        </w:tc>
        <w:tc>
          <w:tcPr>
            <w:tcW w:w="2268" w:type="dxa"/>
            <w:vAlign w:val="center"/>
          </w:tcPr>
          <w:p>
            <w:pPr>
              <w:pStyle w:val="12"/>
            </w:pPr>
            <w:r>
              <w:t>1年</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每年信息技术服务费成本</w:t>
            </w:r>
          </w:p>
        </w:tc>
        <w:tc>
          <w:tcPr>
            <w:tcW w:w="5386" w:type="dxa"/>
            <w:vAlign w:val="center"/>
          </w:tcPr>
          <w:p>
            <w:pPr>
              <w:pStyle w:val="12"/>
            </w:pPr>
            <w:r>
              <w:t>每年信息技术服务费成本</w:t>
            </w:r>
          </w:p>
        </w:tc>
        <w:tc>
          <w:tcPr>
            <w:tcW w:w="2268" w:type="dxa"/>
            <w:vAlign w:val="center"/>
          </w:tcPr>
          <w:p>
            <w:pPr>
              <w:pStyle w:val="12"/>
            </w:pPr>
            <w:r>
              <w:t>≤5万元</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提高应急值守指挥调度能力和水平</w:t>
            </w:r>
          </w:p>
        </w:tc>
        <w:tc>
          <w:tcPr>
            <w:tcW w:w="5386" w:type="dxa"/>
            <w:vAlign w:val="center"/>
          </w:tcPr>
          <w:p>
            <w:pPr>
              <w:pStyle w:val="12"/>
            </w:pPr>
            <w:r>
              <w:t>提高应急值守指挥调度能力和水平</w:t>
            </w:r>
          </w:p>
        </w:tc>
        <w:tc>
          <w:tcPr>
            <w:tcW w:w="2268" w:type="dxa"/>
            <w:vAlign w:val="center"/>
          </w:tcPr>
          <w:p>
            <w:pPr>
              <w:pStyle w:val="12"/>
            </w:pPr>
            <w:r>
              <w:t>有所提高</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提高应急事件响应处置效率</w:t>
            </w:r>
          </w:p>
        </w:tc>
        <w:tc>
          <w:tcPr>
            <w:tcW w:w="5386" w:type="dxa"/>
            <w:vAlign w:val="center"/>
          </w:tcPr>
          <w:p>
            <w:pPr>
              <w:pStyle w:val="12"/>
            </w:pPr>
            <w:r>
              <w:t>提高应急事件响应处置效率</w:t>
            </w:r>
          </w:p>
        </w:tc>
        <w:tc>
          <w:tcPr>
            <w:tcW w:w="2268" w:type="dxa"/>
            <w:vAlign w:val="center"/>
          </w:tcPr>
          <w:p>
            <w:pPr>
              <w:pStyle w:val="12"/>
            </w:pPr>
            <w:r>
              <w:t>有所提高</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3、2025年禁烧禁燃工作经费绩效目标表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13042425P00003410002K</w:t>
            </w:r>
          </w:p>
        </w:tc>
        <w:tc>
          <w:tcPr>
            <w:tcW w:w="2835" w:type="dxa"/>
            <w:vAlign w:val="center"/>
          </w:tcPr>
          <w:p>
            <w:pPr>
              <w:pStyle w:val="10"/>
            </w:pPr>
            <w:r>
              <w:t>项目名称</w:t>
            </w:r>
          </w:p>
        </w:tc>
        <w:tc>
          <w:tcPr>
            <w:tcW w:w="6095" w:type="dxa"/>
            <w:gridSpan w:val="3"/>
            <w:vAlign w:val="center"/>
          </w:tcPr>
          <w:p>
            <w:pPr>
              <w:pStyle w:val="12"/>
            </w:pPr>
            <w:r>
              <w:t>2025年禁烧禁燃工作经费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资金将全部用于禁燃禁燃工作相关支出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1.有效遏制大气污染案件发生，有效提升空气环境质量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大气污染案件和隐患处置数量</w:t>
            </w:r>
          </w:p>
        </w:tc>
        <w:tc>
          <w:tcPr>
            <w:tcW w:w="5386" w:type="dxa"/>
            <w:vAlign w:val="center"/>
          </w:tcPr>
          <w:p>
            <w:pPr>
              <w:pStyle w:val="12"/>
            </w:pPr>
            <w:r>
              <w:t>大气污染案件和隐患处置数量</w:t>
            </w:r>
          </w:p>
        </w:tc>
        <w:tc>
          <w:tcPr>
            <w:tcW w:w="2268" w:type="dxa"/>
            <w:vAlign w:val="center"/>
          </w:tcPr>
          <w:p>
            <w:pPr>
              <w:pStyle w:val="12"/>
            </w:pPr>
            <w:r>
              <w:t>≥5件</w:t>
            </w:r>
          </w:p>
        </w:tc>
        <w:tc>
          <w:tcPr>
            <w:tcW w:w="1276" w:type="dxa"/>
            <w:vAlign w:val="center"/>
          </w:tcPr>
          <w:p>
            <w:pPr>
              <w:pStyle w:val="12"/>
            </w:pPr>
            <w:r>
              <w:t>环保资料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大气污染案件发现处置率</w:t>
            </w:r>
          </w:p>
        </w:tc>
        <w:tc>
          <w:tcPr>
            <w:tcW w:w="5386" w:type="dxa"/>
            <w:vAlign w:val="center"/>
          </w:tcPr>
          <w:p>
            <w:pPr>
              <w:pStyle w:val="12"/>
            </w:pPr>
            <w:r>
              <w:t>大气污染案件发现处置率</w:t>
            </w:r>
          </w:p>
        </w:tc>
        <w:tc>
          <w:tcPr>
            <w:tcW w:w="2268" w:type="dxa"/>
            <w:vAlign w:val="center"/>
          </w:tcPr>
          <w:p>
            <w:pPr>
              <w:pStyle w:val="12"/>
            </w:pPr>
            <w:r>
              <w:t>≥95百分比</w:t>
            </w:r>
          </w:p>
        </w:tc>
        <w:tc>
          <w:tcPr>
            <w:tcW w:w="1276" w:type="dxa"/>
            <w:vAlign w:val="center"/>
          </w:tcPr>
          <w:p>
            <w:pPr>
              <w:pStyle w:val="12"/>
            </w:pPr>
            <w:r>
              <w:t>环保资料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突发大气污染事件处置时限</w:t>
            </w:r>
          </w:p>
        </w:tc>
        <w:tc>
          <w:tcPr>
            <w:tcW w:w="5386" w:type="dxa"/>
            <w:vAlign w:val="center"/>
          </w:tcPr>
          <w:p>
            <w:pPr>
              <w:pStyle w:val="12"/>
            </w:pPr>
            <w:r>
              <w:t>突发大气污染事件处置时限</w:t>
            </w:r>
          </w:p>
        </w:tc>
        <w:tc>
          <w:tcPr>
            <w:tcW w:w="2268" w:type="dxa"/>
            <w:vAlign w:val="center"/>
          </w:tcPr>
          <w:p>
            <w:pPr>
              <w:pStyle w:val="12"/>
            </w:pPr>
            <w:r>
              <w:t>≤2小时</w:t>
            </w:r>
          </w:p>
        </w:tc>
        <w:tc>
          <w:tcPr>
            <w:tcW w:w="1276" w:type="dxa"/>
            <w:vAlign w:val="center"/>
          </w:tcPr>
          <w:p>
            <w:pPr>
              <w:pStyle w:val="12"/>
            </w:pPr>
            <w:r>
              <w:t>环保资料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租用运输车辆成本</w:t>
            </w:r>
          </w:p>
        </w:tc>
        <w:tc>
          <w:tcPr>
            <w:tcW w:w="5386" w:type="dxa"/>
            <w:vAlign w:val="center"/>
          </w:tcPr>
          <w:p>
            <w:pPr>
              <w:pStyle w:val="12"/>
            </w:pPr>
            <w:r>
              <w:t>租用运输车辆成本</w:t>
            </w:r>
          </w:p>
        </w:tc>
        <w:tc>
          <w:tcPr>
            <w:tcW w:w="2268" w:type="dxa"/>
            <w:vAlign w:val="center"/>
          </w:tcPr>
          <w:p>
            <w:pPr>
              <w:pStyle w:val="12"/>
            </w:pPr>
            <w:r>
              <w:t>≤300元</w:t>
            </w:r>
          </w:p>
        </w:tc>
        <w:tc>
          <w:tcPr>
            <w:tcW w:w="1276" w:type="dxa"/>
            <w:vAlign w:val="center"/>
          </w:tcPr>
          <w:p>
            <w:pPr>
              <w:pStyle w:val="12"/>
            </w:pPr>
            <w:r>
              <w:t>环保资料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有效遏制大气污染事件发生</w:t>
            </w:r>
          </w:p>
        </w:tc>
        <w:tc>
          <w:tcPr>
            <w:tcW w:w="5386" w:type="dxa"/>
            <w:vAlign w:val="center"/>
          </w:tcPr>
          <w:p>
            <w:pPr>
              <w:pStyle w:val="12"/>
            </w:pPr>
            <w:r>
              <w:t>有效遏制大气污染事件发生</w:t>
            </w:r>
          </w:p>
        </w:tc>
        <w:tc>
          <w:tcPr>
            <w:tcW w:w="2268" w:type="dxa"/>
            <w:vAlign w:val="center"/>
          </w:tcPr>
          <w:p>
            <w:pPr>
              <w:pStyle w:val="12"/>
            </w:pPr>
            <w:r>
              <w:t>有效遏制</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保障持续改善空气环境质量</w:t>
            </w:r>
          </w:p>
        </w:tc>
        <w:tc>
          <w:tcPr>
            <w:tcW w:w="5386" w:type="dxa"/>
            <w:vAlign w:val="center"/>
          </w:tcPr>
          <w:p>
            <w:pPr>
              <w:pStyle w:val="12"/>
            </w:pPr>
            <w:r>
              <w:t>保障持续改善空气环境质量</w:t>
            </w:r>
          </w:p>
        </w:tc>
        <w:tc>
          <w:tcPr>
            <w:tcW w:w="2268" w:type="dxa"/>
            <w:vAlign w:val="center"/>
          </w:tcPr>
          <w:p>
            <w:pPr>
              <w:pStyle w:val="12"/>
            </w:pPr>
            <w:r>
              <w:t>得到保障</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调查中满意和较满意的群众人数占全部调查人数的比率</w:t>
            </w:r>
          </w:p>
        </w:tc>
        <w:tc>
          <w:tcPr>
            <w:tcW w:w="2268" w:type="dxa"/>
            <w:vAlign w:val="center"/>
          </w:tcPr>
          <w:p>
            <w:pPr>
              <w:pStyle w:val="12"/>
            </w:pPr>
            <w:r>
              <w:t>≥96百分比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4、2025年乡镇转移支付绩效目标表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13042425P0060BX10003E</w:t>
            </w:r>
          </w:p>
        </w:tc>
        <w:tc>
          <w:tcPr>
            <w:tcW w:w="2835" w:type="dxa"/>
            <w:vAlign w:val="center"/>
          </w:tcPr>
          <w:p>
            <w:pPr>
              <w:pStyle w:val="10"/>
            </w:pPr>
            <w:r>
              <w:t>项目名称</w:t>
            </w:r>
          </w:p>
        </w:tc>
        <w:tc>
          <w:tcPr>
            <w:tcW w:w="6095" w:type="dxa"/>
            <w:gridSpan w:val="3"/>
            <w:vAlign w:val="center"/>
          </w:tcPr>
          <w:p>
            <w:pPr>
              <w:pStyle w:val="12"/>
            </w:pPr>
            <w:r>
              <w:t>2025年乡镇转移支付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130.81</w:t>
            </w:r>
          </w:p>
        </w:tc>
        <w:tc>
          <w:tcPr>
            <w:tcW w:w="2835" w:type="dxa"/>
            <w:vAlign w:val="center"/>
          </w:tcPr>
          <w:p>
            <w:pPr>
              <w:pStyle w:val="10"/>
            </w:pPr>
            <w:r>
              <w:t>其中：财政    资金</w:t>
            </w:r>
          </w:p>
        </w:tc>
        <w:tc>
          <w:tcPr>
            <w:tcW w:w="2551" w:type="dxa"/>
            <w:vAlign w:val="center"/>
          </w:tcPr>
          <w:p>
            <w:pPr>
              <w:pStyle w:val="12"/>
            </w:pPr>
            <w:r>
              <w:t>130.81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资金将全部用于保障职工工资和机关工作运转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32.70</w:t>
            </w:r>
          </w:p>
        </w:tc>
        <w:tc>
          <w:tcPr>
            <w:tcW w:w="2835" w:type="dxa"/>
            <w:vAlign w:val="center"/>
          </w:tcPr>
          <w:p>
            <w:pPr>
              <w:pStyle w:val="13"/>
            </w:pPr>
            <w:r>
              <w:t>65.41</w:t>
            </w:r>
          </w:p>
        </w:tc>
        <w:tc>
          <w:tcPr>
            <w:tcW w:w="2551" w:type="dxa"/>
            <w:vAlign w:val="center"/>
          </w:tcPr>
          <w:p>
            <w:pPr>
              <w:pStyle w:val="13"/>
            </w:pPr>
            <w:r>
              <w:t>98.11</w:t>
            </w:r>
          </w:p>
        </w:tc>
        <w:tc>
          <w:tcPr>
            <w:tcW w:w="3544" w:type="dxa"/>
            <w:gridSpan w:val="2"/>
            <w:vAlign w:val="center"/>
          </w:tcPr>
          <w:p>
            <w:pPr>
              <w:pStyle w:val="13"/>
            </w:pPr>
            <w:r>
              <w:t>130.81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1.保障职工工资待遇，保障机关工作正常运转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发放自筹人员工资的人数</w:t>
            </w:r>
          </w:p>
        </w:tc>
        <w:tc>
          <w:tcPr>
            <w:tcW w:w="5386" w:type="dxa"/>
            <w:vAlign w:val="center"/>
          </w:tcPr>
          <w:p>
            <w:pPr>
              <w:pStyle w:val="12"/>
            </w:pPr>
            <w:r>
              <w:t>发放自筹人员工资的人数</w:t>
            </w:r>
          </w:p>
        </w:tc>
        <w:tc>
          <w:tcPr>
            <w:tcW w:w="2268" w:type="dxa"/>
            <w:vAlign w:val="center"/>
          </w:tcPr>
          <w:p>
            <w:pPr>
              <w:pStyle w:val="12"/>
            </w:pPr>
            <w:r>
              <w:t>≥28人</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资金使用规范率</w:t>
            </w:r>
          </w:p>
        </w:tc>
        <w:tc>
          <w:tcPr>
            <w:tcW w:w="5386" w:type="dxa"/>
            <w:vAlign w:val="center"/>
          </w:tcPr>
          <w:p>
            <w:pPr>
              <w:pStyle w:val="12"/>
            </w:pPr>
            <w:r>
              <w:t>资金使用规范率</w:t>
            </w:r>
          </w:p>
        </w:tc>
        <w:tc>
          <w:tcPr>
            <w:tcW w:w="2268" w:type="dxa"/>
            <w:vAlign w:val="center"/>
          </w:tcPr>
          <w:p>
            <w:pPr>
              <w:pStyle w:val="12"/>
            </w:pPr>
            <w:r>
              <w:t>≥98百分比</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资金保障期限</w:t>
            </w:r>
          </w:p>
        </w:tc>
        <w:tc>
          <w:tcPr>
            <w:tcW w:w="5386" w:type="dxa"/>
            <w:vAlign w:val="center"/>
          </w:tcPr>
          <w:p>
            <w:pPr>
              <w:pStyle w:val="12"/>
            </w:pPr>
            <w:r>
              <w:t>资金保障期限</w:t>
            </w:r>
          </w:p>
        </w:tc>
        <w:tc>
          <w:tcPr>
            <w:tcW w:w="2268" w:type="dxa"/>
            <w:vAlign w:val="center"/>
          </w:tcPr>
          <w:p>
            <w:pPr>
              <w:pStyle w:val="12"/>
            </w:pPr>
            <w:r>
              <w:t>1年度</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自筹人员每人每月工资</w:t>
            </w:r>
          </w:p>
        </w:tc>
        <w:tc>
          <w:tcPr>
            <w:tcW w:w="5386" w:type="dxa"/>
            <w:vAlign w:val="center"/>
          </w:tcPr>
          <w:p>
            <w:pPr>
              <w:pStyle w:val="12"/>
            </w:pPr>
            <w:r>
              <w:t>自筹人员每人每月工资</w:t>
            </w:r>
          </w:p>
        </w:tc>
        <w:tc>
          <w:tcPr>
            <w:tcW w:w="2268" w:type="dxa"/>
            <w:vAlign w:val="center"/>
          </w:tcPr>
          <w:p>
            <w:pPr>
              <w:pStyle w:val="12"/>
            </w:pPr>
            <w:r>
              <w:t>≥1800元</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保障职工工资待遇</w:t>
            </w:r>
          </w:p>
        </w:tc>
        <w:tc>
          <w:tcPr>
            <w:tcW w:w="5386" w:type="dxa"/>
            <w:vAlign w:val="center"/>
          </w:tcPr>
          <w:p>
            <w:pPr>
              <w:pStyle w:val="12"/>
            </w:pPr>
            <w:r>
              <w:t>保障职工工资待遇</w:t>
            </w:r>
          </w:p>
        </w:tc>
        <w:tc>
          <w:tcPr>
            <w:tcW w:w="2268" w:type="dxa"/>
            <w:vAlign w:val="center"/>
          </w:tcPr>
          <w:p>
            <w:pPr>
              <w:pStyle w:val="12"/>
            </w:pPr>
            <w:r>
              <w:t>得到保障</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保障机关工作正常运转</w:t>
            </w:r>
          </w:p>
        </w:tc>
        <w:tc>
          <w:tcPr>
            <w:tcW w:w="5386" w:type="dxa"/>
            <w:vAlign w:val="center"/>
          </w:tcPr>
          <w:p>
            <w:pPr>
              <w:pStyle w:val="12"/>
            </w:pPr>
            <w:r>
              <w:t>保障机关工作正常运转</w:t>
            </w:r>
          </w:p>
        </w:tc>
        <w:tc>
          <w:tcPr>
            <w:tcW w:w="2268" w:type="dxa"/>
            <w:vAlign w:val="center"/>
          </w:tcPr>
          <w:p>
            <w:pPr>
              <w:pStyle w:val="12"/>
            </w:pPr>
            <w:r>
              <w:t>得到保障</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5、2025年信访维稳工作经费绩效目标表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13042425P00005410003M</w:t>
            </w:r>
          </w:p>
        </w:tc>
        <w:tc>
          <w:tcPr>
            <w:tcW w:w="2835" w:type="dxa"/>
            <w:vAlign w:val="center"/>
          </w:tcPr>
          <w:p>
            <w:pPr>
              <w:pStyle w:val="10"/>
            </w:pPr>
            <w:r>
              <w:t>项目名称</w:t>
            </w:r>
          </w:p>
        </w:tc>
        <w:tc>
          <w:tcPr>
            <w:tcW w:w="6095" w:type="dxa"/>
            <w:gridSpan w:val="3"/>
            <w:vAlign w:val="center"/>
          </w:tcPr>
          <w:p>
            <w:pPr>
              <w:pStyle w:val="12"/>
            </w:pPr>
            <w:r>
              <w:t>2025年信访维稳工作经费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资金将全部用于信访维稳相关支出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w:t>
            </w:r>
          </w:p>
        </w:tc>
        <w:tc>
          <w:tcPr>
            <w:tcW w:w="2835" w:type="dxa"/>
            <w:vAlign w:val="center"/>
          </w:tcPr>
          <w:p>
            <w:pPr>
              <w:pStyle w:val="13"/>
            </w:pPr>
            <w:r>
              <w:t>7.50</w:t>
            </w:r>
          </w:p>
        </w:tc>
        <w:tc>
          <w:tcPr>
            <w:tcW w:w="2551" w:type="dxa"/>
            <w:vAlign w:val="center"/>
          </w:tcPr>
          <w:p>
            <w:pPr>
              <w:pStyle w:val="13"/>
            </w:pPr>
            <w:r>
              <w:t>11.25</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1.有效解决来访群众反映问题，维护社会和谐稳定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化解信访案件数量</w:t>
            </w:r>
          </w:p>
        </w:tc>
        <w:tc>
          <w:tcPr>
            <w:tcW w:w="5386" w:type="dxa"/>
            <w:vAlign w:val="center"/>
          </w:tcPr>
          <w:p>
            <w:pPr>
              <w:pStyle w:val="12"/>
            </w:pPr>
            <w:r>
              <w:t>化解信访案件数量</w:t>
            </w:r>
          </w:p>
        </w:tc>
        <w:tc>
          <w:tcPr>
            <w:tcW w:w="2268" w:type="dxa"/>
            <w:vAlign w:val="center"/>
          </w:tcPr>
          <w:p>
            <w:pPr>
              <w:pStyle w:val="12"/>
            </w:pPr>
            <w:r>
              <w:t>≥5件</w:t>
            </w:r>
          </w:p>
        </w:tc>
        <w:tc>
          <w:tcPr>
            <w:tcW w:w="1276" w:type="dxa"/>
            <w:vAlign w:val="center"/>
          </w:tcPr>
          <w:p>
            <w:pPr>
              <w:pStyle w:val="12"/>
            </w:pPr>
            <w:r>
              <w:t>案件资料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完成信访维稳出差次数</w:t>
            </w:r>
          </w:p>
        </w:tc>
        <w:tc>
          <w:tcPr>
            <w:tcW w:w="5386" w:type="dxa"/>
            <w:vAlign w:val="center"/>
          </w:tcPr>
          <w:p>
            <w:pPr>
              <w:pStyle w:val="12"/>
            </w:pPr>
            <w:r>
              <w:t>完成信访维稳出差次数</w:t>
            </w:r>
          </w:p>
        </w:tc>
        <w:tc>
          <w:tcPr>
            <w:tcW w:w="2268" w:type="dxa"/>
            <w:vAlign w:val="center"/>
          </w:tcPr>
          <w:p>
            <w:pPr>
              <w:pStyle w:val="12"/>
            </w:pPr>
            <w:r>
              <w:t>&gt;5次</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信访案件化解率</w:t>
            </w:r>
          </w:p>
        </w:tc>
        <w:tc>
          <w:tcPr>
            <w:tcW w:w="5386" w:type="dxa"/>
            <w:vAlign w:val="center"/>
          </w:tcPr>
          <w:p>
            <w:pPr>
              <w:pStyle w:val="12"/>
            </w:pPr>
            <w:r>
              <w:t>信访案件化解率</w:t>
            </w:r>
          </w:p>
        </w:tc>
        <w:tc>
          <w:tcPr>
            <w:tcW w:w="2268" w:type="dxa"/>
            <w:vAlign w:val="center"/>
          </w:tcPr>
          <w:p>
            <w:pPr>
              <w:pStyle w:val="12"/>
            </w:pPr>
            <w:r>
              <w:t>≥90百分比</w:t>
            </w:r>
          </w:p>
        </w:tc>
        <w:tc>
          <w:tcPr>
            <w:tcW w:w="1276" w:type="dxa"/>
            <w:vAlign w:val="center"/>
          </w:tcPr>
          <w:p>
            <w:pPr>
              <w:pStyle w:val="12"/>
            </w:pPr>
            <w:r>
              <w:t>案件资料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差旅报销天数</w:t>
            </w:r>
          </w:p>
        </w:tc>
        <w:tc>
          <w:tcPr>
            <w:tcW w:w="5386" w:type="dxa"/>
            <w:vAlign w:val="center"/>
          </w:tcPr>
          <w:p>
            <w:pPr>
              <w:pStyle w:val="12"/>
            </w:pPr>
            <w:r>
              <w:t>差旅报销天数</w:t>
            </w:r>
          </w:p>
        </w:tc>
        <w:tc>
          <w:tcPr>
            <w:tcW w:w="2268" w:type="dxa"/>
            <w:vAlign w:val="center"/>
          </w:tcPr>
          <w:p>
            <w:pPr>
              <w:pStyle w:val="12"/>
            </w:pPr>
            <w:r>
              <w:t>≤10天</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5386" w:type="dxa"/>
            <w:vAlign w:val="center"/>
          </w:tcPr>
          <w:p>
            <w:pPr>
              <w:pStyle w:val="12"/>
            </w:pPr>
            <w:r>
              <w:t>差旅补助标准</w:t>
            </w:r>
          </w:p>
        </w:tc>
        <w:tc>
          <w:tcPr>
            <w:tcW w:w="2268" w:type="dxa"/>
            <w:vAlign w:val="center"/>
          </w:tcPr>
          <w:p>
            <w:pPr>
              <w:pStyle w:val="12"/>
            </w:pPr>
            <w:r>
              <w:t>按照差旅报销标准</w:t>
            </w:r>
          </w:p>
        </w:tc>
        <w:tc>
          <w:tcPr>
            <w:tcW w:w="1276" w:type="dxa"/>
            <w:vAlign w:val="center"/>
          </w:tcPr>
          <w:p>
            <w:pPr>
              <w:pStyle w:val="12"/>
            </w:pPr>
            <w:r>
              <w:t>原始凭证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有效解决来访群众反映问题</w:t>
            </w:r>
          </w:p>
        </w:tc>
        <w:tc>
          <w:tcPr>
            <w:tcW w:w="5386" w:type="dxa"/>
            <w:vAlign w:val="center"/>
          </w:tcPr>
          <w:p>
            <w:pPr>
              <w:pStyle w:val="12"/>
            </w:pPr>
            <w:r>
              <w:t>有效解决来访群众反映问题</w:t>
            </w:r>
          </w:p>
        </w:tc>
        <w:tc>
          <w:tcPr>
            <w:tcW w:w="2268" w:type="dxa"/>
            <w:vAlign w:val="center"/>
          </w:tcPr>
          <w:p>
            <w:pPr>
              <w:pStyle w:val="12"/>
            </w:pPr>
            <w:r>
              <w:t>有效解决</w:t>
            </w:r>
          </w:p>
        </w:tc>
        <w:tc>
          <w:tcPr>
            <w:tcW w:w="1276" w:type="dxa"/>
            <w:vAlign w:val="center"/>
          </w:tcPr>
          <w:p>
            <w:pPr>
              <w:pStyle w:val="12"/>
            </w:pPr>
            <w:r>
              <w:t>案件资料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维护社会和谐稳定</w:t>
            </w:r>
          </w:p>
        </w:tc>
        <w:tc>
          <w:tcPr>
            <w:tcW w:w="2268" w:type="dxa"/>
            <w:vAlign w:val="center"/>
          </w:tcPr>
          <w:p>
            <w:pPr>
              <w:pStyle w:val="12"/>
            </w:pPr>
            <w:r>
              <w:t>有效维护</w:t>
            </w:r>
          </w:p>
        </w:tc>
        <w:tc>
          <w:tcPr>
            <w:tcW w:w="1276" w:type="dxa"/>
            <w:vAlign w:val="center"/>
          </w:tcPr>
          <w:p>
            <w:pPr>
              <w:pStyle w:val="12"/>
            </w:pPr>
            <w:r>
              <w:t>案件资料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6、冀财农〔2024〕109号2025年省级农村综合改革转移支付资金绩效目标表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13042425P000019100035</w:t>
            </w:r>
          </w:p>
        </w:tc>
        <w:tc>
          <w:tcPr>
            <w:tcW w:w="2835" w:type="dxa"/>
            <w:vAlign w:val="center"/>
          </w:tcPr>
          <w:p>
            <w:pPr>
              <w:pStyle w:val="10"/>
            </w:pPr>
            <w:r>
              <w:t>项目名称</w:t>
            </w:r>
          </w:p>
        </w:tc>
        <w:tc>
          <w:tcPr>
            <w:tcW w:w="6095" w:type="dxa"/>
            <w:gridSpan w:val="3"/>
            <w:vAlign w:val="center"/>
          </w:tcPr>
          <w:p>
            <w:pPr>
              <w:pStyle w:val="12"/>
            </w:pPr>
            <w:r>
              <w:t>冀财农〔2024〕109号2025年省级农村综合改革转移支付资金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698.00</w:t>
            </w:r>
          </w:p>
        </w:tc>
        <w:tc>
          <w:tcPr>
            <w:tcW w:w="2835" w:type="dxa"/>
            <w:vAlign w:val="center"/>
          </w:tcPr>
          <w:p>
            <w:pPr>
              <w:pStyle w:val="10"/>
            </w:pPr>
            <w:r>
              <w:t>其中：财政    资金</w:t>
            </w:r>
          </w:p>
        </w:tc>
        <w:tc>
          <w:tcPr>
            <w:tcW w:w="2551" w:type="dxa"/>
            <w:vAlign w:val="center"/>
          </w:tcPr>
          <w:p>
            <w:pPr>
              <w:pStyle w:val="12"/>
            </w:pPr>
            <w:r>
              <w:t>698.00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资金将全部用农村公益事业建设相关支出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698.00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1.改善农村人居环境，满足群众对日常出行的需求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新增硬化道路面积</w:t>
            </w:r>
          </w:p>
        </w:tc>
        <w:tc>
          <w:tcPr>
            <w:tcW w:w="2268" w:type="dxa"/>
            <w:vAlign w:val="center"/>
          </w:tcPr>
          <w:p>
            <w:pPr>
              <w:pStyle w:val="12"/>
            </w:pPr>
            <w:r>
              <w:t>≥69800平方米</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100百分比</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施工完成时间</w:t>
            </w:r>
          </w:p>
        </w:tc>
        <w:tc>
          <w:tcPr>
            <w:tcW w:w="5386" w:type="dxa"/>
            <w:vAlign w:val="center"/>
          </w:tcPr>
          <w:p>
            <w:pPr>
              <w:pStyle w:val="12"/>
            </w:pPr>
            <w:r>
              <w:t>施工完成所需天数</w:t>
            </w:r>
          </w:p>
        </w:tc>
        <w:tc>
          <w:tcPr>
            <w:tcW w:w="2268" w:type="dxa"/>
            <w:vAlign w:val="center"/>
          </w:tcPr>
          <w:p>
            <w:pPr>
              <w:pStyle w:val="12"/>
            </w:pPr>
            <w:r>
              <w:t>≤90天</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每平方米硬化成本</w:t>
            </w:r>
          </w:p>
        </w:tc>
        <w:tc>
          <w:tcPr>
            <w:tcW w:w="5386" w:type="dxa"/>
            <w:vAlign w:val="center"/>
          </w:tcPr>
          <w:p>
            <w:pPr>
              <w:pStyle w:val="12"/>
            </w:pPr>
            <w:r>
              <w:t>每平方米硬化成本</w:t>
            </w:r>
          </w:p>
        </w:tc>
        <w:tc>
          <w:tcPr>
            <w:tcW w:w="2268" w:type="dxa"/>
            <w:vAlign w:val="center"/>
          </w:tcPr>
          <w:p>
            <w:pPr>
              <w:pStyle w:val="12"/>
            </w:pPr>
            <w:r>
              <w:t>≤100元</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改善农村人居环境</w:t>
            </w:r>
          </w:p>
        </w:tc>
        <w:tc>
          <w:tcPr>
            <w:tcW w:w="5386" w:type="dxa"/>
            <w:vAlign w:val="center"/>
          </w:tcPr>
          <w:p>
            <w:pPr>
              <w:pStyle w:val="12"/>
            </w:pPr>
            <w:r>
              <w:t>改善农村人居环境</w:t>
            </w:r>
          </w:p>
        </w:tc>
        <w:tc>
          <w:tcPr>
            <w:tcW w:w="2268" w:type="dxa"/>
            <w:vAlign w:val="center"/>
          </w:tcPr>
          <w:p>
            <w:pPr>
              <w:pStyle w:val="12"/>
            </w:pPr>
            <w:r>
              <w:t>得到改善</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满足群众对日常出行的需求</w:t>
            </w:r>
          </w:p>
        </w:tc>
        <w:tc>
          <w:tcPr>
            <w:tcW w:w="5386" w:type="dxa"/>
            <w:vAlign w:val="center"/>
          </w:tcPr>
          <w:p>
            <w:pPr>
              <w:pStyle w:val="12"/>
            </w:pPr>
            <w:r>
              <w:t>满足群众对日常出行的需求</w:t>
            </w:r>
          </w:p>
        </w:tc>
        <w:tc>
          <w:tcPr>
            <w:tcW w:w="2268" w:type="dxa"/>
            <w:vAlign w:val="center"/>
          </w:tcPr>
          <w:p>
            <w:pPr>
              <w:pStyle w:val="12"/>
            </w:pPr>
            <w:r>
              <w:t>得到满足</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≥98百分比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7、冀财农〔2024〕93号2025年中央农村综合改革转移支付资金绩效目标表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13042425P00001910002H</w:t>
            </w:r>
          </w:p>
        </w:tc>
        <w:tc>
          <w:tcPr>
            <w:tcW w:w="2835" w:type="dxa"/>
            <w:vAlign w:val="center"/>
          </w:tcPr>
          <w:p>
            <w:pPr>
              <w:pStyle w:val="10"/>
            </w:pPr>
            <w:r>
              <w:t>项目名称</w:t>
            </w:r>
          </w:p>
        </w:tc>
        <w:tc>
          <w:tcPr>
            <w:tcW w:w="6095" w:type="dxa"/>
            <w:gridSpan w:val="3"/>
            <w:vAlign w:val="center"/>
          </w:tcPr>
          <w:p>
            <w:pPr>
              <w:pStyle w:val="12"/>
            </w:pPr>
            <w:r>
              <w:t>冀财农〔2024〕93号2025年中央农村综合改革转移支付资金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730.00</w:t>
            </w:r>
          </w:p>
        </w:tc>
        <w:tc>
          <w:tcPr>
            <w:tcW w:w="2835" w:type="dxa"/>
            <w:vAlign w:val="center"/>
          </w:tcPr>
          <w:p>
            <w:pPr>
              <w:pStyle w:val="10"/>
            </w:pPr>
            <w:r>
              <w:t>其中：财政    资金</w:t>
            </w:r>
          </w:p>
        </w:tc>
        <w:tc>
          <w:tcPr>
            <w:tcW w:w="2551" w:type="dxa"/>
            <w:vAlign w:val="center"/>
          </w:tcPr>
          <w:p>
            <w:pPr>
              <w:pStyle w:val="12"/>
            </w:pPr>
            <w:r>
              <w:t>730.00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资金将全部用农村公益事业建设相关支出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730.00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1.改善农村人居环境，满足群众对日常出行的需要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新增硬化道路面积</w:t>
            </w:r>
          </w:p>
        </w:tc>
        <w:tc>
          <w:tcPr>
            <w:tcW w:w="2268" w:type="dxa"/>
            <w:vAlign w:val="center"/>
          </w:tcPr>
          <w:p>
            <w:pPr>
              <w:pStyle w:val="12"/>
            </w:pPr>
            <w:r>
              <w:t>≥72000平方米</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100百分比</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施工完成时间</w:t>
            </w:r>
          </w:p>
        </w:tc>
        <w:tc>
          <w:tcPr>
            <w:tcW w:w="5386" w:type="dxa"/>
            <w:vAlign w:val="center"/>
          </w:tcPr>
          <w:p>
            <w:pPr>
              <w:pStyle w:val="12"/>
            </w:pPr>
            <w:r>
              <w:t>施工完成所需天数</w:t>
            </w:r>
          </w:p>
        </w:tc>
        <w:tc>
          <w:tcPr>
            <w:tcW w:w="2268" w:type="dxa"/>
            <w:vAlign w:val="center"/>
          </w:tcPr>
          <w:p>
            <w:pPr>
              <w:pStyle w:val="12"/>
            </w:pPr>
            <w:r>
              <w:t>≤90天</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每平方米硬化成本</w:t>
            </w:r>
          </w:p>
        </w:tc>
        <w:tc>
          <w:tcPr>
            <w:tcW w:w="5386" w:type="dxa"/>
            <w:vAlign w:val="center"/>
          </w:tcPr>
          <w:p>
            <w:pPr>
              <w:pStyle w:val="12"/>
            </w:pPr>
            <w:r>
              <w:t>每平方米硬化成本</w:t>
            </w:r>
          </w:p>
        </w:tc>
        <w:tc>
          <w:tcPr>
            <w:tcW w:w="2268" w:type="dxa"/>
            <w:vAlign w:val="center"/>
          </w:tcPr>
          <w:p>
            <w:pPr>
              <w:pStyle w:val="12"/>
            </w:pPr>
            <w:r>
              <w:t>≤100元</w:t>
            </w:r>
          </w:p>
        </w:tc>
        <w:tc>
          <w:tcPr>
            <w:tcW w:w="1276" w:type="dxa"/>
            <w:vAlign w:val="center"/>
          </w:tcPr>
          <w:p>
            <w:pPr>
              <w:pStyle w:val="12"/>
            </w:pPr>
            <w:r>
              <w:t>会计凭证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改善农村人居环境</w:t>
            </w:r>
          </w:p>
        </w:tc>
        <w:tc>
          <w:tcPr>
            <w:tcW w:w="5386" w:type="dxa"/>
            <w:vAlign w:val="center"/>
          </w:tcPr>
          <w:p>
            <w:pPr>
              <w:pStyle w:val="12"/>
            </w:pPr>
            <w:r>
              <w:t>改善农村人居环境</w:t>
            </w:r>
          </w:p>
        </w:tc>
        <w:tc>
          <w:tcPr>
            <w:tcW w:w="2268" w:type="dxa"/>
            <w:vAlign w:val="center"/>
          </w:tcPr>
          <w:p>
            <w:pPr>
              <w:pStyle w:val="12"/>
            </w:pPr>
            <w:r>
              <w:t>得到改善</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满足群众对日常出行的需求</w:t>
            </w:r>
          </w:p>
        </w:tc>
        <w:tc>
          <w:tcPr>
            <w:tcW w:w="5386" w:type="dxa"/>
            <w:vAlign w:val="center"/>
          </w:tcPr>
          <w:p>
            <w:pPr>
              <w:pStyle w:val="12"/>
            </w:pPr>
            <w:r>
              <w:t>满足群众对日常出行的需求</w:t>
            </w:r>
          </w:p>
        </w:tc>
        <w:tc>
          <w:tcPr>
            <w:tcW w:w="2268" w:type="dxa"/>
            <w:vAlign w:val="center"/>
          </w:tcPr>
          <w:p>
            <w:pPr>
              <w:pStyle w:val="12"/>
            </w:pPr>
            <w:r>
              <w:t>得到满足</w:t>
            </w:r>
          </w:p>
        </w:tc>
        <w:tc>
          <w:tcPr>
            <w:tcW w:w="1276" w:type="dxa"/>
            <w:vAlign w:val="center"/>
          </w:tcPr>
          <w:p>
            <w:pPr>
              <w:pStyle w:val="12"/>
            </w:pPr>
            <w:r>
              <w:t>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≥98百分比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办公家具</w:t>
            </w:r>
          </w:p>
        </w:tc>
        <w:tc>
          <w:tcPr>
            <w:tcW w:w="964" w:type="dxa"/>
            <w:vAlign w:val="center"/>
          </w:tcPr>
          <w:p>
            <w:pPr>
              <w:pStyle w:val="11"/>
              <w:ind w:firstLine="0" w:firstLineChars="0"/>
              <w:jc w:val="center"/>
              <w:rPr>
                <w:rFonts w:ascii="方正书宋_GBK" w:hAnsi="方正书宋_GBK" w:eastAsia="方正书宋_GBK" w:cs="方正书宋_GBK"/>
                <w:sz w:val="21"/>
              </w:rPr>
            </w:pPr>
            <w:r>
              <w:rPr>
                <w:rFonts w:hint="eastAsia"/>
                <w:lang w:val="en-US" w:eastAsia="zh-CN"/>
              </w:rPr>
              <w:t>0.035</w:t>
            </w:r>
          </w:p>
        </w:tc>
        <w:tc>
          <w:tcPr>
            <w:tcW w:w="1134" w:type="dxa"/>
            <w:vAlign w:val="center"/>
          </w:tcPr>
          <w:p>
            <w:pPr>
              <w:pStyle w:val="12"/>
              <w:ind w:firstLine="0" w:firstLineChars="0"/>
              <w:jc w:val="center"/>
              <w:rPr>
                <w:rFonts w:ascii="方正书宋_GBK" w:hAnsi="方正书宋_GBK" w:eastAsia="方正书宋_GBK" w:cs="方正书宋_GBK"/>
                <w:sz w:val="21"/>
              </w:rPr>
            </w:pPr>
            <w:r>
              <w:rPr>
                <w:rFonts w:hint="eastAsia"/>
              </w:rPr>
              <w:t>木床1.2米</w:t>
            </w:r>
          </w:p>
        </w:tc>
        <w:tc>
          <w:tcPr>
            <w:tcW w:w="1134" w:type="dxa"/>
            <w:vAlign w:val="center"/>
          </w:tcPr>
          <w:p>
            <w:pPr>
              <w:pStyle w:val="12"/>
              <w:ind w:firstLine="0" w:firstLineChars="0"/>
              <w:jc w:val="center"/>
              <w:rPr>
                <w:rFonts w:ascii="方正书宋_GBK" w:hAnsi="方正书宋_GBK" w:eastAsia="方正书宋_GBK" w:cs="方正书宋_GBK"/>
                <w:sz w:val="21"/>
              </w:rPr>
            </w:pPr>
            <w:r>
              <w:rPr>
                <w:rFonts w:hint="eastAsia"/>
              </w:rPr>
              <w:t>A05010104</w:t>
            </w:r>
          </w:p>
        </w:tc>
        <w:tc>
          <w:tcPr>
            <w:tcW w:w="709" w:type="dxa"/>
            <w:vAlign w:val="center"/>
          </w:tcPr>
          <w:p>
            <w:pPr>
              <w:pStyle w:val="13"/>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个</w:t>
            </w:r>
          </w:p>
        </w:tc>
        <w:tc>
          <w:tcPr>
            <w:tcW w:w="850" w:type="dxa"/>
            <w:vAlign w:val="center"/>
          </w:tcPr>
          <w:p>
            <w:pPr>
              <w:pStyle w:val="11"/>
              <w:ind w:firstLine="0" w:firstLineChars="0"/>
              <w:jc w:val="center"/>
              <w:rPr>
                <w:rFonts w:hint="eastAsia" w:ascii="方正书宋_GBK" w:hAnsi="方正书宋_GBK" w:eastAsia="方正书宋_GBK" w:cs="方正书宋_GBK"/>
                <w:sz w:val="21"/>
                <w:lang w:val="en-US" w:eastAsia="zh-CN"/>
              </w:rPr>
            </w:pPr>
            <w:r>
              <w:rPr>
                <w:rFonts w:hint="eastAsia"/>
                <w:lang w:val="en-US" w:eastAsia="zh-CN"/>
              </w:rPr>
              <w:t>1</w:t>
            </w:r>
          </w:p>
        </w:tc>
        <w:tc>
          <w:tcPr>
            <w:tcW w:w="850" w:type="dxa"/>
            <w:vAlign w:val="center"/>
          </w:tcPr>
          <w:p>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0.035</w:t>
            </w:r>
          </w:p>
        </w:tc>
        <w:tc>
          <w:tcPr>
            <w:tcW w:w="964" w:type="dxa"/>
            <w:vAlign w:val="center"/>
          </w:tcPr>
          <w:p>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0.035</w:t>
            </w:r>
          </w:p>
        </w:tc>
        <w:tc>
          <w:tcPr>
            <w:tcW w:w="964" w:type="dxa"/>
            <w:vAlign w:val="center"/>
          </w:tcPr>
          <w:p>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0.035</w:t>
            </w:r>
          </w:p>
        </w:tc>
        <w:tc>
          <w:tcPr>
            <w:tcW w:w="964" w:type="dxa"/>
            <w:vAlign w:val="center"/>
          </w:tcPr>
          <w:p>
            <w:pPr>
              <w:pStyle w:val="11"/>
              <w:ind w:firstLine="0" w:firstLineChars="0"/>
              <w:jc w:val="center"/>
              <w:rPr>
                <w:rFonts w:ascii="方正书宋_GBK" w:hAnsi="方正书宋_GBK" w:eastAsia="方正书宋_GBK" w:cs="方正书宋_GBK"/>
                <w:sz w:val="21"/>
              </w:rPr>
            </w:pPr>
          </w:p>
        </w:tc>
        <w:tc>
          <w:tcPr>
            <w:tcW w:w="964" w:type="dxa"/>
            <w:vAlign w:val="center"/>
          </w:tcPr>
          <w:p>
            <w:pPr>
              <w:pStyle w:val="11"/>
              <w:ind w:firstLine="0" w:firstLineChars="0"/>
              <w:jc w:val="center"/>
              <w:rPr>
                <w:rFonts w:ascii="方正书宋_GBK" w:hAnsi="方正书宋_GBK" w:eastAsia="方正书宋_GBK" w:cs="方正书宋_GBK"/>
                <w:sz w:val="21"/>
              </w:rPr>
            </w:pPr>
          </w:p>
        </w:tc>
        <w:tc>
          <w:tcPr>
            <w:tcW w:w="964" w:type="dxa"/>
            <w:vAlign w:val="center"/>
          </w:tcPr>
          <w:p>
            <w:pPr>
              <w:pStyle w:val="11"/>
              <w:ind w:firstLine="0" w:firstLineChars="0"/>
              <w:jc w:val="center"/>
              <w:rPr>
                <w:rFonts w:ascii="方正书宋_GBK" w:hAnsi="方正书宋_GBK" w:eastAsia="方正书宋_GBK" w:cs="方正书宋_GBK"/>
                <w:sz w:val="21"/>
              </w:rPr>
            </w:pPr>
          </w:p>
        </w:tc>
        <w:tc>
          <w:tcPr>
            <w:tcW w:w="964" w:type="dxa"/>
            <w:vAlign w:val="center"/>
          </w:tcPr>
          <w:p>
            <w:pPr>
              <w:pStyle w:val="11"/>
              <w:ind w:firstLine="0" w:firstLineChars="0"/>
              <w:jc w:val="center"/>
              <w:rPr>
                <w:rFonts w:ascii="方正书宋_GBK" w:hAnsi="方正书宋_GBK" w:eastAsia="方正书宋_GBK" w:cs="方正书宋_GBK"/>
                <w:sz w:val="21"/>
              </w:rPr>
            </w:pPr>
          </w:p>
        </w:tc>
        <w:tc>
          <w:tcPr>
            <w:tcW w:w="964" w:type="dxa"/>
            <w:vAlign w:val="center"/>
          </w:tcPr>
          <w:p>
            <w:pPr>
              <w:pStyle w:val="11"/>
              <w:ind w:firstLine="0" w:firstLineChars="0"/>
              <w:jc w:val="center"/>
              <w:rPr>
                <w:rFonts w:ascii="方正书宋_GBK" w:hAnsi="方正书宋_GBK" w:eastAsia="方正书宋_GBK" w:cs="方正书宋_GBK"/>
                <w:sz w:val="21"/>
              </w:rPr>
            </w:pPr>
          </w:p>
        </w:tc>
        <w:tc>
          <w:tcPr>
            <w:tcW w:w="964" w:type="dxa"/>
            <w:vAlign w:val="center"/>
          </w:tcPr>
          <w:p>
            <w:pPr>
              <w:pStyle w:val="11"/>
              <w:ind w:firstLine="0" w:firstLineChars="0"/>
              <w:jc w:val="center"/>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打印纸</w:t>
            </w:r>
          </w:p>
        </w:tc>
        <w:tc>
          <w:tcPr>
            <w:tcW w:w="964"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0.85</w:t>
            </w:r>
          </w:p>
        </w:tc>
        <w:tc>
          <w:tcPr>
            <w:tcW w:w="1134" w:type="dxa"/>
            <w:vAlign w:val="center"/>
          </w:tcPr>
          <w:p>
            <w:pPr>
              <w:pStyle w:val="12"/>
              <w:ind w:firstLine="0" w:firstLineChars="0"/>
              <w:jc w:val="center"/>
              <w:rPr>
                <w:rFonts w:hint="eastAsia" w:ascii="方正书宋_GBK" w:hAnsi="方正书宋_GBK" w:eastAsia="方正书宋_GBK" w:cs="方正书宋_GBK"/>
                <w:sz w:val="21"/>
                <w:lang w:val="en-US" w:eastAsia="uk-UA"/>
              </w:rPr>
            </w:pPr>
            <w:r>
              <w:rPr>
                <w:rFonts w:hint="eastAsia"/>
                <w:lang w:val="en-US" w:eastAsia="zh-CN"/>
              </w:rPr>
              <w:t>复印纸</w:t>
            </w:r>
          </w:p>
        </w:tc>
        <w:tc>
          <w:tcPr>
            <w:tcW w:w="1134" w:type="dxa"/>
            <w:vAlign w:val="center"/>
          </w:tcPr>
          <w:p>
            <w:pPr>
              <w:pStyle w:val="12"/>
              <w:ind w:firstLine="0" w:firstLineChars="0"/>
              <w:jc w:val="center"/>
              <w:rPr>
                <w:rFonts w:hint="eastAsia" w:ascii="方正书宋_GBK" w:hAnsi="方正书宋_GBK" w:eastAsia="方正书宋_GBK" w:cs="方正书宋_GBK"/>
                <w:sz w:val="21"/>
                <w:lang w:val="en-US" w:eastAsia="uk-UA"/>
              </w:rPr>
            </w:pPr>
            <w:r>
              <w:rPr>
                <w:rFonts w:hint="eastAsia"/>
                <w:lang w:val="en-US" w:eastAsia="zh-CN"/>
              </w:rPr>
              <w:t>A090101</w:t>
            </w:r>
          </w:p>
        </w:tc>
        <w:tc>
          <w:tcPr>
            <w:tcW w:w="709"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箱</w:t>
            </w:r>
          </w:p>
        </w:tc>
        <w:tc>
          <w:tcPr>
            <w:tcW w:w="850"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50</w:t>
            </w:r>
          </w:p>
        </w:tc>
        <w:tc>
          <w:tcPr>
            <w:tcW w:w="850"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0.017</w:t>
            </w:r>
          </w:p>
        </w:tc>
        <w:tc>
          <w:tcPr>
            <w:tcW w:w="964"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0.85</w:t>
            </w:r>
          </w:p>
        </w:tc>
        <w:tc>
          <w:tcPr>
            <w:tcW w:w="964" w:type="dxa"/>
            <w:vAlign w:val="center"/>
          </w:tcPr>
          <w:p>
            <w:pPr>
              <w:pStyle w:val="12"/>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0.85</w:t>
            </w:r>
          </w:p>
        </w:tc>
        <w:tc>
          <w:tcPr>
            <w:tcW w:w="964" w:type="dxa"/>
            <w:vAlign w:val="center"/>
          </w:tcPr>
          <w:p>
            <w:pPr>
              <w:pStyle w:val="12"/>
              <w:ind w:firstLine="0" w:firstLineChars="0"/>
              <w:jc w:val="center"/>
              <w:rPr>
                <w:rFonts w:hint="eastAsia" w:ascii="方正书宋_GBK" w:hAnsi="方正书宋_GBK" w:eastAsia="方正书宋_GBK" w:cs="方正书宋_GBK"/>
                <w:sz w:val="21"/>
                <w:lang w:val="en-US" w:eastAsia="zh-CN"/>
              </w:rPr>
            </w:pPr>
          </w:p>
        </w:tc>
        <w:tc>
          <w:tcPr>
            <w:tcW w:w="964" w:type="dxa"/>
            <w:vAlign w:val="center"/>
          </w:tcPr>
          <w:p>
            <w:pPr>
              <w:pStyle w:val="12"/>
              <w:ind w:firstLine="0" w:firstLineChars="0"/>
              <w:jc w:val="center"/>
              <w:rPr>
                <w:rFonts w:hint="eastAsia" w:ascii="方正书宋_GBK" w:hAnsi="方正书宋_GBK" w:eastAsia="方正书宋_GBK" w:cs="方正书宋_GBK"/>
                <w:sz w:val="21"/>
                <w:lang w:val="en-US" w:eastAsia="zh-CN"/>
              </w:rPr>
            </w:pPr>
          </w:p>
        </w:tc>
        <w:tc>
          <w:tcPr>
            <w:tcW w:w="964" w:type="dxa"/>
            <w:vAlign w:val="center"/>
          </w:tcPr>
          <w:p>
            <w:pPr>
              <w:pStyle w:val="12"/>
              <w:ind w:firstLine="0" w:firstLineChars="0"/>
              <w:jc w:val="center"/>
              <w:rPr>
                <w:rFonts w:hint="eastAsia" w:ascii="方正书宋_GBK" w:hAnsi="方正书宋_GBK" w:eastAsia="方正书宋_GBK" w:cs="方正书宋_GBK"/>
                <w:sz w:val="21"/>
                <w:lang w:val="en-US" w:eastAsia="zh-CN"/>
              </w:rPr>
            </w:pPr>
          </w:p>
        </w:tc>
        <w:tc>
          <w:tcPr>
            <w:tcW w:w="964" w:type="dxa"/>
            <w:vAlign w:val="center"/>
          </w:tcPr>
          <w:p>
            <w:pPr>
              <w:pStyle w:val="12"/>
              <w:ind w:firstLine="0" w:firstLineChars="0"/>
              <w:jc w:val="center"/>
              <w:rPr>
                <w:rFonts w:hint="eastAsia" w:ascii="方正书宋_GBK" w:hAnsi="方正书宋_GBK" w:eastAsia="方正书宋_GBK" w:cs="方正书宋_GBK"/>
                <w:sz w:val="21"/>
                <w:lang w:val="en-US" w:eastAsia="zh-CN"/>
              </w:rPr>
            </w:pPr>
          </w:p>
        </w:tc>
        <w:tc>
          <w:tcPr>
            <w:tcW w:w="964" w:type="dxa"/>
            <w:vAlign w:val="center"/>
          </w:tcPr>
          <w:p>
            <w:pPr>
              <w:pStyle w:val="12"/>
              <w:ind w:firstLine="0" w:firstLineChars="0"/>
              <w:jc w:val="center"/>
              <w:rPr>
                <w:rFonts w:hint="eastAsia" w:ascii="方正书宋_GBK" w:hAnsi="方正书宋_GBK" w:eastAsia="方正书宋_GBK" w:cs="方正书宋_GBK"/>
                <w:sz w:val="21"/>
                <w:lang w:val="en-US" w:eastAsia="zh-CN"/>
              </w:rPr>
            </w:pPr>
          </w:p>
        </w:tc>
        <w:tc>
          <w:tcPr>
            <w:tcW w:w="964" w:type="dxa"/>
            <w:vAlign w:val="center"/>
          </w:tcPr>
          <w:p>
            <w:pPr>
              <w:pStyle w:val="12"/>
              <w:ind w:firstLine="0" w:firstLineChars="0"/>
              <w:jc w:val="center"/>
              <w:rPr>
                <w:rFonts w:hint="eastAsia" w:ascii="方正书宋_GBK" w:hAnsi="方正书宋_GBK" w:eastAsia="方正书宋_GBK" w:cs="方正书宋_GBK"/>
                <w:sz w:val="21"/>
                <w:lang w:val="en-US" w:eastAsia="zh-CN"/>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成安县辛义乡政府（含所属单位）上年末固定资产金额为</w:t>
      </w:r>
      <w:r>
        <w:rPr>
          <w:rFonts w:hint="eastAsia"/>
          <w:lang w:val="en-US" w:eastAsia="zh-CN"/>
        </w:rPr>
        <w:t>1928.24</w:t>
      </w:r>
      <w:r>
        <w:rPr>
          <w:rFonts w:ascii="Times New Roman" w:hAnsi="Times New Roman" w:eastAsia="方正仿宋_GBK" w:cs="Times New Roman"/>
          <w:b w:val="0"/>
          <w:color w:val="000000"/>
          <w:sz w:val="28"/>
        </w:rPr>
        <w:t>万元（详见下表）。本年度拟购置固定资产总额为</w:t>
      </w:r>
      <w:r>
        <w:rPr>
          <w:rFonts w:hint="eastAsia"/>
          <w:lang w:val="en-US" w:eastAsia="zh-CN"/>
        </w:rPr>
        <w:t>0.035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widowControl/>
              <w:jc w:val="center"/>
              <w:rPr>
                <w:rFonts w:ascii="Times New Roman" w:hAnsi="Times New Roman" w:eastAsia="Times New Roman"/>
                <w:sz w:val="24"/>
                <w:szCs w:val="24"/>
                <w:lang w:val="en-US" w:eastAsia="uk-UA" w:bidi="ar-SA"/>
              </w:rPr>
            </w:pPr>
            <w:r>
              <w:rPr>
                <w:rFonts w:hint="eastAsia" w:ascii="宋体" w:hAnsi="宋体" w:cs="宋体"/>
                <w:kern w:val="0"/>
                <w:sz w:val="22"/>
                <w:szCs w:val="22"/>
              </w:rPr>
              <w:t>资产总额</w:t>
            </w:r>
          </w:p>
        </w:tc>
        <w:tc>
          <w:tcPr>
            <w:tcW w:w="2835" w:type="dxa"/>
            <w:vAlign w:val="center"/>
          </w:tcPr>
          <w:p>
            <w:pPr>
              <w:pStyle w:val="13"/>
              <w:ind w:firstLine="0" w:firstLineChars="0"/>
              <w:rPr>
                <w:rFonts w:ascii="方正书宋_GBK" w:hAnsi="方正书宋_GBK" w:eastAsia="方正书宋_GBK" w:cs="方正书宋_GBK"/>
                <w:sz w:val="21"/>
              </w:rPr>
            </w:pPr>
            <w:r>
              <w:rPr>
                <w:rFonts w:ascii="宋体" w:hAnsi="宋体" w:cs="宋体"/>
                <w:kern w:val="0"/>
                <w:sz w:val="22"/>
                <w:szCs w:val="22"/>
              </w:rPr>
              <w:t>——</w:t>
            </w:r>
          </w:p>
        </w:tc>
        <w:tc>
          <w:tcPr>
            <w:tcW w:w="2835" w:type="dxa"/>
            <w:vAlign w:val="center"/>
          </w:tcPr>
          <w:p>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1928.24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widowControl/>
              <w:jc w:val="left"/>
              <w:rPr>
                <w:rFonts w:ascii="Times New Roman" w:hAnsi="Times New Roman" w:eastAsia="Times New Roman"/>
                <w:sz w:val="24"/>
                <w:szCs w:val="24"/>
                <w:lang w:val="en-US" w:eastAsia="uk-UA" w:bidi="ar-SA"/>
              </w:rPr>
            </w:pPr>
            <w:r>
              <w:rPr>
                <w:rFonts w:ascii="宋体" w:hAnsi="宋体" w:cs="宋体"/>
                <w:kern w:val="0"/>
                <w:sz w:val="22"/>
                <w:szCs w:val="22"/>
              </w:rPr>
              <w:t>1</w:t>
            </w:r>
            <w:r>
              <w:rPr>
                <w:rFonts w:hint="eastAsia" w:ascii="宋体" w:hAnsi="宋体" w:cs="宋体"/>
                <w:kern w:val="0"/>
                <w:sz w:val="22"/>
                <w:szCs w:val="22"/>
              </w:rPr>
              <w:t>、房屋（平方米）</w:t>
            </w:r>
          </w:p>
        </w:tc>
        <w:tc>
          <w:tcPr>
            <w:tcW w:w="2835" w:type="dxa"/>
            <w:vAlign w:val="center"/>
          </w:tcPr>
          <w:p>
            <w:pPr>
              <w:widowControl/>
              <w:jc w:val="center"/>
              <w:rPr>
                <w:rFonts w:ascii="Times New Roman" w:hAnsi="Times New Roman" w:eastAsia="Times New Roman"/>
                <w:sz w:val="24"/>
                <w:szCs w:val="24"/>
                <w:lang w:val="en-US" w:eastAsia="uk-UA" w:bidi="ar-SA"/>
              </w:rPr>
            </w:pPr>
            <w:r>
              <w:rPr>
                <w:rFonts w:hint="eastAsia" w:eastAsia="宋体"/>
                <w:lang w:val="en-US" w:eastAsia="zh-CN"/>
              </w:rPr>
              <w:t>12552.46</w:t>
            </w:r>
          </w:p>
        </w:tc>
        <w:tc>
          <w:tcPr>
            <w:tcW w:w="2835" w:type="dxa"/>
            <w:vAlign w:val="center"/>
          </w:tcPr>
          <w:p>
            <w:pPr>
              <w:widowControl/>
              <w:jc w:val="center"/>
              <w:textAlignment w:val="center"/>
              <w:rPr>
                <w:rFonts w:hint="default" w:ascii="Times New Roman" w:hAnsi="Times New Roman" w:eastAsia="方正书宋_GBK"/>
                <w:sz w:val="24"/>
                <w:szCs w:val="24"/>
                <w:lang w:val="en-US" w:eastAsia="zh-CN" w:bidi="ar-SA"/>
              </w:rPr>
            </w:pPr>
            <w:r>
              <w:rPr>
                <w:rFonts w:hint="eastAsia" w:eastAsia="宋体"/>
                <w:lang w:val="en-US" w:eastAsia="zh-CN"/>
              </w:rPr>
              <w:t>1448.14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widowControl/>
              <w:jc w:val="left"/>
              <w:rPr>
                <w:rFonts w:ascii="Times New Roman" w:hAnsi="Times New Roman" w:eastAsia="Times New Roman"/>
                <w:sz w:val="24"/>
                <w:szCs w:val="24"/>
                <w:lang w:val="en-US" w:eastAsia="uk-UA" w:bidi="ar-SA"/>
              </w:rPr>
            </w:pPr>
            <w:r>
              <w:rPr>
                <w:rFonts w:hint="eastAsia" w:ascii="宋体" w:hAnsi="宋体" w:cs="宋体"/>
                <w:kern w:val="0"/>
                <w:sz w:val="22"/>
                <w:szCs w:val="22"/>
              </w:rPr>
              <w:t>其中：办公用房（平方米）</w:t>
            </w:r>
          </w:p>
        </w:tc>
        <w:tc>
          <w:tcPr>
            <w:tcW w:w="2835" w:type="dxa"/>
            <w:vAlign w:val="center"/>
          </w:tcPr>
          <w:p>
            <w:pPr>
              <w:widowControl/>
              <w:jc w:val="center"/>
              <w:rPr>
                <w:rFonts w:ascii="Times New Roman" w:hAnsi="Times New Roman" w:eastAsia="Times New Roman"/>
                <w:sz w:val="24"/>
                <w:szCs w:val="24"/>
                <w:lang w:val="en-US" w:eastAsia="uk-UA" w:bidi="ar-SA"/>
              </w:rPr>
            </w:pPr>
            <w:r>
              <w:rPr>
                <w:rFonts w:hint="eastAsia" w:eastAsia="宋体"/>
                <w:lang w:val="en-US" w:eastAsia="zh-CN"/>
              </w:rPr>
              <w:t>2183.72</w:t>
            </w:r>
          </w:p>
        </w:tc>
        <w:tc>
          <w:tcPr>
            <w:tcW w:w="2835" w:type="dxa"/>
            <w:vAlign w:val="center"/>
          </w:tcPr>
          <w:p>
            <w:pPr>
              <w:widowControl/>
              <w:jc w:val="center"/>
              <w:textAlignment w:val="center"/>
              <w:rPr>
                <w:rFonts w:ascii="Times New Roman" w:hAnsi="Times New Roman" w:eastAsia="Times New Roman"/>
                <w:sz w:val="24"/>
                <w:szCs w:val="24"/>
                <w:lang w:val="en-US" w:eastAsia="uk-UA" w:bidi="ar-SA"/>
              </w:rPr>
            </w:pPr>
            <w:r>
              <w:rPr>
                <w:rFonts w:hint="eastAsia" w:eastAsia="宋体"/>
                <w:lang w:val="en-US" w:eastAsia="zh-CN"/>
              </w:rPr>
              <w:t>350.11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widowControl/>
              <w:jc w:val="left"/>
              <w:rPr>
                <w:rFonts w:ascii="Times New Roman" w:hAnsi="Times New Roman" w:eastAsia="Times New Roman"/>
                <w:sz w:val="24"/>
                <w:szCs w:val="24"/>
                <w:lang w:val="en-US" w:eastAsia="uk-UA" w:bidi="ar-SA"/>
              </w:rPr>
            </w:pPr>
            <w:r>
              <w:rPr>
                <w:rFonts w:ascii="宋体" w:hAnsi="宋体" w:cs="宋体"/>
                <w:kern w:val="0"/>
                <w:sz w:val="22"/>
                <w:szCs w:val="22"/>
              </w:rPr>
              <w:t>2</w:t>
            </w:r>
            <w:r>
              <w:rPr>
                <w:rFonts w:hint="eastAsia" w:ascii="宋体" w:hAnsi="宋体" w:cs="宋体"/>
                <w:kern w:val="0"/>
                <w:sz w:val="22"/>
                <w:szCs w:val="22"/>
              </w:rPr>
              <w:t>、车辆（台、辆）</w:t>
            </w:r>
          </w:p>
        </w:tc>
        <w:tc>
          <w:tcPr>
            <w:tcW w:w="2835" w:type="dxa"/>
            <w:vAlign w:val="center"/>
          </w:tcPr>
          <w:p>
            <w:pPr>
              <w:widowControl/>
              <w:jc w:val="center"/>
              <w:rPr>
                <w:rFonts w:hint="eastAsia" w:ascii="Times New Roman" w:hAnsi="Times New Roman" w:eastAsia="方正书宋_GBK"/>
                <w:sz w:val="24"/>
                <w:szCs w:val="24"/>
                <w:lang w:val="en-US" w:eastAsia="zh-CN" w:bidi="ar-SA"/>
              </w:rPr>
            </w:pPr>
            <w:r>
              <w:rPr>
                <w:rFonts w:hint="eastAsia" w:eastAsia="宋体"/>
                <w:lang w:val="en-US" w:eastAsia="zh-CN"/>
              </w:rPr>
              <w:t>1</w:t>
            </w:r>
          </w:p>
        </w:tc>
        <w:tc>
          <w:tcPr>
            <w:tcW w:w="2835" w:type="dxa"/>
            <w:vAlign w:val="center"/>
          </w:tcPr>
          <w:p>
            <w:pPr>
              <w:widowControl/>
              <w:jc w:val="center"/>
              <w:textAlignment w:val="center"/>
              <w:rPr>
                <w:rFonts w:ascii="Times New Roman" w:hAnsi="Times New Roman" w:eastAsia="Times New Roman"/>
                <w:sz w:val="24"/>
                <w:szCs w:val="24"/>
                <w:lang w:val="en-US" w:eastAsia="uk-UA" w:bidi="ar-SA"/>
              </w:rPr>
            </w:pPr>
            <w:r>
              <w:rPr>
                <w:rFonts w:hint="eastAsia" w:eastAsia="宋体"/>
                <w:lang w:val="en-US" w:eastAsia="zh-CN"/>
              </w:rPr>
              <w:t>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widowControl/>
              <w:jc w:val="left"/>
              <w:rPr>
                <w:rFonts w:ascii="Times New Roman" w:hAnsi="Times New Roman" w:eastAsia="Times New Roman"/>
                <w:sz w:val="24"/>
                <w:szCs w:val="24"/>
                <w:lang w:val="en-US" w:eastAsia="uk-UA" w:bidi="ar-SA"/>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2835" w:type="dxa"/>
            <w:vAlign w:val="center"/>
          </w:tcPr>
          <w:p>
            <w:pPr>
              <w:widowControl/>
              <w:jc w:val="center"/>
              <w:rPr>
                <w:rFonts w:ascii="Times New Roman" w:hAnsi="Times New Roman" w:eastAsia="Times New Roman"/>
                <w:sz w:val="24"/>
                <w:szCs w:val="24"/>
                <w:lang w:val="en-US" w:eastAsia="uk-UA" w:bidi="ar-SA"/>
              </w:rPr>
            </w:pPr>
            <w:r>
              <w:rPr>
                <w:rFonts w:hint="eastAsia" w:eastAsia="宋体"/>
                <w:lang w:val="en-US" w:eastAsia="zh-CN"/>
              </w:rPr>
              <w:t>2</w:t>
            </w:r>
          </w:p>
        </w:tc>
        <w:tc>
          <w:tcPr>
            <w:tcW w:w="2835" w:type="dxa"/>
            <w:vAlign w:val="center"/>
          </w:tcPr>
          <w:p>
            <w:pPr>
              <w:widowControl/>
              <w:jc w:val="center"/>
              <w:textAlignment w:val="center"/>
              <w:rPr>
                <w:rFonts w:ascii="Times New Roman" w:hAnsi="Times New Roman" w:eastAsia="Times New Roman"/>
                <w:sz w:val="24"/>
                <w:szCs w:val="24"/>
                <w:lang w:val="en-US" w:eastAsia="uk-UA" w:bidi="ar-SA"/>
              </w:rPr>
            </w:pPr>
            <w:r>
              <w:rPr>
                <w:rFonts w:hint="eastAsia" w:eastAsia="宋体"/>
                <w:lang w:val="en-US" w:eastAsia="zh-CN"/>
              </w:rPr>
              <w:t>208.67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widowControl/>
              <w:jc w:val="left"/>
              <w:rPr>
                <w:rFonts w:ascii="Times New Roman" w:hAnsi="Times New Roman" w:eastAsia="Times New Roman"/>
                <w:sz w:val="24"/>
                <w:szCs w:val="24"/>
                <w:lang w:val="en-US" w:eastAsia="uk-UA" w:bidi="ar-SA"/>
              </w:rPr>
            </w:pPr>
            <w:r>
              <w:rPr>
                <w:rFonts w:ascii="宋体" w:hAnsi="宋体" w:cs="宋体"/>
                <w:kern w:val="0"/>
                <w:sz w:val="22"/>
                <w:szCs w:val="22"/>
              </w:rPr>
              <w:t>4</w:t>
            </w:r>
            <w:r>
              <w:rPr>
                <w:rFonts w:hint="eastAsia" w:ascii="宋体" w:hAnsi="宋体" w:cs="宋体"/>
                <w:kern w:val="0"/>
                <w:sz w:val="22"/>
                <w:szCs w:val="22"/>
              </w:rPr>
              <w:t>、其他固定资产</w:t>
            </w:r>
          </w:p>
        </w:tc>
        <w:tc>
          <w:tcPr>
            <w:tcW w:w="2835" w:type="dxa"/>
            <w:vAlign w:val="center"/>
          </w:tcPr>
          <w:p>
            <w:pPr>
              <w:widowControl/>
              <w:jc w:val="center"/>
              <w:rPr>
                <w:rFonts w:ascii="Times New Roman" w:hAnsi="Times New Roman" w:eastAsia="Times New Roman"/>
                <w:sz w:val="24"/>
                <w:szCs w:val="24"/>
                <w:lang w:val="en-US" w:eastAsia="uk-UA" w:bidi="ar-SA"/>
              </w:rPr>
            </w:pPr>
            <w:r>
              <w:rPr>
                <w:rFonts w:hint="eastAsia" w:eastAsia="宋体"/>
                <w:lang w:val="en-US" w:eastAsia="zh-CN"/>
              </w:rPr>
              <w:t>770</w:t>
            </w:r>
          </w:p>
        </w:tc>
        <w:tc>
          <w:tcPr>
            <w:tcW w:w="2835" w:type="dxa"/>
            <w:vAlign w:val="center"/>
          </w:tcPr>
          <w:p>
            <w:pPr>
              <w:widowControl/>
              <w:jc w:val="center"/>
              <w:textAlignment w:val="center"/>
              <w:rPr>
                <w:rFonts w:ascii="Times New Roman" w:hAnsi="Times New Roman" w:eastAsia="Times New Roman"/>
                <w:sz w:val="24"/>
                <w:szCs w:val="24"/>
                <w:lang w:val="en-US" w:eastAsia="uk-UA" w:bidi="ar-SA"/>
              </w:rPr>
            </w:pPr>
            <w:r>
              <w:rPr>
                <w:rFonts w:hint="eastAsia" w:eastAsia="宋体"/>
                <w:lang w:val="en-US" w:eastAsia="zh-CN"/>
              </w:rPr>
              <w:t>265.15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85175"/>
    <w:rsid w:val="77FB388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4</TotalTime>
  <ScaleCrop>false</ScaleCrop>
  <LinksUpToDate>false</LinksUpToDate>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2025-02-12T09:41:00Z</dcterms:created>
  <dc:creator>Administrator</dc:creator>
  <cp:lastModifiedBy>Administrator</cp:lastModifiedBy>
  <dcterms:modified xsi:type="dcterms:W3CDTF">2025-02-12T03:37:09Z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