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pPr>
      <w:r>
        <w:rPr>
          <w:rFonts w:ascii="黑体" w:hAnsi="黑体" w:eastAsia="黑体" w:cs="黑体"/>
          <w:b/>
          <w:color w:val="000000"/>
          <w:sz w:val="44"/>
        </w:rPr>
        <w:t>2024年单位预算信息公开目录</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pPr>
      <w:r>
        <w:rPr>
          <w:rFonts w:ascii="黑体" w:hAnsi="黑体" w:eastAsia="黑体" w:cs="黑体"/>
          <w:b/>
          <w:color w:val="000000"/>
          <w:sz w:val="30"/>
        </w:rPr>
        <w:t xml:space="preserve"> </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成安经济开发区管理委员会本级收支预算</w:t>
      </w:r>
      <w:r>
        <w:tab/>
      </w:r>
      <w:r>
        <w:fldChar w:fldCharType="begin"/>
      </w:r>
      <w:r>
        <w:instrText xml:space="preserve">PAGEREF _Toc_4_4_0000000001 \h</w:instrText>
      </w:r>
      <w:r>
        <w:fldChar w:fldCharType="separate"/>
      </w:r>
      <w:r>
        <w:t>1</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pPr>
      <w:r>
        <w:fldChar w:fldCharType="end"/>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2</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4</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outlineLvl w:val="9"/>
        <w:rPr>
          <w:rFonts w:ascii="Times New Roman" w:hAnsi="Times New Roman" w:eastAsia="方正仿宋_GBK" w:cs="Times New Roman"/>
          <w:color w:val="000000"/>
          <w:sz w:val="28"/>
          <w:szCs w:val="24"/>
          <w:lang w:val="en-US" w:eastAsia="uk-UA" w:bidi="ar-SA"/>
        </w:rPr>
      </w:pPr>
      <w:r>
        <w:fldChar w:fldCharType="end"/>
      </w:r>
      <w:r>
        <w:rPr>
          <w:rFonts w:hint="eastAsia" w:eastAsia="宋体"/>
          <w:lang w:val="en-US" w:eastAsia="zh-CN"/>
        </w:rPr>
        <w:t xml:space="preserve">       </w:t>
      </w:r>
      <w:r>
        <w:rPr>
          <w:rFonts w:hint="eastAsia"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预算信息公开情况说明</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5</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7</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单位</w:t>
      </w:r>
      <w:r>
        <w:t>整体绩效目标</w:t>
      </w:r>
      <w:r>
        <w:tab/>
      </w:r>
      <w:r>
        <w:rPr>
          <w:rFonts w:hint="eastAsia"/>
          <w:lang w:val="en-US" w:eastAsia="zh-CN"/>
        </w:rPr>
        <w:t>1</w:t>
      </w:r>
      <w:r>
        <w:fldChar w:fldCharType="end"/>
      </w:r>
      <w:r>
        <w:rPr>
          <w:rFonts w:hint="eastAsia"/>
          <w:lang w:val="en-US" w:eastAsia="zh-CN"/>
        </w:rPr>
        <w:t>9</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rPr>
          <w:rFonts w:hint="eastAsia"/>
          <w:lang w:val="en-US" w:eastAsia="zh-CN"/>
        </w:rPr>
        <w:t>2</w:t>
      </w:r>
      <w:r>
        <w:fldChar w:fldCharType="end"/>
      </w:r>
      <w:r>
        <w:rPr>
          <w:rFonts w:hint="eastAsia"/>
          <w:lang w:val="en-US" w:eastAsia="zh-CN"/>
        </w:rPr>
        <w:t>3</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rPr>
          <w:rFonts w:hint="eastAsia"/>
          <w:lang w:val="en-US" w:eastAsia="zh-CN"/>
        </w:rPr>
        <w:t>2</w:t>
      </w:r>
      <w:r>
        <w:fldChar w:fldCharType="end"/>
      </w:r>
      <w:r>
        <w:rPr>
          <w:rFonts w:hint="eastAsia"/>
          <w:lang w:val="en-US" w:eastAsia="zh-CN"/>
        </w:rPr>
        <w:t>4</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34</w:t>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34</w:t>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5</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line="240" w:lineRule="auto"/>
        <w:textAlignment w:val="auto"/>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6</w:t>
      </w:r>
    </w:p>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587" w:right="1134" w:bottom="1361" w:left="1134" w:header="720" w:footer="720" w:gutter="0"/>
          <w:pgNumType w:start="1"/>
          <w:cols w:space="720" w:num="1"/>
        </w:sectPr>
      </w:pPr>
      <w:r>
        <w:fldChar w:fldCharType="end"/>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3"/>
      </w:pPr>
      <w:bookmarkStart w:id="0" w:name="_Toc_4_4_0000000001"/>
      <w:r>
        <w:rPr>
          <w:rFonts w:ascii="方正小标宋_GBK" w:hAnsi="方正小标宋_GBK" w:eastAsia="方正小标宋_GBK" w:cs="方正小标宋_GBK"/>
          <w:b w:val="0"/>
          <w:color w:val="000000"/>
          <w:sz w:val="44"/>
        </w:rPr>
        <w:t>一、成安经济开发区管理委员会本级收支预算</w:t>
      </w:r>
      <w:bookmarkEnd w:id="0"/>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pPr>
            <w:r>
              <w:t>810001成安经济开发区管理委员会本级</w:t>
            </w:r>
          </w:p>
        </w:tc>
        <w:tc>
          <w:tcPr>
            <w:tcW w:w="2959" w:type="dxa"/>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序号</w:t>
            </w:r>
          </w:p>
        </w:tc>
        <w:tc>
          <w:tcPr>
            <w:tcW w:w="591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收入</w:t>
            </w:r>
          </w:p>
        </w:tc>
        <w:tc>
          <w:tcPr>
            <w:tcW w:w="591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959"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  目</w:t>
            </w:r>
          </w:p>
        </w:tc>
        <w:tc>
          <w:tcPr>
            <w:tcW w:w="2959"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预算数</w:t>
            </w:r>
          </w:p>
        </w:tc>
        <w:tc>
          <w:tcPr>
            <w:tcW w:w="2959"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  目</w:t>
            </w:r>
          </w:p>
        </w:tc>
        <w:tc>
          <w:tcPr>
            <w:tcW w:w="2959"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栏次</w:t>
            </w:r>
          </w:p>
        </w:tc>
        <w:tc>
          <w:tcPr>
            <w:tcW w:w="2959"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2959"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2959"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2959"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一、一般公共预算拨款收入</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一、一般公共服务支出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4551.13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二、政府性基金预算拨款收入</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二、外交支出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三、国有资本经营预算拨款收入</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三、国防支出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四、财政专户管理资金收入</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四、公共安全支出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五、单位资金</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五、教育支出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6</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六、科学技术支出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7</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七、文化旅游体育与传媒支出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8</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八、社会保障和就业支出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9</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九、社会保险基金支出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10</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十、卫生健康支出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11</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十一、节能环保支出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12</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十二、城乡社区支出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1587.40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13</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十三、农林水支出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14</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十四、交通运输支出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15</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十五、资源勘探工业信息等支出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16</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十六、商业服务业等支出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17</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十七、金融支出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18</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十八、援助其他地区支出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19</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十九、自然资源海洋气象等支出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20</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二十、住房保障支出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21</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二十一、粮油物资储备支出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22</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二十二、国有资本经营预算支出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23</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二十三、灾害防治及应急管理支出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24</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二十四、预备费</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25</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二十五、其他支出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26</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二十六、转移性支出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27</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二十七、债务还本支出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28</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二十八、债务付息支出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29</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二十九、债务发行费用支出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30</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三十、抗疫特别国债安排的支出</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31</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三十一、人行科目</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32</w:t>
            </w:r>
          </w:p>
        </w:tc>
        <w:tc>
          <w:tcPr>
            <w:tcW w:w="2959"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本年收入合计</w:t>
            </w:r>
          </w:p>
        </w:tc>
        <w:tc>
          <w:tcPr>
            <w:tcW w:w="2959"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2959"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本年支出合计</w:t>
            </w:r>
          </w:p>
        </w:tc>
        <w:tc>
          <w:tcPr>
            <w:tcW w:w="2959"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33</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上年结转结余</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年终结转结余</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34</w:t>
            </w:r>
          </w:p>
        </w:tc>
        <w:tc>
          <w:tcPr>
            <w:tcW w:w="2959"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收入总计</w:t>
            </w:r>
          </w:p>
        </w:tc>
        <w:tc>
          <w:tcPr>
            <w:tcW w:w="2959"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2959"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支出总计</w:t>
            </w:r>
          </w:p>
        </w:tc>
        <w:tc>
          <w:tcPr>
            <w:tcW w:w="2959"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footerReference r:id="rId3" w:type="default"/>
          <w:footerReference r:id="rId4" w:type="even"/>
          <w:pgSz w:w="16840" w:h="11900" w:orient="landscape"/>
          <w:pgMar w:top="1361" w:right="1020" w:bottom="1134" w:left="1020" w:header="720" w:footer="720" w:gutter="0"/>
          <w:pgNumType w:start="1"/>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4"/>
      </w:pPr>
      <w:r>
        <w:rPr>
          <w:rFonts w:ascii="方正小标宋_GBK" w:hAnsi="方正小标宋_GBK" w:eastAsia="方正小标宋_GBK" w:cs="方正小标宋_GBK"/>
          <w:color w:val="000000"/>
          <w:sz w:val="36"/>
        </w:rPr>
        <w:t>单位预算收入总表</w:t>
      </w:r>
    </w:p>
    <w:tbl>
      <w:tblPr>
        <w:tblStyle w:val="5"/>
        <w:tblW w:w="118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3"/>
        <w:gridCol w:w="1095"/>
        <w:gridCol w:w="2220"/>
        <w:gridCol w:w="1059"/>
        <w:gridCol w:w="1101"/>
        <w:gridCol w:w="1065"/>
        <w:gridCol w:w="750"/>
        <w:gridCol w:w="615"/>
        <w:gridCol w:w="615"/>
        <w:gridCol w:w="735"/>
        <w:gridCol w:w="810"/>
        <w:gridCol w:w="585"/>
        <w:gridCol w:w="5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8" w:type="dxa"/>
            <w:gridSpan w:val="5"/>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pPr>
            <w:r>
              <w:t>810001成安经济开发区管理委员会本级</w:t>
            </w:r>
          </w:p>
        </w:tc>
        <w:tc>
          <w:tcPr>
            <w:tcW w:w="2430"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预算年度：2024</w:t>
            </w:r>
          </w:p>
        </w:tc>
        <w:tc>
          <w:tcPr>
            <w:tcW w:w="3291" w:type="dxa"/>
            <w:gridSpan w:val="5"/>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序号</w:t>
            </w:r>
          </w:p>
        </w:tc>
        <w:tc>
          <w:tcPr>
            <w:tcW w:w="3315"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功能分类科目</w:t>
            </w:r>
          </w:p>
        </w:tc>
        <w:tc>
          <w:tcPr>
            <w:tcW w:w="1059"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6276" w:type="dxa"/>
            <w:gridSpan w:val="8"/>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本年收入</w:t>
            </w:r>
          </w:p>
        </w:tc>
        <w:tc>
          <w:tcPr>
            <w:tcW w:w="546"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    编码</w:t>
            </w:r>
          </w:p>
        </w:tc>
        <w:tc>
          <w:tcPr>
            <w:tcW w:w="222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科目名称</w:t>
            </w:r>
          </w:p>
        </w:tc>
        <w:tc>
          <w:tcPr>
            <w:tcW w:w="1059"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101"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小计</w:t>
            </w:r>
          </w:p>
        </w:tc>
        <w:tc>
          <w:tcPr>
            <w:tcW w:w="106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财政拨款 收入</w:t>
            </w:r>
          </w:p>
        </w:tc>
        <w:tc>
          <w:tcPr>
            <w:tcW w:w="75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财政专户 收入</w:t>
            </w:r>
          </w:p>
        </w:tc>
        <w:tc>
          <w:tcPr>
            <w:tcW w:w="61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事业收入</w:t>
            </w:r>
          </w:p>
        </w:tc>
        <w:tc>
          <w:tcPr>
            <w:tcW w:w="61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经营收入</w:t>
            </w:r>
          </w:p>
        </w:tc>
        <w:tc>
          <w:tcPr>
            <w:tcW w:w="73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上级补助收入</w:t>
            </w:r>
          </w:p>
        </w:tc>
        <w:tc>
          <w:tcPr>
            <w:tcW w:w="81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附属单位上缴收入</w:t>
            </w:r>
          </w:p>
        </w:tc>
        <w:tc>
          <w:tcPr>
            <w:tcW w:w="58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其他收入</w:t>
            </w:r>
          </w:p>
        </w:tc>
        <w:tc>
          <w:tcPr>
            <w:tcW w:w="546"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栏次</w:t>
            </w:r>
          </w:p>
        </w:tc>
        <w:tc>
          <w:tcPr>
            <w:tcW w:w="109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222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1059"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101"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06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c>
          <w:tcPr>
            <w:tcW w:w="75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6</w:t>
            </w:r>
          </w:p>
        </w:tc>
        <w:tc>
          <w:tcPr>
            <w:tcW w:w="61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7</w:t>
            </w:r>
          </w:p>
        </w:tc>
        <w:tc>
          <w:tcPr>
            <w:tcW w:w="61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8</w:t>
            </w:r>
          </w:p>
        </w:tc>
        <w:tc>
          <w:tcPr>
            <w:tcW w:w="73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9</w:t>
            </w:r>
          </w:p>
        </w:tc>
        <w:tc>
          <w:tcPr>
            <w:tcW w:w="81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10</w:t>
            </w:r>
          </w:p>
        </w:tc>
        <w:tc>
          <w:tcPr>
            <w:tcW w:w="58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11</w:t>
            </w:r>
          </w:p>
        </w:tc>
        <w:tc>
          <w:tcPr>
            <w:tcW w:w="54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2220"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1059"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1101"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106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750"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一般公共服务支出</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4551.13</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4551.13</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4551.13</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20103</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政府办公厅（室）及相关机构事务</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4019.13</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4019.13</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4019.13</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2010301</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行政运行</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4019.13</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4019.13</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4019.13</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20113</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商贸事务</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6</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2011308</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招商引资</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社会保障和就业支出</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71.39</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71.39</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71.39</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8</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20805</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行政事业单位养老支出</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2080505</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机关事业单位基本养老保险缴费支出</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20808</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抚恤</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2080801</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死亡抚恤</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城乡社区支出</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1587.40</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1587.40</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1587.40</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13</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21201</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城乡社区管理事务</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14</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2120101</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行政运行</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15</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21205</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城乡社区环境卫生</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16</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2120501</w:t>
            </w:r>
          </w:p>
        </w:tc>
        <w:tc>
          <w:tcPr>
            <w:tcW w:w="222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城乡社区环境卫生</w:t>
            </w:r>
          </w:p>
        </w:tc>
        <w:tc>
          <w:tcPr>
            <w:tcW w:w="1059"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1101"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75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61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73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8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4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4"/>
      </w:pPr>
      <w:r>
        <w:rPr>
          <w:rFonts w:ascii="方正小标宋_GBK" w:hAnsi="方正小标宋_GBK" w:eastAsia="方正小标宋_GBK" w:cs="方正小标宋_GBK"/>
          <w:color w:val="000000"/>
          <w:sz w:val="36"/>
        </w:rPr>
        <w:t>单位预算支出总表</w:t>
      </w:r>
    </w:p>
    <w:tbl>
      <w:tblPr>
        <w:tblStyle w:val="5"/>
        <w:tblW w:w="122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275"/>
        <w:gridCol w:w="3705"/>
        <w:gridCol w:w="1056"/>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8" w:type="dxa"/>
            <w:gridSpan w:val="3"/>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pPr>
            <w:r>
              <w:t>810001成安经济开发区管理委员会本级</w:t>
            </w:r>
          </w:p>
        </w:tc>
        <w:tc>
          <w:tcPr>
            <w:tcW w:w="2151"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序号</w:t>
            </w:r>
          </w:p>
        </w:tc>
        <w:tc>
          <w:tcPr>
            <w:tcW w:w="4980"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功能分类科目</w:t>
            </w:r>
          </w:p>
        </w:tc>
        <w:tc>
          <w:tcPr>
            <w:tcW w:w="1056"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1095"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基本支出</w:t>
            </w:r>
          </w:p>
        </w:tc>
        <w:tc>
          <w:tcPr>
            <w:tcW w:w="1095"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项目支出</w:t>
            </w:r>
          </w:p>
        </w:tc>
        <w:tc>
          <w:tcPr>
            <w:tcW w:w="1095"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经营支出</w:t>
            </w:r>
          </w:p>
        </w:tc>
        <w:tc>
          <w:tcPr>
            <w:tcW w:w="1095"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上解上级     支出</w:t>
            </w:r>
          </w:p>
        </w:tc>
        <w:tc>
          <w:tcPr>
            <w:tcW w:w="1095"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27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    编码</w:t>
            </w:r>
          </w:p>
        </w:tc>
        <w:tc>
          <w:tcPr>
            <w:tcW w:w="370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科目名称</w:t>
            </w:r>
          </w:p>
        </w:tc>
        <w:tc>
          <w:tcPr>
            <w:tcW w:w="1056"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095"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栏次</w:t>
            </w:r>
          </w:p>
        </w:tc>
        <w:tc>
          <w:tcPr>
            <w:tcW w:w="127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370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105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09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09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c>
          <w:tcPr>
            <w:tcW w:w="109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6</w:t>
            </w:r>
          </w:p>
        </w:tc>
        <w:tc>
          <w:tcPr>
            <w:tcW w:w="109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7</w:t>
            </w:r>
          </w:p>
        </w:tc>
        <w:tc>
          <w:tcPr>
            <w:tcW w:w="109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1275" w:type="dxa"/>
            <w:vAlign w:val="center"/>
          </w:tcPr>
          <w:p>
            <w:pPr>
              <w:pStyle w:val="17"/>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705"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1056"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109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85.52</w:t>
            </w:r>
          </w:p>
        </w:tc>
        <w:tc>
          <w:tcPr>
            <w:tcW w:w="109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6124.40</w:t>
            </w:r>
          </w:p>
        </w:tc>
        <w:tc>
          <w:tcPr>
            <w:tcW w:w="109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一般公共服务支出</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4551.13</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14.13</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4537.00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20103</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政府办公厅（室）及相关机构事务</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4019.13</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14.13</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4005.00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2010301</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行政运行</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4019.13</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14.13</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4005.00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20113</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商贸事务</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6</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2011308</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招商引资</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7</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社会保障和就业支出</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71.39</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71.39</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8</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20805</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行政事业单位养老支出</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9</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2080505</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机关事业单位基本养老保险缴费支出</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20808</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抚恤</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11</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2080801</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死亡抚恤</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12</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城乡社区支出</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1587.40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1587.40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13</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21201</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城乡社区管理事务</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14</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2120101</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行政运行</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15</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21205</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城乡社区环境卫生</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16</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2120501</w:t>
            </w:r>
          </w:p>
        </w:tc>
        <w:tc>
          <w:tcPr>
            <w:tcW w:w="370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城乡社区环境卫生</w:t>
            </w:r>
          </w:p>
        </w:tc>
        <w:tc>
          <w:tcPr>
            <w:tcW w:w="1056"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4"/>
      </w:pPr>
      <w:r>
        <w:rPr>
          <w:rFonts w:ascii="方正小标宋_GBK" w:hAnsi="方正小标宋_GBK" w:eastAsia="方正小标宋_GBK" w:cs="方正小标宋_GBK"/>
          <w:color w:val="000000"/>
          <w:sz w:val="36"/>
        </w:rPr>
        <w:t>单位预算财政拨款收支总表</w:t>
      </w:r>
    </w:p>
    <w:tbl>
      <w:tblPr>
        <w:tblStyle w:val="5"/>
        <w:tblW w:w="12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8"/>
        <w:gridCol w:w="2760"/>
        <w:gridCol w:w="1065"/>
        <w:gridCol w:w="3015"/>
        <w:gridCol w:w="1305"/>
        <w:gridCol w:w="141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23" w:type="dxa"/>
            <w:gridSpan w:val="3"/>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pPr>
            <w:r>
              <w:t>810001成安经济开发区管理委员会本级</w:t>
            </w:r>
          </w:p>
        </w:tc>
        <w:tc>
          <w:tcPr>
            <w:tcW w:w="3015" w:type="dxa"/>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预算年度：2024</w:t>
            </w:r>
          </w:p>
        </w:tc>
        <w:tc>
          <w:tcPr>
            <w:tcW w:w="5181" w:type="dxa"/>
            <w:gridSpan w:val="4"/>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序号</w:t>
            </w:r>
          </w:p>
        </w:tc>
        <w:tc>
          <w:tcPr>
            <w:tcW w:w="3825"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收入</w:t>
            </w:r>
          </w:p>
        </w:tc>
        <w:tc>
          <w:tcPr>
            <w:tcW w:w="8196" w:type="dxa"/>
            <w:gridSpan w:val="5"/>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76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  目</w:t>
            </w:r>
          </w:p>
        </w:tc>
        <w:tc>
          <w:tcPr>
            <w:tcW w:w="106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金额</w:t>
            </w:r>
          </w:p>
        </w:tc>
        <w:tc>
          <w:tcPr>
            <w:tcW w:w="301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  目</w:t>
            </w:r>
          </w:p>
        </w:tc>
        <w:tc>
          <w:tcPr>
            <w:tcW w:w="130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1412"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一般公共预算财政拨款</w:t>
            </w:r>
          </w:p>
        </w:tc>
        <w:tc>
          <w:tcPr>
            <w:tcW w:w="1232"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政府性基金预算财政    拨款</w:t>
            </w:r>
          </w:p>
        </w:tc>
        <w:tc>
          <w:tcPr>
            <w:tcW w:w="1232"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栏次</w:t>
            </w:r>
          </w:p>
        </w:tc>
        <w:tc>
          <w:tcPr>
            <w:tcW w:w="276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106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301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30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412"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c>
          <w:tcPr>
            <w:tcW w:w="1232"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6</w:t>
            </w:r>
          </w:p>
        </w:tc>
        <w:tc>
          <w:tcPr>
            <w:tcW w:w="1232"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一、一般公共预算拨款</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一、一般公共服务支出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4551.13</w:t>
            </w: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4551.13</w:t>
            </w: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二、政府性基金预算拨款</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二、外交支出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三、国有资本经营预算拨款</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三、国防支出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四、公共安全支出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五、教育支出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6</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六、科学技术支出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7</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七、文化旅游体育与传媒支出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8</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八、社会保障和就业支出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71.39</w:t>
            </w: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71.39</w:t>
            </w: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9</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九、社会保险基金支出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10</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十、卫生健康支出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11</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十一、节能环保支出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12</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十二、城乡社区支出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1587.40</w:t>
            </w: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1587.40</w:t>
            </w: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13</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十三、农林水支出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14</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十四、交通运输支出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15</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十五、资源勘探工业信息等支出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16</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十六、商业服务业等支出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17</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十七、金融支出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18</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十八、援助其他地区支出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19</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十九、自然资源海洋气象等支出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20</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二十、住房保障支出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21</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二十一、粮油物资储备支出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22</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二十二、国有资本经营预算支出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23</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二十三、灾害防治及应急管理支出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24</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二十四、预备费</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25</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二十五、其他支出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26</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二十六、转移性支出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27</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二十七、债务还本支出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28</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二十八、债务付息支出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29</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二十九、债务发行费用支出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30</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三十、抗疫特别国债安排的支出</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31</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三十一、人行科目</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32</w:t>
            </w:r>
          </w:p>
        </w:tc>
        <w:tc>
          <w:tcPr>
            <w:tcW w:w="2760"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本年收入合计</w:t>
            </w:r>
          </w:p>
        </w:tc>
        <w:tc>
          <w:tcPr>
            <w:tcW w:w="106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3015"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本年支出合计</w:t>
            </w:r>
          </w:p>
        </w:tc>
        <w:tc>
          <w:tcPr>
            <w:tcW w:w="130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141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12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33</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年初财政拨款结转和结余</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年末财政拨款结转和结余</w:t>
            </w: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34</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一、一般公共预算拨款</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35</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二、政府性基金预算拨款</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36</w:t>
            </w:r>
          </w:p>
        </w:tc>
        <w:tc>
          <w:tcPr>
            <w:tcW w:w="27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三、国有资本经营预算拨款</w:t>
            </w:r>
          </w:p>
        </w:tc>
        <w:tc>
          <w:tcPr>
            <w:tcW w:w="106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301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305"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41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37</w:t>
            </w:r>
          </w:p>
        </w:tc>
        <w:tc>
          <w:tcPr>
            <w:tcW w:w="2760"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收入总计</w:t>
            </w:r>
          </w:p>
        </w:tc>
        <w:tc>
          <w:tcPr>
            <w:tcW w:w="106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3015"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支出总计</w:t>
            </w:r>
          </w:p>
        </w:tc>
        <w:tc>
          <w:tcPr>
            <w:tcW w:w="1305"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141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12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23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4"/>
      </w:pPr>
      <w:r>
        <w:rPr>
          <w:rFonts w:ascii="方正小标宋_GBK" w:hAnsi="方正小标宋_GBK" w:eastAsia="方正小标宋_GBK" w:cs="方正小标宋_GBK"/>
          <w:color w:val="000000"/>
          <w:sz w:val="36"/>
        </w:rPr>
        <w:t>单位预算一般公共预算财政拨款支出表</w:t>
      </w:r>
    </w:p>
    <w:tbl>
      <w:tblPr>
        <w:tblStyle w:val="5"/>
        <w:tblW w:w="130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4"/>
        <w:gridCol w:w="1260"/>
        <w:gridCol w:w="5610"/>
        <w:gridCol w:w="210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4" w:type="dxa"/>
            <w:gridSpan w:val="3"/>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pPr>
            <w:r>
              <w:t>810001成安经济开发区管理委员会本级</w:t>
            </w:r>
          </w:p>
        </w:tc>
        <w:tc>
          <w:tcPr>
            <w:tcW w:w="2102" w:type="dxa"/>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序号</w:t>
            </w:r>
          </w:p>
        </w:tc>
        <w:tc>
          <w:tcPr>
            <w:tcW w:w="6870"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功能分类科目</w:t>
            </w:r>
          </w:p>
        </w:tc>
        <w:tc>
          <w:tcPr>
            <w:tcW w:w="2102"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164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基本支出</w:t>
            </w:r>
          </w:p>
        </w:tc>
        <w:tc>
          <w:tcPr>
            <w:tcW w:w="164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26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科目编码</w:t>
            </w:r>
          </w:p>
        </w:tc>
        <w:tc>
          <w:tcPr>
            <w:tcW w:w="561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科目名称</w:t>
            </w:r>
          </w:p>
        </w:tc>
        <w:tc>
          <w:tcPr>
            <w:tcW w:w="2102"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栏次</w:t>
            </w:r>
          </w:p>
        </w:tc>
        <w:tc>
          <w:tcPr>
            <w:tcW w:w="126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561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2102"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1260" w:type="dxa"/>
            <w:vAlign w:val="center"/>
          </w:tcPr>
          <w:p>
            <w:pPr>
              <w:pStyle w:val="17"/>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610"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2102"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6209.92</w:t>
            </w:r>
          </w:p>
        </w:tc>
        <w:tc>
          <w:tcPr>
            <w:tcW w:w="16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85.52</w:t>
            </w:r>
          </w:p>
        </w:tc>
        <w:tc>
          <w:tcPr>
            <w:tcW w:w="16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6124.40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一般公共服务支出</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4551.13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14.13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4537.00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20103</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政府办公厅（室）及相关机构事务</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4019.13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14.13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2010301</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行政运行</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4019.13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14.13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4005.00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20113</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商贸事务</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6</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2011308</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招商引资</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532.00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7</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社会保障和就业支出</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71.39</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71.39</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8</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20805</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行政事业单位养老支出</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9</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2080505</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机关事业单位基本养老保险缴费支出</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10</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20808</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抚恤</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11</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2080801</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死亡抚恤</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12</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城乡社区支出</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1587.40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1587.40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13</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21201</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城乡社区管理事务</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14</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2120101</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行政运行</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1287.40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15</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21205</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城乡社区环境卫生</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16</w:t>
            </w:r>
          </w:p>
        </w:tc>
        <w:tc>
          <w:tcPr>
            <w:tcW w:w="126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2120501</w:t>
            </w:r>
          </w:p>
        </w:tc>
        <w:tc>
          <w:tcPr>
            <w:tcW w:w="56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城乡社区环境卫生</w:t>
            </w:r>
          </w:p>
        </w:tc>
        <w:tc>
          <w:tcPr>
            <w:tcW w:w="2102"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20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6"/>
        <w:gridCol w:w="1065"/>
        <w:gridCol w:w="528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7" w:type="dxa"/>
            <w:gridSpan w:val="3"/>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pPr>
            <w:r>
              <w:t>810001成安经济开发区管理委员会本级</w:t>
            </w:r>
          </w:p>
        </w:tc>
        <w:tc>
          <w:tcPr>
            <w:tcW w:w="1643" w:type="dxa"/>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序号</w:t>
            </w:r>
          </w:p>
        </w:tc>
        <w:tc>
          <w:tcPr>
            <w:tcW w:w="6351"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支出部门经济分类科目</w:t>
            </w:r>
          </w:p>
        </w:tc>
        <w:tc>
          <w:tcPr>
            <w:tcW w:w="4929" w:type="dxa"/>
            <w:gridSpan w:val="3"/>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06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科目编码</w:t>
            </w:r>
          </w:p>
        </w:tc>
        <w:tc>
          <w:tcPr>
            <w:tcW w:w="528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科目名称</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人员经费</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栏次</w:t>
            </w:r>
          </w:p>
        </w:tc>
        <w:tc>
          <w:tcPr>
            <w:tcW w:w="1065"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528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1065" w:type="dxa"/>
            <w:vAlign w:val="center"/>
          </w:tcPr>
          <w:p>
            <w:pPr>
              <w:pStyle w:val="17"/>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5286"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16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85.52</w:t>
            </w:r>
          </w:p>
        </w:tc>
        <w:tc>
          <w:tcPr>
            <w:tcW w:w="16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72.86</w:t>
            </w:r>
          </w:p>
        </w:tc>
        <w:tc>
          <w:tcPr>
            <w:tcW w:w="16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textAlignment w:val="auto"/>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106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301</w:t>
            </w:r>
          </w:p>
        </w:tc>
        <w:tc>
          <w:tcPr>
            <w:tcW w:w="5286"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工资福利支出</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72.17</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72.17</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06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30112</w:t>
            </w:r>
          </w:p>
        </w:tc>
        <w:tc>
          <w:tcPr>
            <w:tcW w:w="5286"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其他社会保障缴费</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1.47</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1.47</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06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30199</w:t>
            </w:r>
          </w:p>
        </w:tc>
        <w:tc>
          <w:tcPr>
            <w:tcW w:w="5286"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其他工资福利支出</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70.70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c>
          <w:tcPr>
            <w:tcW w:w="106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302</w:t>
            </w:r>
          </w:p>
        </w:tc>
        <w:tc>
          <w:tcPr>
            <w:tcW w:w="5286"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商品和服务支出</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12.66</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6</w:t>
            </w:r>
          </w:p>
        </w:tc>
        <w:tc>
          <w:tcPr>
            <w:tcW w:w="106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30239</w:t>
            </w:r>
          </w:p>
        </w:tc>
        <w:tc>
          <w:tcPr>
            <w:tcW w:w="5286"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其他交通费用</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12.66</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7</w:t>
            </w:r>
          </w:p>
        </w:tc>
        <w:tc>
          <w:tcPr>
            <w:tcW w:w="106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303</w:t>
            </w:r>
          </w:p>
        </w:tc>
        <w:tc>
          <w:tcPr>
            <w:tcW w:w="5286"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对个人和家庭的补助</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8</w:t>
            </w:r>
          </w:p>
        </w:tc>
        <w:tc>
          <w:tcPr>
            <w:tcW w:w="1065"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30305</w:t>
            </w:r>
          </w:p>
        </w:tc>
        <w:tc>
          <w:tcPr>
            <w:tcW w:w="5286"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生活补助</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0.70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4"/>
      </w:pPr>
      <w:r>
        <w:rPr>
          <w:rFonts w:ascii="方正小标宋_GBK" w:hAnsi="方正小标宋_GBK" w:eastAsia="方正小标宋_GBK" w:cs="方正小标宋_GBK"/>
          <w:color w:val="000000"/>
          <w:sz w:val="36"/>
        </w:rPr>
        <w:t>单位预算政府性基金预算财政拨款支出表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pPr>
            <w:r>
              <w:t>810001成安经济开发区管理委员会本级</w:t>
            </w:r>
          </w:p>
        </w:tc>
        <w:tc>
          <w:tcPr>
            <w:tcW w:w="1643" w:type="dxa"/>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序号</w:t>
            </w:r>
          </w:p>
        </w:tc>
        <w:tc>
          <w:tcPr>
            <w:tcW w:w="3286"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功能分类科目</w:t>
            </w:r>
          </w:p>
        </w:tc>
        <w:tc>
          <w:tcPr>
            <w:tcW w:w="164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164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基本支出</w:t>
            </w:r>
          </w:p>
        </w:tc>
        <w:tc>
          <w:tcPr>
            <w:tcW w:w="164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科目编码</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科目名称</w:t>
            </w:r>
          </w:p>
        </w:tc>
        <w:tc>
          <w:tcPr>
            <w:tcW w:w="1643"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栏次</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widowControl/>
        <w:kinsoku/>
        <w:wordWrap/>
        <w:overflowPunct/>
        <w:topLinePunct w:val="0"/>
        <w:autoSpaceDE/>
        <w:autoSpaceDN/>
        <w:bidi w:val="0"/>
        <w:adjustRightInd/>
        <w:snapToGrid/>
        <w:spacing w:line="240" w:lineRule="auto"/>
        <w:ind w:firstLine="2520" w:firstLineChars="1200"/>
        <w:jc w:val="left"/>
        <w:textAlignment w:val="auto"/>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pPr>
            <w:r>
              <w:t>810001成安经济开发区管理委员会本级</w:t>
            </w:r>
          </w:p>
        </w:tc>
        <w:tc>
          <w:tcPr>
            <w:tcW w:w="1643" w:type="dxa"/>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序号</w:t>
            </w:r>
          </w:p>
        </w:tc>
        <w:tc>
          <w:tcPr>
            <w:tcW w:w="3286"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功能分类科目</w:t>
            </w:r>
          </w:p>
        </w:tc>
        <w:tc>
          <w:tcPr>
            <w:tcW w:w="164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164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基本支出</w:t>
            </w:r>
          </w:p>
        </w:tc>
        <w:tc>
          <w:tcPr>
            <w:tcW w:w="164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科目编码</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科目名称</w:t>
            </w:r>
          </w:p>
        </w:tc>
        <w:tc>
          <w:tcPr>
            <w:tcW w:w="1643"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643"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栏次</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p>
        </w:tc>
      </w:tr>
    </w:tbl>
    <w:p>
      <w:pPr>
        <w:keepNext w:val="0"/>
        <w:keepLines w:val="0"/>
        <w:pageBreakBefore w:val="0"/>
        <w:widowControl/>
        <w:kinsoku/>
        <w:wordWrap/>
        <w:overflowPunct/>
        <w:topLinePunct w:val="0"/>
        <w:autoSpaceDE/>
        <w:autoSpaceDN/>
        <w:bidi w:val="0"/>
        <w:adjustRightInd/>
        <w:snapToGrid/>
        <w:spacing w:line="240" w:lineRule="auto"/>
        <w:ind w:firstLine="2467" w:firstLineChars="1175"/>
        <w:jc w:val="left"/>
        <w:textAlignment w:val="auto"/>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4"/>
      </w:pPr>
      <w:r>
        <w:rPr>
          <w:rFonts w:ascii="方正小标宋_GBK" w:hAnsi="方正小标宋_GBK" w:eastAsia="方正小标宋_GBK" w:cs="方正小标宋_GBK"/>
          <w:color w:val="000000"/>
          <w:sz w:val="36"/>
        </w:rPr>
        <w:t>单位预算财政拨款“三公”经费支出表</w:t>
      </w:r>
    </w:p>
    <w:tbl>
      <w:tblPr>
        <w:tblStyle w:val="5"/>
        <w:tblW w:w="113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9"/>
        <w:gridCol w:w="4110"/>
        <w:gridCol w:w="151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2" w:type="dxa"/>
            <w:gridSpan w:val="3"/>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pPr>
            <w:r>
              <w:t>810001成安经济开发区管理委员会本级</w:t>
            </w:r>
          </w:p>
        </w:tc>
        <w:tc>
          <w:tcPr>
            <w:tcW w:w="4929"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line="240" w:lineRule="auto"/>
              <w:jc w:val="both"/>
              <w:textAlignment w:val="auto"/>
            </w:pP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序号</w:t>
            </w:r>
          </w:p>
        </w:tc>
        <w:tc>
          <w:tcPr>
            <w:tcW w:w="4110"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  目</w:t>
            </w:r>
          </w:p>
        </w:tc>
        <w:tc>
          <w:tcPr>
            <w:tcW w:w="6442" w:type="dxa"/>
            <w:gridSpan w:val="4"/>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19"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4110"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51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一般公共预算              财政拨款</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政府性基金                  预算拨款</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19"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栏次</w:t>
            </w:r>
          </w:p>
        </w:tc>
        <w:tc>
          <w:tcPr>
            <w:tcW w:w="4110"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w:t>
            </w:r>
          </w:p>
        </w:tc>
        <w:tc>
          <w:tcPr>
            <w:tcW w:w="151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2</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4</w:t>
            </w:r>
          </w:p>
        </w:tc>
        <w:tc>
          <w:tcPr>
            <w:tcW w:w="164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1</w:t>
            </w:r>
          </w:p>
        </w:tc>
        <w:tc>
          <w:tcPr>
            <w:tcW w:w="4110" w:type="dxa"/>
            <w:vAlign w:val="center"/>
          </w:tcPr>
          <w:p>
            <w:pPr>
              <w:pStyle w:val="15"/>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b/>
                <w:sz w:val="21"/>
                <w:szCs w:val="24"/>
                <w:lang w:val="en-US" w:eastAsia="uk-UA" w:bidi="ar-SA"/>
              </w:rPr>
            </w:pPr>
            <w:r>
              <w:t>合计</w:t>
            </w:r>
          </w:p>
        </w:tc>
        <w:tc>
          <w:tcPr>
            <w:tcW w:w="151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2.00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2.00</w:t>
            </w:r>
          </w:p>
        </w:tc>
        <w:tc>
          <w:tcPr>
            <w:tcW w:w="16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b/>
                <w:sz w:val="21"/>
                <w:szCs w:val="24"/>
                <w:lang w:val="en-US" w:eastAsia="uk-UA" w:bidi="ar-SA"/>
              </w:rPr>
            </w:pPr>
          </w:p>
        </w:tc>
        <w:tc>
          <w:tcPr>
            <w:tcW w:w="1643" w:type="dxa"/>
            <w:vAlign w:val="center"/>
          </w:tcPr>
          <w:p>
            <w:pPr>
              <w:pStyle w:val="16"/>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2</w:t>
            </w:r>
          </w:p>
        </w:tc>
        <w:tc>
          <w:tcPr>
            <w:tcW w:w="41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“三公”经费小计</w:t>
            </w:r>
          </w:p>
        </w:tc>
        <w:tc>
          <w:tcPr>
            <w:tcW w:w="151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2.00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2.00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3</w:t>
            </w:r>
          </w:p>
        </w:tc>
        <w:tc>
          <w:tcPr>
            <w:tcW w:w="41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一、因公出国（境）费</w:t>
            </w:r>
          </w:p>
        </w:tc>
        <w:tc>
          <w:tcPr>
            <w:tcW w:w="151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4</w:t>
            </w:r>
          </w:p>
        </w:tc>
        <w:tc>
          <w:tcPr>
            <w:tcW w:w="41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 xml:space="preserve">    其中：教学科研人员因公出国（境）费</w:t>
            </w:r>
          </w:p>
        </w:tc>
        <w:tc>
          <w:tcPr>
            <w:tcW w:w="151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5</w:t>
            </w:r>
          </w:p>
        </w:tc>
        <w:tc>
          <w:tcPr>
            <w:tcW w:w="41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 xml:space="preserve">          其他因公出国（境）费</w:t>
            </w:r>
          </w:p>
        </w:tc>
        <w:tc>
          <w:tcPr>
            <w:tcW w:w="151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6</w:t>
            </w:r>
          </w:p>
        </w:tc>
        <w:tc>
          <w:tcPr>
            <w:tcW w:w="41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二、公务用车购置及运维费</w:t>
            </w:r>
          </w:p>
        </w:tc>
        <w:tc>
          <w:tcPr>
            <w:tcW w:w="151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7</w:t>
            </w:r>
          </w:p>
        </w:tc>
        <w:tc>
          <w:tcPr>
            <w:tcW w:w="41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 xml:space="preserve">    其中：公务用车购置费</w:t>
            </w:r>
          </w:p>
        </w:tc>
        <w:tc>
          <w:tcPr>
            <w:tcW w:w="151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8</w:t>
            </w:r>
          </w:p>
        </w:tc>
        <w:tc>
          <w:tcPr>
            <w:tcW w:w="41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 xml:space="preserve">          公务用车运行维护费</w:t>
            </w:r>
          </w:p>
        </w:tc>
        <w:tc>
          <w:tcPr>
            <w:tcW w:w="151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2.00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2.00</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19"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9</w:t>
            </w:r>
          </w:p>
        </w:tc>
        <w:tc>
          <w:tcPr>
            <w:tcW w:w="4110"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r>
              <w:t>三、公务接待费</w:t>
            </w:r>
          </w:p>
        </w:tc>
        <w:tc>
          <w:tcPr>
            <w:tcW w:w="151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ind w:firstLine="0" w:firstLineChars="0"/>
              <w:textAlignment w:val="auto"/>
              <w:rPr>
                <w:rFonts w:ascii="方正书宋_GBK" w:hAnsi="方正书宋_GBK" w:eastAsia="方正书宋_GBK" w:cs="方正书宋_GBK"/>
                <w:sz w:val="21"/>
                <w:szCs w:val="24"/>
                <w:lang w:val="en-US" w:eastAsia="uk-UA" w:bidi="ar-SA"/>
              </w:rPr>
            </w:pPr>
          </w:p>
        </w:tc>
      </w:tr>
    </w:tbl>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outlineLvl w:val="4"/>
        <w:rPr>
          <w:rFonts w:ascii="方正小标宋_GBK" w:hAnsi="方正小标宋_GBK" w:eastAsia="方正小标宋_GBK" w:cs="方正小标宋_GBK"/>
          <w:b w:val="0"/>
          <w:color w:val="000000"/>
          <w:sz w:val="44"/>
        </w:r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4"/>
      </w:pPr>
      <w:r>
        <w:rPr>
          <w:rFonts w:ascii="方正小标宋_GBK" w:hAnsi="方正小标宋_GBK" w:eastAsia="方正小标宋_GBK" w:cs="方正小标宋_GBK"/>
          <w:b w:val="0"/>
          <w:color w:val="000000"/>
          <w:sz w:val="44"/>
        </w:rPr>
        <w:t>成安经济开发区管理委员会本级2024年单位预算信息公开情况说明</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按照《中华人民共和国预算法》、《地方预决算公开操作规程》和《关于进一步推进预算公开工作的实施意见》规定，现将成安经济开发区管理委员会本级2024年单位预算公开如下：</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eastAsia="方正仿宋_GBK" w:cs="Times New Roman"/>
          <w:color w:val="000000"/>
          <w:sz w:val="28"/>
        </w:rPr>
      </w:pPr>
      <w:r>
        <w:rPr>
          <w:rFonts w:ascii="方正楷体_GBK" w:hAnsi="方正楷体_GBK" w:eastAsia="方正楷体_GBK" w:cs="方正楷体_GBK"/>
          <w:b/>
          <w:color w:val="000000"/>
          <w:sz w:val="32"/>
        </w:rPr>
        <w:t>单位职责：</w:t>
      </w:r>
      <w:r>
        <w:rPr>
          <w:rFonts w:hint="eastAsia" w:eastAsia="方正仿宋_GBK" w:cs="Times New Roman"/>
          <w:color w:val="000000"/>
          <w:sz w:val="28"/>
          <w:lang w:eastAsia="zh-CN"/>
        </w:rPr>
        <w:t>一、</w:t>
      </w:r>
      <w:r>
        <w:rPr>
          <w:rFonts w:hint="eastAsia" w:eastAsia="方正仿宋_GBK" w:cs="Times New Roman"/>
          <w:color w:val="000000"/>
          <w:sz w:val="28"/>
        </w:rPr>
        <w:t>宣传、贯彻党的路线、方针、政策和上级党组织的指示、决定按照授权和干部管理权限负责辖区内干部管理；负责辖区内党的建设和其他党务工作；负责宣传和精神文明建设工作：负责辖区工会、团委、妇联等群团工作：完成中共成安县委交办的其他任务。</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560" w:firstLineChars="200"/>
        <w:textAlignment w:val="auto"/>
        <w:rPr>
          <w:rFonts w:eastAsia="方正仿宋_GBK" w:cs="Times New Roman"/>
          <w:color w:val="000000"/>
          <w:sz w:val="28"/>
        </w:rPr>
      </w:pPr>
      <w:r>
        <w:rPr>
          <w:rFonts w:hint="eastAsia" w:eastAsia="方正仿宋_GBK" w:cs="Times New Roman"/>
          <w:color w:val="000000"/>
          <w:sz w:val="28"/>
        </w:rPr>
        <w:t>编制辖区的总体规划和经济、社会发展规划，经批准后组织实施；负责招商引资、进出口贸易和国内外经济技术合作工作：负责辖区环境保护和安全生产监督管理工作；贯彻落实党的路线、方针、政策和上级党委的决议指示；组织协调辖区内社会管理综合治理和维护稳定工作；负责辖区食品药品安全监督管理工作；负责辖区人力资源和社会保障工作；负责辖区教育、文化、人口等社会事务管理工作：编制辖区区域性城市发展规划、国土利用规划；审批或审核辖区固定资产投资项目；负责辖区基础设施和公用设施的建设和管理。</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rPr>
          <w:rFonts w:hint="eastAsia" w:eastAsia="方正仿宋_GBK" w:cs="Times New Roman"/>
          <w:color w:val="000000"/>
          <w:sz w:val="28"/>
          <w:lang w:eastAsia="zh-CN"/>
        </w:rPr>
        <w:t>三、</w:t>
      </w:r>
      <w:r>
        <w:rPr>
          <w:rFonts w:hint="eastAsia" w:eastAsia="方正仿宋_GBK" w:cs="Times New Roman"/>
          <w:color w:val="000000"/>
          <w:sz w:val="28"/>
        </w:rPr>
        <w:t>负责辖区财政管理，实施辖区内财政预算、决算、国有资产管理和财政监督工作；完成上级党组织交办的其他任务。</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olor w:val="000000"/>
          <w:sz w:val="28"/>
          <w:lang w:eastAsia="zh-CN"/>
        </w:rPr>
      </w:pPr>
      <w:r>
        <w:rPr>
          <w:rFonts w:ascii="方正楷体_GBK" w:hAnsi="方正楷体_GBK" w:eastAsia="方正楷体_GBK" w:cs="方正楷体_GBK"/>
          <w:b/>
          <w:color w:val="000000"/>
          <w:sz w:val="32"/>
        </w:rPr>
        <w:t>机构设置：</w:t>
      </w:r>
      <w:r>
        <w:rPr>
          <w:rFonts w:hint="eastAsia" w:eastAsia="方正仿宋_GBK"/>
          <w:color w:val="000000"/>
          <w:sz w:val="28"/>
          <w:lang w:eastAsia="zh-CN"/>
        </w:rPr>
        <w:t>河北成安经济开发区管理委员会，预算编码是810002，内设5个内部机构。</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s="Times New Roman"/>
          <w:color w:val="000000"/>
          <w:sz w:val="28"/>
          <w:lang w:eastAsia="zh-CN"/>
        </w:rPr>
      </w:pPr>
      <w:r>
        <w:rPr>
          <w:rFonts w:hint="eastAsia" w:eastAsia="方正仿宋_GBK" w:cs="Times New Roman"/>
          <w:color w:val="000000"/>
          <w:sz w:val="28"/>
          <w:lang w:eastAsia="zh-CN"/>
        </w:rPr>
        <w:t>1、党政办公室</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s="Times New Roman"/>
          <w:color w:val="000000"/>
          <w:sz w:val="28"/>
          <w:lang w:eastAsia="zh-CN"/>
        </w:rPr>
      </w:pPr>
      <w:r>
        <w:rPr>
          <w:rFonts w:hint="eastAsia" w:eastAsia="方正仿宋_GBK" w:cs="Times New Roman"/>
          <w:color w:val="000000"/>
          <w:sz w:val="28"/>
          <w:lang w:eastAsia="zh-CN"/>
        </w:rPr>
        <w:t>主要负责：履行党委系统宣传、组织职责；负责综合协调管理区内党务及工、青、妇等群团工作；负责宣传和精神文明建设工作；负责上级党委交办的其他工作。综合协调区内各项行政工作；负责主要工作目标和领导批办事项的落实督办；负责机关管理、后勤服务；负责文秘、信息、机要、保密、档案和上传下达、接待协调、会务组织承办、印签公章管理等工作；负责上级交办的其他工作，负责完成党工委、管委会交办的其他工作。</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s="Times New Roman"/>
          <w:color w:val="000000"/>
          <w:sz w:val="28"/>
          <w:lang w:eastAsia="zh-CN"/>
        </w:rPr>
      </w:pPr>
      <w:r>
        <w:rPr>
          <w:rFonts w:hint="eastAsia" w:eastAsia="方正仿宋_GBK" w:cs="Times New Roman"/>
          <w:color w:val="000000"/>
          <w:sz w:val="28"/>
          <w:lang w:eastAsia="zh-CN"/>
        </w:rPr>
        <w:t>2、财政局</w:t>
      </w:r>
      <w:r>
        <w:rPr>
          <w:rFonts w:hint="eastAsia" w:eastAsia="方正仿宋_GBK" w:cs="Times New Roman"/>
          <w:color w:val="000000"/>
          <w:sz w:val="28"/>
          <w:lang w:eastAsia="zh-CN"/>
        </w:rPr>
        <w:tab/>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s="Times New Roman"/>
          <w:color w:val="000000"/>
          <w:sz w:val="28"/>
          <w:lang w:eastAsia="zh-CN"/>
        </w:rPr>
      </w:pPr>
      <w:r>
        <w:rPr>
          <w:rFonts w:hint="eastAsia" w:eastAsia="方正仿宋_GBK" w:cs="Times New Roman"/>
          <w:color w:val="000000"/>
          <w:sz w:val="28"/>
          <w:lang w:eastAsia="zh-CN"/>
        </w:rPr>
        <w:t>主要负责：负责国家财经法规及会计制度的贯彻落实，并制定管委会内部各项财务制度。负责区内财政收支、预算和决算的编制、收支计划的组织执行。负责区内区内各类企业的财务审计、监督及会计人员管理、审查工作。负责区内国有资产的管理、收费管理工作。负责行政性收费、罚没收入的征缴工作。负责完成党工委、管委会交办的其他工作。</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s="Times New Roman"/>
          <w:color w:val="000000"/>
          <w:sz w:val="28"/>
          <w:lang w:eastAsia="zh-CN"/>
        </w:rPr>
      </w:pPr>
      <w:r>
        <w:rPr>
          <w:rFonts w:hint="eastAsia" w:eastAsia="方正仿宋_GBK" w:cs="Times New Roman"/>
          <w:color w:val="000000"/>
          <w:sz w:val="28"/>
          <w:lang w:eastAsia="zh-CN"/>
        </w:rPr>
        <w:t>3、招商合作局</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s="Times New Roman"/>
          <w:color w:val="000000"/>
          <w:sz w:val="28"/>
          <w:lang w:eastAsia="zh-CN"/>
        </w:rPr>
      </w:pPr>
      <w:r>
        <w:rPr>
          <w:rFonts w:hint="eastAsia" w:eastAsia="方正仿宋_GBK" w:cs="Times New Roman"/>
          <w:color w:val="000000"/>
          <w:sz w:val="28"/>
          <w:lang w:eastAsia="zh-CN"/>
        </w:rPr>
        <w:t>主要负责：组织实施区内经济发展总体规划，制定并实施年度经济发展计划，审批或审核各类进区项目。负责指导区内企业技术进步、新产品研制开发、企业管理及经济指标考核、统计等工作。负责经济技术项目的洽谈、引进、开发、消化、吸收。负责对外开放、招商引资工作。负责出口创汇、涉外经济活动和对外经济技术合作；为投资者提供系列化服务等工作，负责完成党工委、管委会交办的其他工作。</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s="Times New Roman"/>
          <w:color w:val="000000"/>
          <w:sz w:val="28"/>
          <w:lang w:eastAsia="zh-CN"/>
        </w:rPr>
      </w:pPr>
      <w:r>
        <w:rPr>
          <w:rFonts w:hint="eastAsia" w:eastAsia="方正仿宋_GBK" w:cs="Times New Roman"/>
          <w:color w:val="000000"/>
          <w:sz w:val="28"/>
          <w:lang w:eastAsia="zh-CN"/>
        </w:rPr>
        <w:t>4、规划建设局</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s="Times New Roman"/>
          <w:color w:val="000000"/>
          <w:sz w:val="28"/>
          <w:lang w:eastAsia="zh-CN"/>
        </w:rPr>
      </w:pPr>
      <w:r>
        <w:rPr>
          <w:rFonts w:hint="eastAsia" w:eastAsia="方正仿宋_GBK" w:cs="Times New Roman"/>
          <w:color w:val="000000"/>
          <w:sz w:val="28"/>
          <w:lang w:eastAsia="zh-CN"/>
        </w:rPr>
        <w:t>主要负责：组织编制、审查、报批和实施区内总体规划、详细规划、负责建设项目的选址。负责区内建设用地和建设工程的规划管理、审查设计方案。参与区内建设验线、跟踪管理、规划验收。监督检查、查处各种违法占地和违法建设行为。指导托管村庄的建设和管理。指导区内供排水、供热、电力、电信、燃气、市容和环卫等市政公用设施的建设和管理工作。指导协调区内容貌综合整治工作。负责区内绿化的行业规划、管理。负责完成党工委、管委会交办的其他工作。</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s="Times New Roman"/>
          <w:color w:val="000000"/>
          <w:sz w:val="28"/>
          <w:lang w:eastAsia="zh-CN"/>
        </w:rPr>
      </w:pPr>
      <w:r>
        <w:rPr>
          <w:rFonts w:hint="eastAsia" w:eastAsia="方正仿宋_GBK" w:cs="Times New Roman"/>
          <w:color w:val="000000"/>
          <w:sz w:val="28"/>
          <w:lang w:eastAsia="zh-CN"/>
        </w:rPr>
        <w:t>5、社会事务管理局</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ascii="楷体" w:hAnsi="楷体" w:eastAsia="楷体" w:cs="楷体"/>
          <w:b/>
          <w:sz w:val="32"/>
          <w:szCs w:val="32"/>
        </w:rPr>
      </w:pPr>
      <w:r>
        <w:rPr>
          <w:rFonts w:hint="eastAsia" w:eastAsia="方正仿宋_GBK" w:cs="Times New Roman"/>
          <w:color w:val="000000"/>
          <w:sz w:val="28"/>
          <w:lang w:eastAsia="zh-CN"/>
        </w:rPr>
        <w:t>主要负责：负责贯彻落实中央、省、市党委和政府关于农业和农村工作的路线、方针、政策，负责区内所辖农村的行政管理和社会事务。负责区内新农村建设规划制定并组织实施；负责编制农村经济发展和农村年度发展计划，并组织实施。负责区内农村的村民自治工资、村务财务的管理、计划生育、社会管理综合治理、征兵和推文军人安置等村级行政事务的管理。负责区内农村社会公益事业发展规划的制定并组织实施，负责区内农村的精神文明建设和信访稳定工作。负责完成党工委、管委会交办的其他工作。</w:t>
      </w:r>
    </w:p>
    <w:p>
      <w:pPr>
        <w:keepNext w:val="0"/>
        <w:keepLines w:val="0"/>
        <w:pageBreakBefore w:val="0"/>
        <w:widowControl/>
        <w:kinsoku/>
        <w:wordWrap/>
        <w:overflowPunct/>
        <w:topLinePunct w:val="0"/>
        <w:autoSpaceDE/>
        <w:autoSpaceDN/>
        <w:bidi w:val="0"/>
        <w:adjustRightInd/>
        <w:snapToGrid/>
        <w:spacing w:line="240" w:lineRule="auto"/>
        <w:ind w:firstLine="562" w:firstLineChars="175"/>
        <w:textAlignment w:val="auto"/>
        <w:rPr>
          <w:rFonts w:ascii="楷体" w:hAnsi="楷体" w:eastAsia="楷体" w:cs="楷体"/>
          <w:b/>
          <w:sz w:val="32"/>
          <w:szCs w:val="32"/>
        </w:rPr>
      </w:pPr>
      <w:r>
        <w:rPr>
          <w:rFonts w:hint="eastAsia" w:ascii="楷体" w:hAnsi="楷体" w:eastAsia="楷体" w:cs="楷体"/>
          <w:b/>
          <w:sz w:val="32"/>
          <w:szCs w:val="32"/>
        </w:rPr>
        <w:t>人员编制和领导职数</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olor w:val="000000"/>
          <w:sz w:val="28"/>
          <w:lang w:eastAsia="zh-CN"/>
        </w:rPr>
      </w:pPr>
      <w:r>
        <w:rPr>
          <w:rFonts w:hint="eastAsia" w:eastAsia="方正仿宋_GBK"/>
          <w:color w:val="000000"/>
          <w:sz w:val="28"/>
          <w:lang w:eastAsia="zh-CN"/>
        </w:rPr>
        <w:t>河北成安经济开发区党工委、管委会机关行政编制30名，其中：党工委书记兼管委会主任1名（副处级），副书记兼副主任1名（正科级），副主任2名（正科级），内设机构副科级领导职数5名。</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pPr>
      <w:r>
        <w:rPr>
          <w:rFonts w:hint="eastAsia" w:eastAsia="方正仿宋_GBK"/>
          <w:color w:val="000000"/>
          <w:sz w:val="28"/>
          <w:lang w:eastAsia="zh-CN"/>
        </w:rPr>
        <w:t>根据河北成安经济开发区发展建设需要，管委会设置政务中心，相当副科级事业单位，主要职责是：负责与上级发改、工商、税务、人力资源等部门建立有机联社，集中受理入区企业办理事务，对各项行政审批工作进行协调和督办。核定事业编制15名，其中：设主任1名（副科级），副主任1名（股级），经费形势为财政性资金基本保证。</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单位名称</w:t>
            </w:r>
          </w:p>
        </w:tc>
        <w:tc>
          <w:tcPr>
            <w:tcW w:w="246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单位性质</w:t>
            </w:r>
          </w:p>
        </w:tc>
        <w:tc>
          <w:tcPr>
            <w:tcW w:w="246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单位规格</w:t>
            </w:r>
          </w:p>
        </w:tc>
        <w:tc>
          <w:tcPr>
            <w:tcW w:w="246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成安经济开发区管理委员会本级</w:t>
            </w:r>
          </w:p>
        </w:tc>
        <w:tc>
          <w:tcPr>
            <w:tcW w:w="246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行政</w:t>
            </w:r>
          </w:p>
        </w:tc>
        <w:tc>
          <w:tcPr>
            <w:tcW w:w="246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副处（县）级</w:t>
            </w:r>
          </w:p>
        </w:tc>
        <w:tc>
          <w:tcPr>
            <w:tcW w:w="246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财政拨款</w:t>
            </w:r>
          </w:p>
        </w:tc>
      </w:tr>
    </w:tbl>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s="Times New Roman"/>
          <w:color w:val="000000"/>
          <w:sz w:val="28"/>
        </w:rPr>
      </w:pPr>
      <w:r>
        <w:rPr>
          <w:rFonts w:eastAsia="方正仿宋_GBK" w:cs="Times New Roman"/>
          <w:color w:val="000000"/>
          <w:sz w:val="28"/>
        </w:rPr>
        <w:t>按照预算管理有关规定，目前我部门预算的编制实行综合预算管理，即全部收入和支出都反映在预算中。成安经济开发区管理委员会机关及所属事业单位的收支包含在部门预算中。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olor w:val="000000"/>
          <w:sz w:val="28"/>
          <w:lang w:eastAsia="zh-CN"/>
        </w:rPr>
      </w:pPr>
      <w:r>
        <w:rPr>
          <w:rFonts w:hint="eastAsia" w:eastAsia="方正仿宋_GBK"/>
          <w:color w:val="000000"/>
          <w:sz w:val="28"/>
          <w:lang w:eastAsia="zh-CN"/>
        </w:rPr>
        <w:t>1、收入说明</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olor w:val="000000"/>
          <w:sz w:val="28"/>
          <w:lang w:eastAsia="zh-CN"/>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年预算收入6209.92万元，其中：一般公共预算收入6209.92万元，政府性基金收入0万元，国有资本经营收入0万元，事业收入0万元，其他收入0万元。</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olor w:val="000000"/>
          <w:sz w:val="28"/>
          <w:lang w:eastAsia="zh-CN"/>
        </w:rPr>
      </w:pPr>
      <w:r>
        <w:rPr>
          <w:rFonts w:hint="eastAsia" w:eastAsia="方正仿宋_GBK"/>
          <w:color w:val="000000"/>
          <w:sz w:val="28"/>
          <w:lang w:eastAsia="zh-CN"/>
        </w:rPr>
        <w:t>2、支出说明</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olor w:val="000000"/>
          <w:sz w:val="28"/>
          <w:lang w:eastAsia="zh-CN"/>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年支出预算6209.92万元，项目支出6209.92万元, 一般公共服务支出4551.13万元，社会保障就业支出71.39</w:t>
      </w:r>
      <w:r>
        <w:rPr>
          <w:rFonts w:hint="eastAsia" w:eastAsia="宋体"/>
          <w:lang w:eastAsia="zh-CN"/>
        </w:rPr>
        <w:t>，</w:t>
      </w:r>
      <w:r>
        <w:rPr>
          <w:rFonts w:hint="eastAsia" w:eastAsia="方正仿宋_GBK"/>
          <w:color w:val="000000"/>
          <w:sz w:val="28"/>
          <w:lang w:eastAsia="zh-CN"/>
        </w:rPr>
        <w:t>城乡社区支出1587.40万元。</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eastAsia="方正仿宋_GBK"/>
          <w:color w:val="000000"/>
          <w:sz w:val="28"/>
          <w:lang w:eastAsia="zh-CN"/>
        </w:rPr>
      </w:pPr>
      <w:r>
        <w:rPr>
          <w:rFonts w:hint="eastAsia" w:eastAsia="方正仿宋_GBK"/>
          <w:color w:val="000000"/>
          <w:sz w:val="28"/>
          <w:lang w:eastAsia="zh-CN"/>
        </w:rPr>
        <w:t>3、比上年增减变化情况</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hint="eastAsia" w:eastAsia="方正仿宋_GBK"/>
          <w:color w:val="000000"/>
          <w:sz w:val="28"/>
          <w:lang w:eastAsia="zh-CN"/>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年预算收支安排6209.92万元，较2022年预算减少</w:t>
      </w:r>
      <w:r>
        <w:rPr>
          <w:rFonts w:hint="eastAsia" w:eastAsia="方正仿宋_GBK"/>
          <w:color w:val="000000"/>
          <w:sz w:val="28"/>
          <w:lang w:val="en-US" w:eastAsia="zh-CN"/>
        </w:rPr>
        <w:t>3538.19</w:t>
      </w:r>
      <w:r>
        <w:rPr>
          <w:rFonts w:hint="eastAsia" w:eastAsia="方正仿宋_GBK"/>
          <w:color w:val="000000"/>
          <w:sz w:val="28"/>
          <w:lang w:eastAsia="zh-CN"/>
        </w:rPr>
        <w:t>万元，主要是预算收入增加招商经费及电子信息项目费用出也，预算支出相应增加。</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hint="eastAsia" w:eastAsia="方正仿宋_GBK"/>
          <w:color w:val="000000"/>
          <w:sz w:val="28"/>
          <w:lang w:eastAsia="zh-CN"/>
        </w:rPr>
      </w:pP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eastAsia="方正仿宋_GBK"/>
          <w:color w:val="000000"/>
          <w:sz w:val="28"/>
          <w:lang w:eastAsia="zh-CN"/>
        </w:rPr>
      </w:pP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eastAsia="方正仿宋_GBK"/>
          <w:color w:val="000000"/>
          <w:sz w:val="28"/>
          <w:lang w:eastAsia="zh-CN"/>
        </w:rPr>
      </w:pPr>
      <w:r>
        <w:rPr>
          <w:rFonts w:hint="eastAsia" w:eastAsia="方正仿宋_GBK"/>
          <w:color w:val="000000"/>
          <w:sz w:val="28"/>
          <w:lang w:eastAsia="zh-CN"/>
        </w:rPr>
        <w:t>机关运行经费共计安排</w:t>
      </w:r>
      <w:r>
        <w:t>1287.40</w:t>
      </w:r>
      <w:r>
        <w:rPr>
          <w:rFonts w:hint="eastAsia" w:eastAsia="方正仿宋_GBK"/>
          <w:color w:val="000000"/>
          <w:sz w:val="28"/>
          <w:lang w:eastAsia="zh-CN"/>
        </w:rPr>
        <w:t>万元，主要用于办公区的日常维修、办公用房水电费、邮电费、办公用房取暖费、办公用房物业管理费等日常运行支出，公务用车运行维护，招商引资、项目建设、园区公共设施维护、环境管理、绿化日常维护、迎检活动安排、信访矛盾处理。</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eastAsia="方正仿宋_GBK"/>
          <w:color w:val="000000"/>
          <w:sz w:val="28"/>
          <w:lang w:eastAsia="zh-CN"/>
        </w:rPr>
      </w:pP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年，我单位“三公”经费预算安排2万元，其中因公出国（境）费0万元，较上年无变化；公务用车购置及运维费2万元（其中：公务用车购置费为0万元，公务用车运行费2万元)，较上年无变化；公务接待费0万元，较上年无变化。</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总体绩效目标</w:t>
      </w:r>
    </w:p>
    <w:p>
      <w:pPr>
        <w:pStyle w:val="23"/>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color w:val="000000"/>
          <w:lang w:eastAsia="zh-CN"/>
        </w:rPr>
      </w:pPr>
    </w:p>
    <w:p>
      <w:pPr>
        <w:pStyle w:val="23"/>
        <w:keepNext w:val="0"/>
        <w:keepLines w:val="0"/>
        <w:pageBreakBefore w:val="0"/>
        <w:widowControl/>
        <w:kinsoku/>
        <w:wordWrap/>
        <w:overflowPunct/>
        <w:topLinePunct w:val="0"/>
        <w:autoSpaceDE/>
        <w:autoSpaceDN/>
        <w:bidi w:val="0"/>
        <w:adjustRightInd/>
        <w:snapToGrid/>
        <w:spacing w:before="0" w:after="0" w:line="240" w:lineRule="auto"/>
        <w:textAlignment w:val="auto"/>
      </w:pPr>
      <w:r>
        <w:rPr>
          <w:rFonts w:hint="eastAsia"/>
          <w:color w:val="000000"/>
          <w:lang w:eastAsia="zh-CN"/>
        </w:rPr>
        <w:t>本着园区的工作定位，主责主业、招商引资和项目建设，加固社会管理，守住四个底线，加强推进网格化，继续按照“1491”工作思路开展各项工作，坚持党建统领，扩大示范成果，坚守“四”条底线，确保稳定发展，围绕“九项”基础工作，推动高质量发展，高标准完成县委、县政府交办的其他各项重点工作。</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ascii="Times New Roman" w:hAnsi="Times New Roman" w:eastAsia="方正仿宋_GBK" w:cs="Times New Roman"/>
          <w:color w:val="000000"/>
          <w:sz w:val="28"/>
        </w:rPr>
      </w:pP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pPr>
      <w:r>
        <w:rPr>
          <w:rFonts w:ascii="Times New Roman" w:hAnsi="Times New Roman" w:eastAsia="方正仿宋_GBK" w:cs="Times New Roman"/>
          <w:color w:val="000000"/>
          <w:sz w:val="28"/>
        </w:rPr>
        <w:t>（二）</w:t>
      </w:r>
      <w:r>
        <w:rPr>
          <w:rFonts w:hint="eastAsia" w:eastAsia="方正仿宋_GBK" w:cs="Times New Roman"/>
          <w:color w:val="000000"/>
          <w:sz w:val="28"/>
          <w:lang w:eastAsia="zh-CN"/>
        </w:rPr>
        <w:t>、</w:t>
      </w:r>
      <w:r>
        <w:rPr>
          <w:rFonts w:ascii="Times New Roman" w:hAnsi="Times New Roman" w:eastAsia="方正仿宋_GBK" w:cs="Times New Roman"/>
          <w:color w:val="000000"/>
          <w:sz w:val="28"/>
        </w:rPr>
        <w:t>分项绩效目标</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eastAsia="方正仿宋_GBK"/>
          <w:color w:val="000000"/>
          <w:sz w:val="28"/>
          <w:lang w:eastAsia="zh-CN"/>
        </w:rPr>
      </w:pP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1、</w:t>
      </w:r>
      <w:r>
        <w:rPr>
          <w:rFonts w:hint="eastAsia" w:eastAsia="方正仿宋_GBK"/>
          <w:color w:val="000000"/>
          <w:sz w:val="28"/>
          <w:lang w:eastAsia="zh-CN"/>
        </w:rPr>
        <w:t>坚持党建统领，扩大示范成果</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eastAsia="zh-CN"/>
        </w:rPr>
        <w:t>坚决</w:t>
      </w:r>
      <w:bookmarkStart w:id="3" w:name="_GoBack"/>
      <w:bookmarkEnd w:id="3"/>
      <w:r>
        <w:rPr>
          <w:rFonts w:hint="eastAsia" w:eastAsia="方正仿宋_GBK"/>
          <w:color w:val="000000"/>
          <w:sz w:val="28"/>
          <w:lang w:eastAsia="zh-CN"/>
        </w:rPr>
        <w:t>维护党中央权威和集中统一领导各项制度，严守政治纪律和政治规矩，综合提升政治理论素养，坚定不移把牢政治方向，严肃党内政治生活。</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2、</w:t>
      </w:r>
      <w:r>
        <w:rPr>
          <w:rFonts w:hint="eastAsia" w:eastAsia="方正仿宋_GBK"/>
          <w:color w:val="000000"/>
          <w:sz w:val="28"/>
          <w:lang w:eastAsia="zh-CN"/>
        </w:rPr>
        <w:t>坚守“四”条底线，确保稳定发展</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(1)</w:t>
      </w:r>
      <w:r>
        <w:rPr>
          <w:rFonts w:hint="eastAsia" w:eastAsia="方正仿宋_GBK"/>
          <w:color w:val="000000"/>
          <w:sz w:val="28"/>
          <w:lang w:eastAsia="zh-CN"/>
        </w:rPr>
        <w:t>.安全生产方面。通过建立安全生产长效机制，围绕做“明白人、操心人、智能人”，充分发挥网格化管理作用。</w:t>
      </w:r>
      <w:r>
        <w:rPr>
          <w:rFonts w:hint="eastAsia" w:eastAsia="方正仿宋_GBK"/>
          <w:color w:val="000000"/>
          <w:sz w:val="28"/>
          <w:lang w:val="en-US" w:eastAsia="zh-CN"/>
        </w:rPr>
        <w:t>(</w:t>
      </w:r>
      <w:r>
        <w:rPr>
          <w:rFonts w:hint="eastAsia" w:eastAsia="方正仿宋_GBK"/>
          <w:color w:val="000000"/>
          <w:sz w:val="28"/>
          <w:lang w:eastAsia="zh-CN"/>
        </w:rPr>
        <w:t>2</w:t>
      </w:r>
      <w:r>
        <w:rPr>
          <w:rFonts w:hint="eastAsia" w:eastAsia="方正仿宋_GBK"/>
          <w:color w:val="000000"/>
          <w:sz w:val="28"/>
          <w:lang w:val="en-US" w:eastAsia="zh-CN"/>
        </w:rPr>
        <w:t>)</w:t>
      </w:r>
      <w:r>
        <w:rPr>
          <w:rFonts w:hint="eastAsia" w:eastAsia="方正仿宋_GBK"/>
          <w:color w:val="000000"/>
          <w:sz w:val="28"/>
          <w:lang w:eastAsia="zh-CN"/>
        </w:rPr>
        <w:t>.环境保护方面。以加强培训为抓手，采取会商研判机制为抓手，以信息化建设为抓手，日常检查和联合检查为抓手。</w:t>
      </w:r>
      <w:r>
        <w:rPr>
          <w:rFonts w:hint="eastAsia" w:eastAsia="方正仿宋_GBK"/>
          <w:color w:val="000000"/>
          <w:sz w:val="28"/>
          <w:lang w:val="en-US" w:eastAsia="zh-CN"/>
        </w:rPr>
        <w:t>(</w:t>
      </w:r>
      <w:r>
        <w:rPr>
          <w:rFonts w:hint="eastAsia" w:eastAsia="方正仿宋_GBK"/>
          <w:color w:val="000000"/>
          <w:sz w:val="28"/>
          <w:lang w:eastAsia="zh-CN"/>
        </w:rPr>
        <w:t>3</w:t>
      </w:r>
      <w:r>
        <w:rPr>
          <w:rFonts w:hint="eastAsia" w:eastAsia="方正仿宋_GBK"/>
          <w:color w:val="000000"/>
          <w:sz w:val="28"/>
          <w:lang w:val="en-US" w:eastAsia="zh-CN"/>
        </w:rPr>
        <w:t>)</w:t>
      </w:r>
      <w:r>
        <w:rPr>
          <w:rFonts w:hint="eastAsia" w:eastAsia="方正仿宋_GBK"/>
          <w:color w:val="000000"/>
          <w:sz w:val="28"/>
          <w:lang w:eastAsia="zh-CN"/>
        </w:rPr>
        <w:t>.疫情防控常态化方面。严格按照省、市、县各级疫情防控常态化政策措施，落实“四早”和按照“快、准、全、严、实、好”的要求，分级强化宣传、明确职责、压实责任，常态强化各项措施落实，加强对企业大车司机、流动人口及新民居小区的管理，坚决做到内防反弹，外防输入，确保疫情防控常态化。</w:t>
      </w:r>
      <w:r>
        <w:rPr>
          <w:rFonts w:hint="eastAsia" w:eastAsia="方正仿宋_GBK"/>
          <w:color w:val="000000"/>
          <w:sz w:val="28"/>
          <w:lang w:val="en-US" w:eastAsia="zh-CN"/>
        </w:rPr>
        <w:t>(</w:t>
      </w:r>
      <w:r>
        <w:rPr>
          <w:rFonts w:hint="eastAsia" w:eastAsia="方正仿宋_GBK"/>
          <w:color w:val="000000"/>
          <w:sz w:val="28"/>
          <w:lang w:eastAsia="zh-CN"/>
        </w:rPr>
        <w:t>4</w:t>
      </w:r>
      <w:r>
        <w:rPr>
          <w:rFonts w:hint="eastAsia" w:eastAsia="方正仿宋_GBK"/>
          <w:color w:val="000000"/>
          <w:sz w:val="28"/>
          <w:lang w:val="en-US" w:eastAsia="zh-CN"/>
        </w:rPr>
        <w:t>)</w:t>
      </w:r>
      <w:r>
        <w:rPr>
          <w:rFonts w:hint="eastAsia" w:eastAsia="方正仿宋_GBK"/>
          <w:color w:val="000000"/>
          <w:sz w:val="28"/>
          <w:lang w:eastAsia="zh-CN"/>
        </w:rPr>
        <w:t>.社会稳定方面。开发区网格长、网格员、片警三位一体，不间断的深入企业一线，收集诸如征地租地、青苗补偿、员工纠纷、工伤纠纷等信访隐患，认真梳理找原因、仔细分析找办法，确保小事不出格、大事不出区、难事不出县。</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3、</w:t>
      </w:r>
      <w:r>
        <w:rPr>
          <w:rFonts w:hint="eastAsia" w:eastAsia="方正仿宋_GBK"/>
          <w:color w:val="000000"/>
          <w:sz w:val="28"/>
          <w:lang w:eastAsia="zh-CN"/>
        </w:rPr>
        <w:t>围绕“九项”基础工作，推动高质量发展</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1</w:t>
      </w:r>
      <w:r>
        <w:rPr>
          <w:rFonts w:hint="eastAsia" w:eastAsia="方正仿宋_GBK"/>
          <w:color w:val="000000"/>
          <w:sz w:val="28"/>
          <w:lang w:val="en-US" w:eastAsia="zh-CN"/>
        </w:rPr>
        <w:t>)</w:t>
      </w:r>
      <w:r>
        <w:rPr>
          <w:rFonts w:hint="eastAsia" w:eastAsia="方正仿宋_GBK"/>
          <w:color w:val="000000"/>
          <w:sz w:val="28"/>
          <w:lang w:eastAsia="zh-CN"/>
        </w:rPr>
        <w:t>.做优园区规划方面。一是完成园区产业发展规划的编制和评审，围绕主导产业、新兴产业开展充分调查研究，根据园区产业发展要求，科学谋划，进一步优化调整产业结构；二是完成园区环境影响评价和区域节能评价编写和评审，通过简化审批环节和优化审批流程，全面提高节能审查审批效率，不断优化营商环境，提升行政效率。</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2</w:t>
      </w:r>
      <w:r>
        <w:rPr>
          <w:rFonts w:hint="eastAsia" w:eastAsia="方正仿宋_GBK"/>
          <w:color w:val="000000"/>
          <w:sz w:val="28"/>
          <w:lang w:val="en-US" w:eastAsia="zh-CN"/>
        </w:rPr>
        <w:t>)</w:t>
      </w:r>
      <w:r>
        <w:rPr>
          <w:rFonts w:hint="eastAsia" w:eastAsia="方正仿宋_GBK"/>
          <w:color w:val="000000"/>
          <w:sz w:val="28"/>
          <w:lang w:eastAsia="zh-CN"/>
        </w:rPr>
        <w:t>.完善基础配套方面。一是蒸汽管网建设，根据企业实际需求，推进年内尽快完成蒸汽管网建设，在降低企业生产成本的同时，确保实现节能减排。二是加快“标准地”模式实施，结合先进开发区经验，完成并实施我县项目投资“标准地”落地模式的实施方案。三是随项目建设发展需要，协调动态保障水、电、气、排污等生产要素供应。四是加快基础设施提升，一是完成园区雨水管网及排水渠改造升级工程，切实解决道路雨水不畅。二是加快实施基础设施提升改造工作，及时启动一期工程建设，择机开展基础设施提升改造建设项目的二期工程实施，不断完善基础设施，提升整体面貌。</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3</w:t>
      </w:r>
      <w:r>
        <w:rPr>
          <w:rFonts w:hint="eastAsia" w:eastAsia="方正仿宋_GBK"/>
          <w:color w:val="000000"/>
          <w:sz w:val="28"/>
          <w:lang w:val="en-US" w:eastAsia="zh-CN"/>
        </w:rPr>
        <w:t>)</w:t>
      </w:r>
      <w:r>
        <w:rPr>
          <w:rFonts w:hint="eastAsia" w:eastAsia="方正仿宋_GBK"/>
          <w:color w:val="000000"/>
          <w:sz w:val="28"/>
          <w:lang w:eastAsia="zh-CN"/>
        </w:rPr>
        <w:t>.推进“园中园”建设方面。一是加快富康新兴产业园一期招商工作，为入园项目提供全方位服务，确保产业园及时驻商，加快启动和保障二期供地建设，确保年底前建成并开展招商和项目入驻工作。二是加快高端紧固件产业园建设步伐，力争4月底前一期全面建成投产，一期5个项目年底前全面入统；加快高端紧固件产业园二期招商和项目建设推进，力争年底前二期全面建成投产；三是加快阀门制造产业园规划建设，待国土空间规划确定边界后，及时启动前期立项、环评和招商及建设工作。四是装备制造产业园规划建设，待国土空间规划确定边界后，及时启动前期立项、环评和招商及建设工作。</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4</w:t>
      </w:r>
      <w:r>
        <w:rPr>
          <w:rFonts w:hint="eastAsia" w:eastAsia="方正仿宋_GBK"/>
          <w:color w:val="000000"/>
          <w:sz w:val="28"/>
          <w:lang w:val="en-US" w:eastAsia="zh-CN"/>
        </w:rPr>
        <w:t>)</w:t>
      </w:r>
      <w:r>
        <w:rPr>
          <w:rFonts w:hint="eastAsia" w:eastAsia="方正仿宋_GBK"/>
          <w:color w:val="000000"/>
          <w:sz w:val="28"/>
          <w:lang w:eastAsia="zh-CN"/>
        </w:rPr>
        <w:t>.加大园区招商力度和项目落地建设。一是开发区坚持招商引资和项目建设作为推动发展的“一号工程”，坚持“内生”和“外引”并重，通过围绕“全员招商、专业招商、领导带队”三项举措，形成领导示范、全员参与、强化跟踪、加速落地的园区项目大招商格局。三个招商分局针对四个园中园进行招商，每年至少引进8个投资1亿元以上优质项目和16个电子类、阀门类或其他轻工类项目。二是坚持以全面服务项目需求为导向，通过全员招商引资、加快项目推进、加强项目指标考核，加快项目建设全流程保障。</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5</w:t>
      </w:r>
      <w:r>
        <w:rPr>
          <w:rFonts w:hint="eastAsia" w:eastAsia="方正仿宋_GBK"/>
          <w:color w:val="000000"/>
          <w:sz w:val="28"/>
          <w:lang w:val="en-US" w:eastAsia="zh-CN"/>
        </w:rPr>
        <w:t>)</w:t>
      </w:r>
      <w:r>
        <w:rPr>
          <w:rFonts w:hint="eastAsia" w:eastAsia="方正仿宋_GBK"/>
          <w:color w:val="000000"/>
          <w:sz w:val="28"/>
          <w:lang w:eastAsia="zh-CN"/>
        </w:rPr>
        <w:t>.完成开发区扩区工作。加快同省市沟通对接，与国土空间规划编制和规划环评编制同步启动开发区优化整合商城工业区和增扩规划面积工作。</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6</w:t>
      </w:r>
      <w:r>
        <w:rPr>
          <w:rFonts w:hint="eastAsia" w:eastAsia="方正仿宋_GBK"/>
          <w:color w:val="000000"/>
          <w:sz w:val="28"/>
          <w:lang w:val="en-US" w:eastAsia="zh-CN"/>
        </w:rPr>
        <w:t>)</w:t>
      </w:r>
      <w:r>
        <w:rPr>
          <w:rFonts w:hint="eastAsia" w:eastAsia="方正仿宋_GBK"/>
          <w:color w:val="000000"/>
          <w:sz w:val="28"/>
          <w:lang w:eastAsia="zh-CN"/>
        </w:rPr>
        <w:t>.加快停产停建企业处置盘活。按照司法拍卖程序、破产重整、破产清算、自救、对外出租盘等方式进行相关企业的处置工作，全年完成处置盘活6到8家。</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7</w:t>
      </w:r>
      <w:r>
        <w:rPr>
          <w:rFonts w:hint="eastAsia" w:eastAsia="方正仿宋_GBK"/>
          <w:color w:val="000000"/>
          <w:sz w:val="28"/>
          <w:lang w:val="en-US" w:eastAsia="zh-CN"/>
        </w:rPr>
        <w:t>)</w:t>
      </w:r>
      <w:r>
        <w:rPr>
          <w:rFonts w:hint="eastAsia" w:eastAsia="方正仿宋_GBK"/>
          <w:color w:val="000000"/>
          <w:sz w:val="28"/>
          <w:lang w:eastAsia="zh-CN"/>
        </w:rPr>
        <w:t>.加快开发区改革进度。针对我县开发区人事薪酬改革进展较慢问题，将继续走出去解放思想，到先进地区开发区学习借鉴更多成功经验，完成切实可行的工作方案，将工作做实做细，确保改革一次成功。</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val="en-US" w:eastAsia="zh-CN"/>
        </w:rPr>
        <w:t>(</w:t>
      </w:r>
      <w:r>
        <w:rPr>
          <w:rFonts w:hint="eastAsia" w:eastAsia="方正仿宋_GBK"/>
          <w:color w:val="000000"/>
          <w:sz w:val="28"/>
          <w:lang w:eastAsia="zh-CN"/>
        </w:rPr>
        <w:t>8</w:t>
      </w:r>
      <w:r>
        <w:rPr>
          <w:rFonts w:hint="eastAsia" w:eastAsia="方正仿宋_GBK"/>
          <w:color w:val="000000"/>
          <w:sz w:val="28"/>
          <w:lang w:val="en-US" w:eastAsia="zh-CN"/>
        </w:rPr>
        <w:t>)</w:t>
      </w:r>
      <w:r>
        <w:rPr>
          <w:rFonts w:hint="eastAsia" w:eastAsia="方正仿宋_GBK"/>
          <w:color w:val="000000"/>
          <w:sz w:val="28"/>
          <w:lang w:eastAsia="zh-CN"/>
        </w:rPr>
        <w:t>.建设服务平台方面。一是依托富康新兴产业园建成厂房，建设申报电子信息产业科技企业孵化器，助推新兴产业招商、聚集和快速发展。二是在西区建成产业服务众创空间基础上加快市场运作，加快引进在外贸、金融、保险、软件、科技、电子商务、物流配送、信息咨询等方面孵化全方位产业服务链条。三是建设“智慧园区”，利用大数据、物联网、工业互联网对园区经济指标、环保、安全生产、单位能耗、循环利用、市政管理、风险分析等数据实时在线监控调度等新一代信息技术与园区建设、产业发展、管理服务深度融合。四是推动东区阀门检测中心落地建设步伐。通过加快推动土地收储、挂牌、办证、申报、建设等流程进度，确保阀门检测中心尽快建成。五是实施东区阀门产业联盟中心建设，通过引进高校和科研院所在开发区设立各类博士、院士工作站，并引进各类阀门销售类、外贸类和产业服务类公司拎包入驻，快速扩大阀门销售规模和加强对外贸易，解决研发、生产、销售链条的良性循环，为阀门产业联盟日常工作开展提供高效的一站式筹办服务和高端商协会办公和高等院校科研场地。六是加强经开恒达公司市场化运营。充分利用市场化手段，推动经开恒达公司有效资产注入，有计划、有步骤的推进国有资产盘活、投融资、僵尸企业接盘及承接部分园中园开发和园区服务设施建设运营等工作，逐步实现公司自主造血和自负盈亏的市场主体功能，为开发区下一步健康发展注入新活力。</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pPr>
      <w:r>
        <w:rPr>
          <w:rFonts w:hint="eastAsia" w:eastAsia="方正仿宋_GBK"/>
          <w:color w:val="000000"/>
          <w:sz w:val="28"/>
          <w:lang w:val="en-US" w:eastAsia="zh-CN"/>
        </w:rPr>
        <w:t>(</w:t>
      </w:r>
      <w:r>
        <w:rPr>
          <w:rFonts w:hint="eastAsia" w:eastAsia="方正仿宋_GBK"/>
          <w:color w:val="000000"/>
          <w:sz w:val="28"/>
          <w:lang w:eastAsia="zh-CN"/>
        </w:rPr>
        <w:t>9</w:t>
      </w:r>
      <w:r>
        <w:rPr>
          <w:rFonts w:hint="eastAsia" w:eastAsia="方正仿宋_GBK"/>
          <w:color w:val="000000"/>
          <w:sz w:val="28"/>
          <w:lang w:val="en-US" w:eastAsia="zh-CN"/>
        </w:rPr>
        <w:t>)</w:t>
      </w:r>
      <w:r>
        <w:rPr>
          <w:rFonts w:hint="eastAsia" w:eastAsia="方正仿宋_GBK"/>
          <w:color w:val="000000"/>
          <w:sz w:val="28"/>
          <w:lang w:eastAsia="zh-CN"/>
        </w:rPr>
        <w:t>.强化示范引领方面。及时启动国家级“绿色园区”申报工作。</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color w:val="000000"/>
          <w:sz w:val="28"/>
        </w:rPr>
        <w:t>（三）工作保障措施</w:t>
      </w:r>
    </w:p>
    <w:p>
      <w:pPr>
        <w:pStyle w:val="24"/>
        <w:keepNext w:val="0"/>
        <w:keepLines w:val="0"/>
        <w:pageBreakBefore w:val="0"/>
        <w:widowControl/>
        <w:kinsoku/>
        <w:wordWrap/>
        <w:overflowPunct/>
        <w:topLinePunct w:val="0"/>
        <w:autoSpaceDE/>
        <w:autoSpaceDN/>
        <w:bidi w:val="0"/>
        <w:adjustRightInd/>
        <w:snapToGrid/>
        <w:spacing w:before="0" w:after="0" w:line="240" w:lineRule="auto"/>
        <w:textAlignment w:val="auto"/>
      </w:pP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eastAsia="方正仿宋_GBK"/>
          <w:color w:val="000000"/>
          <w:sz w:val="28"/>
          <w:lang w:eastAsia="zh-CN"/>
        </w:rPr>
      </w:pPr>
      <w:r>
        <w:rPr>
          <w:rFonts w:hint="eastAsia" w:eastAsia="方正仿宋_GBK"/>
          <w:color w:val="000000"/>
          <w:sz w:val="28"/>
          <w:lang w:eastAsia="zh-CN"/>
        </w:rPr>
        <w:t>强化责任，确保落实。对每一项工作目标任务，尚未落实的再次进行量化细化、逐一分解，定任务、定时间，明确责任，集中精力打好攻坚战。</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eastAsia="方正仿宋_GBK"/>
          <w:lang w:val="en-US" w:eastAsia="zh-CN"/>
        </w:rPr>
        <w:sectPr>
          <w:pgSz w:w="16840" w:h="11900" w:orient="landscape"/>
          <w:pgMar w:top="1361" w:right="1020" w:bottom="1361" w:left="1020" w:header="720" w:footer="720" w:gutter="0"/>
          <w:cols w:space="720" w:num="1"/>
        </w:sectPr>
      </w:pPr>
      <w:r>
        <w:rPr>
          <w:rFonts w:hint="eastAsia" w:eastAsia="方正仿宋_GBK"/>
          <w:color w:val="000000"/>
          <w:sz w:val="28"/>
          <w:lang w:eastAsia="zh-CN"/>
        </w:rPr>
        <w:t>理清思路,重点突击。明确目标任务中哪些是重点和难点工作，确定责任领导，强化工作措施，进行重点突击。严格工作制度，完善工作措施，杜绝工作漏洞，加大督导检查，消除监管薄弱环节，确保重点工作措施到位</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640" w:firstLineChars="0"/>
        <w:jc w:val="left"/>
        <w:textAlignment w:val="auto"/>
        <w:outlineLvl w:val="2"/>
        <w:rPr>
          <w:rFonts w:hint="eastAsia" w:ascii="黑体" w:hAnsi="黑体" w:eastAsia="黑体" w:cs="黑体"/>
          <w:color w:val="000000"/>
          <w:sz w:val="32"/>
          <w:lang w:val="en-US" w:eastAsia="zh-CN"/>
        </w:rPr>
      </w:pPr>
      <w:bookmarkStart w:id="1" w:name="_Toc_3_3_0000000015"/>
      <w:r>
        <w:rPr>
          <w:rFonts w:ascii="黑体" w:hAnsi="黑体" w:eastAsia="黑体" w:cs="黑体"/>
          <w:color w:val="000000"/>
          <w:sz w:val="32"/>
        </w:rPr>
        <w:t>部门主管专项资金预算安排情况及绩效目标</w:t>
      </w:r>
      <w:bookmarkEnd w:id="1"/>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numPr>
          <w:ilvl w:val="0"/>
          <w:numId w:val="2"/>
        </w:numPr>
        <w:spacing w:before="10" w:after="10" w:line="360" w:lineRule="auto"/>
        <w:ind w:left="0" w:leftChars="0" w:firstLine="640" w:firstLineChars="0"/>
        <w:jc w:val="left"/>
        <w:outlineLvl w:val="2"/>
        <w:rPr>
          <w:rFonts w:ascii="黑体" w:hAnsi="黑体" w:eastAsia="黑体" w:cs="黑体"/>
          <w:color w:val="000000"/>
          <w:sz w:val="32"/>
        </w:rPr>
      </w:pPr>
      <w:bookmarkStart w:id="2" w:name="_Toc_3_3_0000000016"/>
      <w:r>
        <w:rPr>
          <w:rFonts w:ascii="黑体" w:hAnsi="黑体" w:eastAsia="黑体" w:cs="黑体"/>
          <w:color w:val="000000"/>
          <w:sz w:val="32"/>
        </w:rPr>
        <w:t>部门项目预算安排情况及绩效目标</w:t>
      </w:r>
      <w:bookmarkEnd w:id="2"/>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1、2024年电子信息产业园项目资金绩效目标表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项目编码</w:t>
            </w:r>
          </w:p>
        </w:tc>
        <w:tc>
          <w:tcPr>
            <w:tcW w:w="4228" w:type="dxa"/>
            <w:gridSpan w:val="2"/>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13042424P001PDR10388R</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项目名称</w:t>
            </w:r>
          </w:p>
        </w:tc>
        <w:tc>
          <w:tcPr>
            <w:tcW w:w="6342" w:type="dxa"/>
            <w:gridSpan w:val="3"/>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2024年电子信息产业园项目资金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预算规模及资金用途</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预算数</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4000.00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其中：财政    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4000.00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其他资金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用于支付电子信息产业园项目资金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资金支出计划（%）</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6月底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10月底</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1000.00</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2000.00</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3000.00</w:t>
            </w: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4000.00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绩效目标</w:t>
            </w: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1.满足企业租赁需求及洁净车间改造投入使用</w:t>
            </w:r>
          </w:p>
        </w:tc>
      </w:tr>
    </w:tbl>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一级指标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二级指标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三级指标</w:t>
            </w:r>
          </w:p>
        </w:tc>
        <w:tc>
          <w:tcPr>
            <w:tcW w:w="4228"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绩效指标描述</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产出指标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数量指标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租赁厂房总面积</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租赁厂房总面积</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48128平米</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合同签订租赁面积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成本指标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每月厂房租赁成本</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每月厂房租赁成本</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17元/月</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合同签订租赁费用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时效指标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租赁费具体拨付时间</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租赁费具体拨付时间</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到账后2日内支付</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数量指标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疫情防控期间租赁面积</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疫情防控期间租赁面积</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14600平方</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合同签订租赁面积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成本指标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疫情防控期间租赁成本</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疫情防控期间租赁成本</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12元/月</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合同签订租赁费用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质量指标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工程验收合格率</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场地设备验收合格率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≥95百分比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成本指标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洁净车间改造、净化设备、防静电地坪、供电设施等综合补贴成本</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洁净车间改造、净化设备、防静电地坪、供电设施等综合补贴成本</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800元/平方</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合同签订租赁面积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数量指标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洁净车间改造、净化设备、防静电地坪、供电设施等综合补贴面积</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洁净车间改造、净化设备、防静电地坪、供电设施等综合补贴面积</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48128平方</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合同签订租赁费用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经济效益指标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社会效益指标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促进经济发展</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促进经济发展</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生态效益指标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促进区域经济发展社会稳定</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促进区域经济发展社会稳定</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可持续影响指标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提供优质服务促进就业</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提供优质服务促进就业</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≥90百分比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2、2024年经济开发区党委应急值守视频指挥调度系统及信息技术服务费绩效目标表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项目编码</w:t>
            </w:r>
          </w:p>
        </w:tc>
        <w:tc>
          <w:tcPr>
            <w:tcW w:w="4228" w:type="dxa"/>
            <w:gridSpan w:val="2"/>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13042424P001PDR10212P</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项目名称</w:t>
            </w:r>
          </w:p>
        </w:tc>
        <w:tc>
          <w:tcPr>
            <w:tcW w:w="6342" w:type="dxa"/>
            <w:gridSpan w:val="3"/>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2024年经济开发区党委应急值守视频指挥调度系统及信息技术服务费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预算规模及资金用途</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预算数</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5.00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其中：财政    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5.00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其他资金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用于支付应急指挥调度值班系统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资金支出计划（%）</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6月底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10月底</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5.00</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 xml:space="preserve"> </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 xml:space="preserve"> </w:t>
            </w: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绩效目标</w:t>
            </w: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1.提高应急事件响应处置效率</w:t>
            </w:r>
          </w:p>
        </w:tc>
      </w:tr>
    </w:tbl>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一级指标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二级指标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三级指标</w:t>
            </w:r>
          </w:p>
        </w:tc>
        <w:tc>
          <w:tcPr>
            <w:tcW w:w="4228"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绩效指标描述</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产出指标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数量指标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安装视频指挥调度系统数量</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安装视频指挥调度系统数量</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1套</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安装协议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质量指标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系统设备验收率</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系统设备验收率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≥98百分比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时效指标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系统安装完成时间</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系统安装完成时间</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≤3天</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成本指标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每年信息技术服务费成本</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每年信息技术服务费成本</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≤5万元</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安装协议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经济效益指标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不涉及</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社会效益指标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提高应急值守指挥调度能力和水平</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提高应急值守指挥调度能力和水平</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有所提高</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生态效益指标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不涉及</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可持续影响指标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提高应急事件响应处置效率</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提高应急事件响应处置效率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有所提高</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≥98百分比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调查表</w:t>
            </w: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3、2024年园区企业环卫工人工资绩效目标表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项目编码</w:t>
            </w:r>
          </w:p>
        </w:tc>
        <w:tc>
          <w:tcPr>
            <w:tcW w:w="4228" w:type="dxa"/>
            <w:gridSpan w:val="2"/>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13042424P001PDR102114</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项目名称</w:t>
            </w:r>
          </w:p>
        </w:tc>
        <w:tc>
          <w:tcPr>
            <w:tcW w:w="6342" w:type="dxa"/>
            <w:gridSpan w:val="3"/>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2024年园区企业环卫工人工资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预算规模及资金用途</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预算数</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419.40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其中：财政    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419.40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其他资金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用于支付园区企业环卫工人工资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资金支出计划（%）</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6月底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10月底</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104.85</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209.70</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314.55</w:t>
            </w: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419.40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绩效目标</w:t>
            </w: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1.保证企业环卫工人工资发放到位、园区企业环境卫生得到改善，有利于提升园区营商环境</w:t>
            </w:r>
          </w:p>
        </w:tc>
      </w:tr>
    </w:tbl>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一级指标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二级指标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三级指标</w:t>
            </w:r>
          </w:p>
        </w:tc>
        <w:tc>
          <w:tcPr>
            <w:tcW w:w="4228"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绩效指标描述</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产出指标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数量指标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环卫工人人数</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环卫工人人数</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699名</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成本指标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每人每月发放标准</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每人每月工资发放标准</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500元</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时效指标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完成日期</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完成日期</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每月月底前</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质量指标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工资发放率</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≥98百分比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经济效益指标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社会效益指标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使企业环境得到改善</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使企业环境得到改善</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生态效益指标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改善园区环境</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改善园区环境</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定期调查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可持续影响指标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提升园区营商环境、维护社会稳定情况</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提升园区营商环境、维护社会稳定情况</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定期调查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受益对象满意度</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受益对象满意度</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≥95百分比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4、2024年招商引资工作经费绩效目标表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项目编码</w:t>
            </w:r>
          </w:p>
        </w:tc>
        <w:tc>
          <w:tcPr>
            <w:tcW w:w="4228" w:type="dxa"/>
            <w:gridSpan w:val="2"/>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13042424P0056E811206T</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项目名称</w:t>
            </w:r>
          </w:p>
        </w:tc>
        <w:tc>
          <w:tcPr>
            <w:tcW w:w="6342" w:type="dxa"/>
            <w:gridSpan w:val="3"/>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2024年招商引资工作经费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预算规模及资金用途</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预算数</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500.00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其中：财政    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500.00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其他资金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用于支付招商引资工资经费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资金支出计划（%）</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6月底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10月底</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125.00</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250.00</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375.00</w:t>
            </w: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绩效目标</w:t>
            </w: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1.确保招商引资工作取得良好效果</w:t>
            </w:r>
          </w:p>
        </w:tc>
      </w:tr>
    </w:tbl>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一级指标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二级指标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三级指标</w:t>
            </w:r>
          </w:p>
        </w:tc>
        <w:tc>
          <w:tcPr>
            <w:tcW w:w="4228"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绩效指标描述</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产出指标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数量指标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招商组工作人员数量</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招商组工作人员数量</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15人</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成本指标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招商组每人费用</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招商组每人费用</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≤416000元</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质量指标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经费的发放率</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经费的发放率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资金到位后2日内转入工作经费</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时效指标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经费使用期限</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经费使用期限</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356天</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经济效益指标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实现招商引资高质量发展、促进经济进一步发展</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实现招商引资高质量发展、促进经济进一步发展</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社会效益指标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捕捉招商信息、推动产业迈向高端水平、高效服务企业</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捕捉招商信息、推动产业迈向高端水平、高效服务企业</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生态效益指标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招引项目必须环保、安全、能耗等达标、投入产出比优秀</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招引项目必须环保、安全、能耗等达标、投入产出比优秀</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可持续影响指标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打造营商环境健全机制、提升服务新水平</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打造营商环境健全机制、提升服务新水平</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≥98百分比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5、包干经费绩效目标表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项目编码</w:t>
            </w:r>
          </w:p>
        </w:tc>
        <w:tc>
          <w:tcPr>
            <w:tcW w:w="4228" w:type="dxa"/>
            <w:gridSpan w:val="2"/>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13042424P0056E811183M</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项目名称</w:t>
            </w:r>
          </w:p>
        </w:tc>
        <w:tc>
          <w:tcPr>
            <w:tcW w:w="6342" w:type="dxa"/>
            <w:gridSpan w:val="3"/>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包干经费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预算规模及资金用途</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预算数</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600.00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其中：财政    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600.00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其他资金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资金支出计划（%）</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6月底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10月底</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150.00</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450.00</w:t>
            </w: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绩效目标</w:t>
            </w: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1.单位职工工资及时足额发放到职工银行卡，养老保险及时缴纳、保证单位正常运行</w:t>
            </w:r>
          </w:p>
        </w:tc>
      </w:tr>
    </w:tbl>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一级指标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二级指标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三级指标</w:t>
            </w:r>
          </w:p>
        </w:tc>
        <w:tc>
          <w:tcPr>
            <w:tcW w:w="4228"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绩效指标描述</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产出指标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数量指标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工资发放人数</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工资发放人数</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180人</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实际转账凭证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成本指标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工资、养老保险等发放</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工资、养老保险等发放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每人每月工资发放标准</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实际转账凭证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质量指标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工资发放率</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≥95百分比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时效指标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工资按时支付、费用及时兑付</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工资按时支付、费用及时兑付</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工资按时支付、费用及时兑付</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经济效益指标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社会效益指标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保障工作正常运行、保障在职人员工资收入</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保障工作正常运行、保障在职人员工资收入</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保障工作正常运行、保障在职人员工资积极性</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可持续影响指标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改善环境、有效提升营商环境</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改善环境、有效提升营商环境</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生态效益指标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改善环境、有效提升营商环境</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改善环境、有效提升营商环境</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全区企业职工对开发区的满意度</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全区企业职工对开发区的满意度</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≥95百分比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方正仿宋_GBK" w:hAnsi="方正仿宋_GBK" w:eastAsia="方正仿宋_GBK" w:cs="方正仿宋_GBK"/>
          <w:b/>
          <w:color w:val="000000"/>
          <w:sz w:val="28"/>
        </w:rPr>
        <w:t>6、包干经费绩效目标表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项目编码</w:t>
            </w:r>
          </w:p>
        </w:tc>
        <w:tc>
          <w:tcPr>
            <w:tcW w:w="4228" w:type="dxa"/>
            <w:gridSpan w:val="2"/>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13042424P0056E8111849</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项目名称</w:t>
            </w:r>
          </w:p>
        </w:tc>
        <w:tc>
          <w:tcPr>
            <w:tcW w:w="6342" w:type="dxa"/>
            <w:gridSpan w:val="3"/>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包干经费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预算规模及资金用途</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预算数</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600.00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其中：财政    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600.00</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其他资金</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包干经费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资金支出计划（%）</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3月底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6月底</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10月底</w:t>
            </w:r>
          </w:p>
        </w:tc>
        <w:tc>
          <w:tcPr>
            <w:tcW w:w="4228"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150.00</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300.00</w:t>
            </w:r>
          </w:p>
        </w:tc>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450.00</w:t>
            </w:r>
          </w:p>
        </w:tc>
        <w:tc>
          <w:tcPr>
            <w:tcW w:w="4228" w:type="dxa"/>
            <w:gridSpan w:val="2"/>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绩效目标</w:t>
            </w:r>
          </w:p>
        </w:tc>
        <w:tc>
          <w:tcPr>
            <w:tcW w:w="12684" w:type="dxa"/>
            <w:gridSpan w:val="6"/>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1.单位职工工资及时足额发放到职工银行卡，养老保险及时缴纳、保证单位正常运行、改善提升营商环境</w:t>
            </w:r>
          </w:p>
        </w:tc>
      </w:tr>
    </w:tbl>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一级指标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二级指标</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三级指标</w:t>
            </w:r>
          </w:p>
        </w:tc>
        <w:tc>
          <w:tcPr>
            <w:tcW w:w="4228"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绩效指标描述</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w:t>
            </w:r>
          </w:p>
        </w:tc>
        <w:tc>
          <w:tcPr>
            <w:tcW w:w="2114"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产出指标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数量指标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工资发放人数</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工资发放人数</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180人</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实际转账凭证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成本指标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工资、养老保险等发放</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工资、养老保险等发放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每人每月工资发放标准</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实际转账凭证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数量指标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绿化带日常维护面积</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绿化带日常维护面积</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594660平方</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成本指标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绿化带日常维护费用</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绿化带日常维护费用</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≤180万元</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质量指标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工资发放率</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工资发放率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≥95百分比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质量指标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维护费用兑付率</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维护费用兑付率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≥95百分比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时效指标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工资按时支付、费用及时兑付</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工资按时支付、费用及时兑付</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工资按时支付、费用及时兑付</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资金请示报告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经济效益指标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该项目不涉及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社会效益指标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保障工作正常运行、保障在职人员工资收入</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保障工作正常运行、保障在职人员工资收入</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保障工作正常运行、保障在职人员工资积极性</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可持续影响指标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改善环境、有效提升营商环境</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改善环境、有效提升营商环境</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生态效益指标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改善环境、有效提升营商环境</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改善环境、有效提升营商环境</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效果明显</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keepNext w:val="0"/>
              <w:keepLines w:val="0"/>
              <w:pageBreakBefore w:val="0"/>
              <w:widowControl/>
              <w:kinsoku/>
              <w:wordWrap/>
              <w:overflowPunct/>
              <w:topLinePunct w:val="0"/>
              <w:autoSpaceDE/>
              <w:autoSpaceDN/>
              <w:bidi w:val="0"/>
              <w:adjustRightInd/>
              <w:snapToGrid/>
              <w:spacing w:before="0" w:after="0" w:line="240" w:lineRule="auto"/>
              <w:textAlignment w:val="auto"/>
            </w:pPr>
            <w:r>
              <w:t>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服务对象满意度指标</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全区企业职工对开发区的满意度</w:t>
            </w:r>
          </w:p>
        </w:tc>
        <w:tc>
          <w:tcPr>
            <w:tcW w:w="4228"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全区企业职工对开发区的满意度</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≥95百分比</w:t>
            </w:r>
          </w:p>
        </w:tc>
        <w:tc>
          <w:tcPr>
            <w:tcW w:w="2114" w:type="dxa"/>
            <w:vAlign w:val="center"/>
          </w:tcPr>
          <w:p>
            <w:pPr>
              <w:pStyle w:val="13"/>
              <w:keepNext w:val="0"/>
              <w:keepLines w:val="0"/>
              <w:pageBreakBefore w:val="0"/>
              <w:widowControl/>
              <w:kinsoku/>
              <w:wordWrap/>
              <w:overflowPunct/>
              <w:topLinePunct w:val="0"/>
              <w:autoSpaceDE/>
              <w:autoSpaceDN/>
              <w:bidi w:val="0"/>
              <w:adjustRightInd/>
              <w:snapToGrid/>
              <w:spacing w:before="0" w:after="0" w:line="240" w:lineRule="auto"/>
              <w:textAlignment w:val="auto"/>
            </w:pPr>
            <w:r>
              <w:t>走访调查</w:t>
            </w:r>
          </w:p>
        </w:tc>
      </w:tr>
    </w:tbl>
    <w:p>
      <w:pPr>
        <w:keepNext w:val="0"/>
        <w:keepLines w:val="0"/>
        <w:pageBreakBefore w:val="0"/>
        <w:widowControl/>
        <w:kinsoku/>
        <w:wordWrap/>
        <w:overflowPunct/>
        <w:topLinePunct w:val="0"/>
        <w:autoSpaceDE/>
        <w:autoSpaceDN/>
        <w:bidi w:val="0"/>
        <w:adjustRightInd/>
        <w:snapToGrid/>
        <w:spacing w:line="240" w:lineRule="auto"/>
        <w:textAlignment w:val="auto"/>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5"/>
      </w:pPr>
      <w:r>
        <w:rPr>
          <w:rFonts w:ascii="黑体" w:hAnsi="黑体" w:eastAsia="黑体" w:cs="黑体"/>
          <w:color w:val="000000"/>
          <w:sz w:val="32"/>
        </w:rPr>
        <w:t>六、政府采购预算情况</w:t>
      </w:r>
    </w:p>
    <w:p>
      <w:pPr>
        <w:spacing w:line="500" w:lineRule="exact"/>
        <w:ind w:firstLine="560"/>
        <w:rPr>
          <w:rFonts w:ascii="方正小标宋_GBK" w:hAnsi="方正小标宋_GBK" w:eastAsia="方正小标宋_GBK" w:cs="方正小标宋_GBK"/>
          <w:color w:val="000000"/>
          <w:sz w:val="36"/>
        </w:rPr>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年，成安经济开发区管理委员会安排政府采购预算</w:t>
      </w:r>
      <w:r>
        <w:rPr>
          <w:rFonts w:hint="eastAsia" w:eastAsia="方正仿宋_GBK" w:cs="Times New Roman"/>
          <w:color w:val="000000"/>
          <w:sz w:val="28"/>
          <w:lang w:eastAsia="zh-CN"/>
        </w:rPr>
        <w:t>1</w:t>
      </w:r>
      <w:r>
        <w:rPr>
          <w:rFonts w:eastAsia="方正仿宋_GBK" w:cs="Times New Roman"/>
          <w:color w:val="000000"/>
          <w:sz w:val="28"/>
        </w:rPr>
        <w:t>万元。具体内容见下表。</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pPr>
            <w:r>
              <w:t>810001成安经济开发区管理委员会本级</w:t>
            </w:r>
          </w:p>
        </w:tc>
        <w:tc>
          <w:tcPr>
            <w:tcW w:w="7888" w:type="dxa"/>
            <w:gridSpan w:val="8"/>
            <w:tcBorders>
              <w:top w:val="single" w:color="FFFFFF" w:sz="6" w:space="0"/>
              <w:left w:val="single" w:color="FFFFFF" w:sz="6" w:space="0"/>
              <w:right w:val="single" w:color="FFFFFF" w:sz="6" w:space="0"/>
            </w:tcBorders>
            <w:vAlign w:val="center"/>
          </w:tcPr>
          <w:p>
            <w:pPr>
              <w:pStyle w:val="22"/>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政府采购项目来源</w:t>
            </w:r>
          </w:p>
        </w:tc>
        <w:tc>
          <w:tcPr>
            <w:tcW w:w="986"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采购物品名称</w:t>
            </w:r>
          </w:p>
        </w:tc>
        <w:tc>
          <w:tcPr>
            <w:tcW w:w="986"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政府采购目录序号</w:t>
            </w:r>
          </w:p>
        </w:tc>
        <w:tc>
          <w:tcPr>
            <w:tcW w:w="986"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计量  单位</w:t>
            </w:r>
          </w:p>
        </w:tc>
        <w:tc>
          <w:tcPr>
            <w:tcW w:w="986"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数量</w:t>
            </w:r>
          </w:p>
        </w:tc>
        <w:tc>
          <w:tcPr>
            <w:tcW w:w="986"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单价</w:t>
            </w:r>
          </w:p>
        </w:tc>
        <w:tc>
          <w:tcPr>
            <w:tcW w:w="6902" w:type="dxa"/>
            <w:gridSpan w:val="7"/>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政府采购金额（当年部门预算安排资金）</w:t>
            </w:r>
          </w:p>
        </w:tc>
        <w:tc>
          <w:tcPr>
            <w:tcW w:w="986"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项目名称</w:t>
            </w:r>
          </w:p>
        </w:tc>
        <w:tc>
          <w:tcPr>
            <w:tcW w:w="98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预算    资金</w:t>
            </w:r>
          </w:p>
        </w:tc>
        <w:tc>
          <w:tcPr>
            <w:tcW w:w="986"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986"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986"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986"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986"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c>
          <w:tcPr>
            <w:tcW w:w="98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合计</w:t>
            </w:r>
          </w:p>
        </w:tc>
        <w:tc>
          <w:tcPr>
            <w:tcW w:w="98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一般公共预算拨款</w:t>
            </w:r>
          </w:p>
        </w:tc>
        <w:tc>
          <w:tcPr>
            <w:tcW w:w="98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基金预算拨款</w:t>
            </w:r>
          </w:p>
        </w:tc>
        <w:tc>
          <w:tcPr>
            <w:tcW w:w="98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国有资本经营预算拨款</w:t>
            </w:r>
          </w:p>
        </w:tc>
        <w:tc>
          <w:tcPr>
            <w:tcW w:w="98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财政专户核拨</w:t>
            </w:r>
          </w:p>
        </w:tc>
        <w:tc>
          <w:tcPr>
            <w:tcW w:w="98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单位    资金</w:t>
            </w:r>
          </w:p>
        </w:tc>
        <w:tc>
          <w:tcPr>
            <w:tcW w:w="986"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上年结转结余</w:t>
            </w:r>
          </w:p>
        </w:tc>
        <w:tc>
          <w:tcPr>
            <w:tcW w:w="986"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ind w:firstLine="0" w:firstLineChars="0"/>
              <w:rPr>
                <w:rFonts w:hint="eastAsia" w:eastAsia="方正书宋_GBK"/>
                <w:lang w:val="en-US" w:eastAsia="zh-CN"/>
              </w:rPr>
            </w:pPr>
            <w:r>
              <w:rPr>
                <w:rFonts w:hint="eastAsia"/>
                <w:lang w:val="en-US" w:eastAsia="zh-CN"/>
              </w:rPr>
              <w:t>合计</w:t>
            </w: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spacing w:line="280" w:lineRule="exact"/>
              <w:rPr>
                <w:rFonts w:hint="eastAsia" w:ascii="宋体" w:hAnsi="宋体" w:eastAsia="宋体" w:cstheme="minorBidi"/>
                <w:sz w:val="24"/>
                <w:szCs w:val="24"/>
                <w:lang w:val="en-US" w:eastAsia="zh-CN" w:bidi="ar-SA"/>
              </w:rPr>
            </w:pPr>
            <w:r>
              <w:rPr>
                <w:rFonts w:hint="eastAsia" w:ascii="宋体" w:hAnsi="宋体" w:eastAsia="宋体"/>
                <w:lang w:eastAsia="zh-CN"/>
              </w:rPr>
              <w:t>电脑、打印机</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ascii="仿宋" w:hAnsi="仿宋" w:eastAsia="仿宋"/>
                <w:lang w:eastAsia="zh-CN"/>
              </w:rPr>
              <w:t>A02010102</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2</w:t>
            </w: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日常公用经费</w:t>
            </w:r>
          </w:p>
        </w:tc>
        <w:tc>
          <w:tcPr>
            <w:tcW w:w="986"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spacing w:line="280" w:lineRule="exact"/>
              <w:rPr>
                <w:rFonts w:ascii="宋体" w:hAnsi="宋体" w:eastAsia="宋体" w:cstheme="minorBidi"/>
                <w:sz w:val="24"/>
                <w:szCs w:val="24"/>
                <w:lang w:val="en-US" w:eastAsia="zh-CN" w:bidi="ar-SA"/>
              </w:rPr>
            </w:pPr>
            <w:r>
              <w:rPr>
                <w:rFonts w:hint="eastAsia" w:ascii="宋体" w:hAnsi="宋体" w:eastAsia="宋体"/>
                <w:lang w:eastAsia="zh-CN"/>
              </w:rPr>
              <w:t>电脑、打印机</w:t>
            </w:r>
          </w:p>
        </w:tc>
        <w:tc>
          <w:tcPr>
            <w:tcW w:w="986"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ascii="仿宋" w:hAnsi="仿宋" w:eastAsia="仿宋"/>
                <w:lang w:eastAsia="zh-CN"/>
              </w:rPr>
              <w:t>A02010102</w:t>
            </w:r>
          </w:p>
        </w:tc>
        <w:tc>
          <w:tcPr>
            <w:tcW w:w="986"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986"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bl>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rPr>
          <w:rFonts w:ascii="Times New Roman" w:hAnsi="Times New Roman" w:eastAsia="方正仿宋_GBK" w:cs="Times New Roman"/>
          <w:b w:val="0"/>
          <w:color w:val="000000"/>
          <w:sz w:val="28"/>
        </w:rPr>
      </w:pP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成安经济开发区管理委员会本级上年末固定资产金额为</w:t>
      </w:r>
      <w:r>
        <w:rPr>
          <w:rFonts w:hint="eastAsia" w:eastAsia="方正仿宋_GBK" w:cs="Times New Roman"/>
          <w:b w:val="0"/>
          <w:color w:val="000000"/>
          <w:sz w:val="28"/>
          <w:lang w:val="en-US" w:eastAsia="zh-CN"/>
        </w:rPr>
        <w:t>793.19</w:t>
      </w:r>
      <w:r>
        <w:rPr>
          <w:rFonts w:ascii="Times New Roman" w:hAnsi="Times New Roman" w:eastAsia="方正仿宋_GBK" w:cs="Times New Roman"/>
          <w:b w:val="0"/>
          <w:color w:val="000000"/>
          <w:sz w:val="28"/>
        </w:rPr>
        <w:t>万元（详见下表）。本年度拟购置固定资产总额为</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.00万元，已按要求列入政府采购预算，详见政府采购预算表。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line="240" w:lineRule="auto"/>
              <w:textAlignment w:val="auto"/>
            </w:pPr>
            <w:r>
              <w:t>810001成安经济开发区管理委员会本级</w:t>
            </w:r>
          </w:p>
        </w:tc>
        <w:tc>
          <w:tcPr>
            <w:tcW w:w="9866"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before="0" w:after="0" w:line="240" w:lineRule="auto"/>
              <w:textAlignment w:val="auto"/>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项   目</w:t>
            </w:r>
          </w:p>
        </w:tc>
        <w:tc>
          <w:tcPr>
            <w:tcW w:w="493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数量</w:t>
            </w:r>
          </w:p>
        </w:tc>
        <w:tc>
          <w:tcPr>
            <w:tcW w:w="4933" w:type="dxa"/>
            <w:vAlign w:val="center"/>
          </w:tcPr>
          <w:p>
            <w:pPr>
              <w:pStyle w:val="11"/>
              <w:keepNext w:val="0"/>
              <w:keepLines w:val="0"/>
              <w:pageBreakBefore w:val="0"/>
              <w:widowControl/>
              <w:kinsoku/>
              <w:wordWrap/>
              <w:overflowPunct/>
              <w:topLinePunct w:val="0"/>
              <w:autoSpaceDE/>
              <w:autoSpaceDN/>
              <w:bidi w:val="0"/>
              <w:adjustRightInd/>
              <w:snapToGrid/>
              <w:spacing w:before="0" w:after="0" w:line="240" w:lineRule="auto"/>
              <w:textAlignment w:val="auto"/>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tabs>
                <w:tab w:val="left" w:pos="1451"/>
              </w:tabs>
              <w:ind w:firstLine="0" w:firstLineChars="0"/>
              <w:rPr>
                <w:rFonts w:ascii="方正书宋_GBK" w:hAnsi="方正书宋_GBK" w:eastAsia="方正书宋_GBK" w:cs="方正书宋_GBK"/>
                <w:sz w:val="21"/>
                <w:szCs w:val="24"/>
                <w:lang w:val="en-US" w:eastAsia="zh-CN" w:bidi="ar-SA"/>
              </w:rPr>
            </w:pPr>
            <w:r>
              <w:rPr>
                <w:rFonts w:hint="eastAsia"/>
                <w:lang w:eastAsia="zh-CN"/>
              </w:rPr>
              <w:tab/>
            </w:r>
            <w:r>
              <w:rPr>
                <w:rFonts w:hint="eastAsia"/>
                <w:lang w:eastAsia="zh-CN"/>
              </w:rPr>
              <w:t>资产总额</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793.19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tabs>
                <w:tab w:val="left" w:pos="1451"/>
              </w:tabs>
              <w:ind w:firstLine="0" w:firstLineChars="0"/>
              <w:rPr>
                <w:rFonts w:ascii="方正书宋_GBK" w:hAnsi="方正书宋_GBK" w:eastAsia="方正书宋_GBK" w:cs="方正书宋_GBK"/>
                <w:sz w:val="21"/>
                <w:szCs w:val="24"/>
                <w:lang w:val="en-US" w:eastAsia="zh-CN" w:bidi="ar-SA"/>
              </w:rPr>
            </w:pPr>
            <w:r>
              <w:rPr>
                <w:rFonts w:ascii="宋体" w:hAnsi="宋体" w:eastAsia="宋体" w:cs="宋体"/>
                <w:sz w:val="22"/>
              </w:rPr>
              <w:t>1</w:t>
            </w:r>
            <w:r>
              <w:rPr>
                <w:rFonts w:hint="eastAsia" w:ascii="宋体" w:hAnsi="宋体" w:eastAsia="宋体" w:cs="宋体"/>
                <w:sz w:val="22"/>
              </w:rPr>
              <w:t>、房屋（平方米）</w:t>
            </w:r>
          </w:p>
        </w:tc>
        <w:tc>
          <w:tcPr>
            <w:tcW w:w="4933" w:type="dxa"/>
            <w:vAlign w:val="center"/>
          </w:tcPr>
          <w:p>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850</w:t>
            </w:r>
          </w:p>
        </w:tc>
        <w:tc>
          <w:tcPr>
            <w:tcW w:w="4933"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327.77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tabs>
                <w:tab w:val="left" w:pos="1451"/>
              </w:tabs>
              <w:ind w:firstLine="0" w:firstLineChars="0"/>
              <w:rPr>
                <w:rFonts w:ascii="方正书宋_GBK" w:hAnsi="方正书宋_GBK" w:eastAsia="方正书宋_GBK" w:cs="方正书宋_GBK"/>
                <w:sz w:val="21"/>
                <w:szCs w:val="24"/>
                <w:lang w:val="en-US" w:eastAsia="zh-CN" w:bidi="ar-SA"/>
              </w:rPr>
            </w:pPr>
            <w:r>
              <w:rPr>
                <w:rFonts w:hint="eastAsia" w:ascii="宋体" w:hAnsi="宋体" w:eastAsia="宋体" w:cs="宋体"/>
                <w:sz w:val="22"/>
              </w:rPr>
              <w:t>其中：办公用房（平方米）</w:t>
            </w:r>
          </w:p>
        </w:tc>
        <w:tc>
          <w:tcPr>
            <w:tcW w:w="4933" w:type="dxa"/>
            <w:vAlign w:val="center"/>
          </w:tcPr>
          <w:p>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850</w:t>
            </w:r>
          </w:p>
        </w:tc>
        <w:tc>
          <w:tcPr>
            <w:tcW w:w="4933"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327.77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tabs>
                <w:tab w:val="left" w:pos="1451"/>
              </w:tabs>
              <w:ind w:firstLine="0" w:firstLineChars="0"/>
              <w:rPr>
                <w:rFonts w:ascii="方正书宋_GBK" w:hAnsi="方正书宋_GBK" w:eastAsia="方正书宋_GBK" w:cs="方正书宋_GBK"/>
                <w:sz w:val="21"/>
                <w:szCs w:val="24"/>
                <w:lang w:val="en-US" w:eastAsia="zh-CN" w:bidi="ar-SA"/>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4933"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val="en-US" w:eastAsia="zh-CN"/>
              </w:rPr>
              <w:t>57</w:t>
            </w:r>
            <w:r>
              <w:rPr>
                <w:rFonts w:hint="eastAsia"/>
                <w:lang w:eastAsia="zh-CN"/>
              </w:rPr>
              <w:t>.44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tabs>
                <w:tab w:val="left" w:pos="1451"/>
              </w:tabs>
              <w:ind w:firstLine="0" w:firstLineChars="0"/>
              <w:rPr>
                <w:rFonts w:ascii="方正书宋_GBK" w:hAnsi="方正书宋_GBK" w:eastAsia="方正书宋_GBK" w:cs="方正书宋_GBK"/>
                <w:sz w:val="21"/>
                <w:szCs w:val="24"/>
                <w:lang w:val="en-US" w:eastAsia="zh-CN" w:bidi="ar-SA"/>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4933" w:type="dxa"/>
            <w:vAlign w:val="center"/>
          </w:tcPr>
          <w:p>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0</w:t>
            </w:r>
          </w:p>
        </w:tc>
        <w:tc>
          <w:tcPr>
            <w:tcW w:w="4933" w:type="dxa"/>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tabs>
                <w:tab w:val="left" w:pos="1451"/>
              </w:tabs>
              <w:ind w:firstLine="0" w:firstLineChars="0"/>
              <w:rPr>
                <w:rFonts w:ascii="方正书宋_GBK" w:hAnsi="方正书宋_GBK" w:eastAsia="方正书宋_GBK" w:cs="方正书宋_GBK"/>
                <w:sz w:val="21"/>
                <w:szCs w:val="24"/>
                <w:lang w:val="en-US" w:eastAsia="zh-CN" w:bidi="ar-SA"/>
              </w:rPr>
            </w:pPr>
            <w:r>
              <w:rPr>
                <w:rFonts w:ascii="宋体" w:hAnsi="宋体" w:eastAsia="宋体" w:cs="宋体"/>
                <w:sz w:val="22"/>
              </w:rPr>
              <w:t>4</w:t>
            </w:r>
            <w:r>
              <w:rPr>
                <w:rFonts w:hint="eastAsia" w:ascii="宋体" w:hAnsi="宋体" w:eastAsia="宋体" w:cs="宋体"/>
                <w:sz w:val="22"/>
              </w:rPr>
              <w:t>、其他固定资产</w:t>
            </w:r>
          </w:p>
        </w:tc>
        <w:tc>
          <w:tcPr>
            <w:tcW w:w="4933" w:type="dxa"/>
            <w:vAlign w:val="center"/>
          </w:tcPr>
          <w:p>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550</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407.98</w:t>
            </w:r>
          </w:p>
        </w:tc>
      </w:tr>
    </w:tbl>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outlineLvl w:val="9"/>
        <w:rPr>
          <w:rFonts w:hint="eastAsia"/>
          <w:lang w:val="en-US" w:eastAsia="zh-CN"/>
        </w:rPr>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BF9E5"/>
    <w:multiLevelType w:val="singleLevel"/>
    <w:tmpl w:val="CF1BF9E5"/>
    <w:lvl w:ilvl="0" w:tentative="0">
      <w:start w:val="2"/>
      <w:numFmt w:val="chineseCounting"/>
      <w:suff w:val="nothing"/>
      <w:lvlText w:val="%1、"/>
      <w:lvlJc w:val="left"/>
      <w:rPr>
        <w:rFonts w:hint="eastAsia"/>
      </w:rPr>
    </w:lvl>
  </w:abstractNum>
  <w:abstractNum w:abstractNumId="1">
    <w:nsid w:val="FD48AF1F"/>
    <w:multiLevelType w:val="singleLevel"/>
    <w:tmpl w:val="FD48AF1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YTY0NjRlMWRiODEwNmQxNTJkYzMwMGRlNGM2YTkifQ=="/>
  </w:docVars>
  <w:rsids>
    <w:rsidRoot w:val="00000000"/>
    <w:rsid w:val="14006B61"/>
    <w:rsid w:val="1DBD42E6"/>
    <w:rsid w:val="23F57E9E"/>
    <w:rsid w:val="29684CDC"/>
    <w:rsid w:val="2B875FD1"/>
    <w:rsid w:val="301C6EA1"/>
    <w:rsid w:val="36CF7A08"/>
    <w:rsid w:val="3FC76DC7"/>
    <w:rsid w:val="453A58C9"/>
    <w:rsid w:val="61156CF2"/>
    <w:rsid w:val="6211064A"/>
    <w:rsid w:val="67DADAC3"/>
    <w:rsid w:val="6AFA6898"/>
    <w:rsid w:val="6CBA519B"/>
    <w:rsid w:val="7B9B3C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2024-03-06T17:17:00Z</dcterms:created>
  <dc:creator>Administrator</dc:creator>
  <cp:lastModifiedBy>Administrator</cp:lastModifiedBy>
  <dcterms:modified xsi:type="dcterms:W3CDTF">2024-03-21T06:07:08Z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596A7A7468EA4B11B15AAC1DB2FC4867_12</vt:lpwstr>
  </property>
</Properties>
</file>