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807成安县栢寺营乡政府</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604.45</w:t>
            </w:r>
          </w:p>
        </w:tc>
        <w:tc>
          <w:tcPr>
            <w:tcW w:w="4535" w:type="dxa"/>
            <w:vAlign w:val="center"/>
          </w:tcPr>
          <w:p>
            <w:pPr>
              <w:pStyle w:val="14"/>
            </w:pPr>
            <w:r>
              <w:t>一、一般公共服务支出</w:t>
            </w:r>
          </w:p>
        </w:tc>
        <w:tc>
          <w:tcPr>
            <w:tcW w:w="2126" w:type="dxa"/>
            <w:vAlign w:val="center"/>
          </w:tcPr>
          <w:p>
            <w:pPr>
              <w:pStyle w:val="13"/>
            </w:pPr>
            <w:r>
              <w:t>458.23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604.45</w:t>
            </w:r>
          </w:p>
        </w:tc>
        <w:tc>
          <w:tcPr>
            <w:tcW w:w="4535" w:type="dxa"/>
            <w:vAlign w:val="center"/>
          </w:tcPr>
          <w:p>
            <w:pPr>
              <w:pStyle w:val="16"/>
            </w:pPr>
            <w:r>
              <w:t>本年支出合计</w:t>
            </w:r>
          </w:p>
        </w:tc>
        <w:tc>
          <w:tcPr>
            <w:tcW w:w="2126" w:type="dxa"/>
            <w:vAlign w:val="center"/>
          </w:tcPr>
          <w:p>
            <w:pPr>
              <w:pStyle w:val="17"/>
            </w:pPr>
            <w:r>
              <w:t>604.45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604.45</w:t>
            </w:r>
          </w:p>
        </w:tc>
        <w:tc>
          <w:tcPr>
            <w:tcW w:w="4535" w:type="dxa"/>
            <w:vAlign w:val="center"/>
          </w:tcPr>
          <w:p>
            <w:pPr>
              <w:pStyle w:val="16"/>
            </w:pPr>
            <w:r>
              <w:t>支出总计</w:t>
            </w:r>
          </w:p>
        </w:tc>
        <w:tc>
          <w:tcPr>
            <w:tcW w:w="2126" w:type="dxa"/>
            <w:vAlign w:val="center"/>
          </w:tcPr>
          <w:p>
            <w:pPr>
              <w:pStyle w:val="17"/>
            </w:pPr>
            <w:r>
              <w:t>604.45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604.45</w:t>
            </w:r>
          </w:p>
        </w:tc>
        <w:tc>
          <w:tcPr>
            <w:tcW w:w="1134" w:type="dxa"/>
            <w:vAlign w:val="center"/>
          </w:tcPr>
          <w:p>
            <w:pPr>
              <w:pStyle w:val="17"/>
            </w:pPr>
            <w:r>
              <w:t>604.45</w:t>
            </w:r>
          </w:p>
        </w:tc>
        <w:tc>
          <w:tcPr>
            <w:tcW w:w="1134" w:type="dxa"/>
            <w:vAlign w:val="center"/>
          </w:tcPr>
          <w:p>
            <w:pPr>
              <w:pStyle w:val="17"/>
            </w:pPr>
            <w:r>
              <w:t>604.45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458.23</w:t>
            </w:r>
          </w:p>
        </w:tc>
        <w:tc>
          <w:tcPr>
            <w:tcW w:w="1134" w:type="dxa"/>
            <w:vAlign w:val="center"/>
          </w:tcPr>
          <w:p>
            <w:pPr>
              <w:pStyle w:val="13"/>
            </w:pPr>
            <w:r>
              <w:t>458.23</w:t>
            </w:r>
          </w:p>
        </w:tc>
        <w:tc>
          <w:tcPr>
            <w:tcW w:w="1134" w:type="dxa"/>
            <w:vAlign w:val="center"/>
          </w:tcPr>
          <w:p>
            <w:pPr>
              <w:pStyle w:val="13"/>
            </w:pPr>
            <w:r>
              <w:t>458.23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420.23</w:t>
            </w:r>
          </w:p>
        </w:tc>
        <w:tc>
          <w:tcPr>
            <w:tcW w:w="1134" w:type="dxa"/>
            <w:vAlign w:val="center"/>
          </w:tcPr>
          <w:p>
            <w:pPr>
              <w:pStyle w:val="13"/>
            </w:pPr>
            <w:r>
              <w:t>420.23</w:t>
            </w:r>
          </w:p>
        </w:tc>
        <w:tc>
          <w:tcPr>
            <w:tcW w:w="1134" w:type="dxa"/>
            <w:vAlign w:val="center"/>
          </w:tcPr>
          <w:p>
            <w:pPr>
              <w:pStyle w:val="13"/>
            </w:pPr>
            <w:r>
              <w:t>420.23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405.23</w:t>
            </w:r>
          </w:p>
        </w:tc>
        <w:tc>
          <w:tcPr>
            <w:tcW w:w="1134" w:type="dxa"/>
            <w:vAlign w:val="center"/>
          </w:tcPr>
          <w:p>
            <w:pPr>
              <w:pStyle w:val="13"/>
            </w:pPr>
            <w:r>
              <w:t>405.23</w:t>
            </w:r>
          </w:p>
        </w:tc>
        <w:tc>
          <w:tcPr>
            <w:tcW w:w="1134" w:type="dxa"/>
            <w:vAlign w:val="center"/>
          </w:tcPr>
          <w:p>
            <w:pPr>
              <w:pStyle w:val="13"/>
            </w:pPr>
            <w:r>
              <w:t>405.23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64.24</w:t>
            </w:r>
          </w:p>
        </w:tc>
        <w:tc>
          <w:tcPr>
            <w:tcW w:w="1134" w:type="dxa"/>
            <w:vAlign w:val="center"/>
          </w:tcPr>
          <w:p>
            <w:pPr>
              <w:pStyle w:val="13"/>
            </w:pPr>
            <w:r>
              <w:t>64.24</w:t>
            </w:r>
          </w:p>
        </w:tc>
        <w:tc>
          <w:tcPr>
            <w:tcW w:w="1134" w:type="dxa"/>
            <w:vAlign w:val="center"/>
          </w:tcPr>
          <w:p>
            <w:pPr>
              <w:pStyle w:val="13"/>
            </w:pPr>
            <w:r>
              <w:t>64.24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62.90</w:t>
            </w:r>
          </w:p>
        </w:tc>
        <w:tc>
          <w:tcPr>
            <w:tcW w:w="1134" w:type="dxa"/>
            <w:vAlign w:val="center"/>
          </w:tcPr>
          <w:p>
            <w:pPr>
              <w:pStyle w:val="13"/>
            </w:pPr>
            <w:r>
              <w:t>62.90</w:t>
            </w:r>
          </w:p>
        </w:tc>
        <w:tc>
          <w:tcPr>
            <w:tcW w:w="1134" w:type="dxa"/>
            <w:vAlign w:val="center"/>
          </w:tcPr>
          <w:p>
            <w:pPr>
              <w:pStyle w:val="13"/>
            </w:pPr>
            <w:r>
              <w:t>62.90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19.40</w:t>
            </w:r>
          </w:p>
        </w:tc>
        <w:tc>
          <w:tcPr>
            <w:tcW w:w="1134" w:type="dxa"/>
            <w:vAlign w:val="center"/>
          </w:tcPr>
          <w:p>
            <w:pPr>
              <w:pStyle w:val="13"/>
            </w:pPr>
            <w:r>
              <w:t>19.40</w:t>
            </w:r>
          </w:p>
        </w:tc>
        <w:tc>
          <w:tcPr>
            <w:tcW w:w="1134" w:type="dxa"/>
            <w:vAlign w:val="center"/>
          </w:tcPr>
          <w:p>
            <w:pPr>
              <w:pStyle w:val="13"/>
            </w:pPr>
            <w:r>
              <w:t>19.40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43.50</w:t>
            </w:r>
          </w:p>
        </w:tc>
        <w:tc>
          <w:tcPr>
            <w:tcW w:w="1134" w:type="dxa"/>
            <w:vAlign w:val="center"/>
          </w:tcPr>
          <w:p>
            <w:pPr>
              <w:pStyle w:val="13"/>
            </w:pPr>
            <w:r>
              <w:t>43.50</w:t>
            </w:r>
          </w:p>
        </w:tc>
        <w:tc>
          <w:tcPr>
            <w:tcW w:w="1134" w:type="dxa"/>
            <w:vAlign w:val="center"/>
          </w:tcPr>
          <w:p>
            <w:pPr>
              <w:pStyle w:val="13"/>
            </w:pPr>
            <w:r>
              <w:t>43.50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17.95</w:t>
            </w:r>
          </w:p>
        </w:tc>
        <w:tc>
          <w:tcPr>
            <w:tcW w:w="1134" w:type="dxa"/>
            <w:vAlign w:val="center"/>
          </w:tcPr>
          <w:p>
            <w:pPr>
              <w:pStyle w:val="13"/>
            </w:pPr>
            <w:r>
              <w:t>17.95</w:t>
            </w:r>
          </w:p>
        </w:tc>
        <w:tc>
          <w:tcPr>
            <w:tcW w:w="1134" w:type="dxa"/>
            <w:vAlign w:val="center"/>
          </w:tcPr>
          <w:p>
            <w:pPr>
              <w:pStyle w:val="13"/>
            </w:pPr>
            <w:r>
              <w:t>17.95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17.95</w:t>
            </w:r>
          </w:p>
        </w:tc>
        <w:tc>
          <w:tcPr>
            <w:tcW w:w="1134" w:type="dxa"/>
            <w:vAlign w:val="center"/>
          </w:tcPr>
          <w:p>
            <w:pPr>
              <w:pStyle w:val="13"/>
            </w:pPr>
            <w:r>
              <w:t>17.95</w:t>
            </w:r>
          </w:p>
        </w:tc>
        <w:tc>
          <w:tcPr>
            <w:tcW w:w="1134" w:type="dxa"/>
            <w:vAlign w:val="center"/>
          </w:tcPr>
          <w:p>
            <w:pPr>
              <w:pStyle w:val="13"/>
            </w:pPr>
            <w:r>
              <w:t>17.95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17.95</w:t>
            </w:r>
          </w:p>
        </w:tc>
        <w:tc>
          <w:tcPr>
            <w:tcW w:w="1134" w:type="dxa"/>
            <w:vAlign w:val="center"/>
          </w:tcPr>
          <w:p>
            <w:pPr>
              <w:pStyle w:val="13"/>
            </w:pPr>
            <w:r>
              <w:t>17.95</w:t>
            </w:r>
          </w:p>
        </w:tc>
        <w:tc>
          <w:tcPr>
            <w:tcW w:w="1134" w:type="dxa"/>
            <w:vAlign w:val="center"/>
          </w:tcPr>
          <w:p>
            <w:pPr>
              <w:pStyle w:val="13"/>
            </w:pPr>
            <w:r>
              <w:t>17.95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r>
              <w:t>23.73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604.45</w:t>
            </w:r>
          </w:p>
        </w:tc>
        <w:tc>
          <w:tcPr>
            <w:tcW w:w="1361" w:type="dxa"/>
            <w:vAlign w:val="center"/>
          </w:tcPr>
          <w:p>
            <w:pPr>
              <w:pStyle w:val="17"/>
            </w:pPr>
            <w:r>
              <w:t>390.83</w:t>
            </w:r>
          </w:p>
        </w:tc>
        <w:tc>
          <w:tcPr>
            <w:tcW w:w="1361" w:type="dxa"/>
            <w:vAlign w:val="center"/>
          </w:tcPr>
          <w:p>
            <w:pPr>
              <w:pStyle w:val="17"/>
            </w:pPr>
            <w:r>
              <w:t>213.62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458.23</w:t>
            </w:r>
          </w:p>
        </w:tc>
        <w:tc>
          <w:tcPr>
            <w:tcW w:w="1361" w:type="dxa"/>
            <w:vAlign w:val="center"/>
          </w:tcPr>
          <w:p>
            <w:pPr>
              <w:pStyle w:val="13"/>
            </w:pPr>
            <w:r>
              <w:t>284.91</w:t>
            </w:r>
          </w:p>
        </w:tc>
        <w:tc>
          <w:tcPr>
            <w:tcW w:w="1361" w:type="dxa"/>
            <w:vAlign w:val="center"/>
          </w:tcPr>
          <w:p>
            <w:pPr>
              <w:pStyle w:val="13"/>
            </w:pPr>
            <w:r>
              <w:t>173.32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420.23</w:t>
            </w:r>
          </w:p>
        </w:tc>
        <w:tc>
          <w:tcPr>
            <w:tcW w:w="1361" w:type="dxa"/>
            <w:vAlign w:val="center"/>
          </w:tcPr>
          <w:p>
            <w:pPr>
              <w:pStyle w:val="13"/>
            </w:pPr>
            <w:r>
              <w:t>284.91</w:t>
            </w:r>
          </w:p>
        </w:tc>
        <w:tc>
          <w:tcPr>
            <w:tcW w:w="1361" w:type="dxa"/>
            <w:vAlign w:val="center"/>
          </w:tcPr>
          <w:p>
            <w:pPr>
              <w:pStyle w:val="13"/>
            </w:pPr>
            <w:r>
              <w:t>135.32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405.23</w:t>
            </w:r>
          </w:p>
        </w:tc>
        <w:tc>
          <w:tcPr>
            <w:tcW w:w="1361" w:type="dxa"/>
            <w:vAlign w:val="center"/>
          </w:tcPr>
          <w:p>
            <w:pPr>
              <w:pStyle w:val="13"/>
            </w:pPr>
            <w:r>
              <w:t>284.91</w:t>
            </w:r>
          </w:p>
        </w:tc>
        <w:tc>
          <w:tcPr>
            <w:tcW w:w="1361" w:type="dxa"/>
            <w:vAlign w:val="center"/>
          </w:tcPr>
          <w:p>
            <w:pPr>
              <w:pStyle w:val="13"/>
            </w:pPr>
            <w:r>
              <w:t>120.32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64.24</w:t>
            </w:r>
          </w:p>
        </w:tc>
        <w:tc>
          <w:tcPr>
            <w:tcW w:w="1361" w:type="dxa"/>
            <w:vAlign w:val="center"/>
          </w:tcPr>
          <w:p>
            <w:pPr>
              <w:pStyle w:val="13"/>
            </w:pPr>
            <w:r>
              <w:t>64.24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62.90</w:t>
            </w:r>
          </w:p>
        </w:tc>
        <w:tc>
          <w:tcPr>
            <w:tcW w:w="1361" w:type="dxa"/>
            <w:vAlign w:val="center"/>
          </w:tcPr>
          <w:p>
            <w:pPr>
              <w:pStyle w:val="13"/>
            </w:pPr>
            <w:r>
              <w:t>62.90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19.40</w:t>
            </w:r>
          </w:p>
        </w:tc>
        <w:tc>
          <w:tcPr>
            <w:tcW w:w="1361" w:type="dxa"/>
            <w:vAlign w:val="center"/>
          </w:tcPr>
          <w:p>
            <w:pPr>
              <w:pStyle w:val="13"/>
            </w:pPr>
            <w:r>
              <w:t>19.40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43.50</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17.95</w:t>
            </w:r>
          </w:p>
        </w:tc>
        <w:tc>
          <w:tcPr>
            <w:tcW w:w="1361" w:type="dxa"/>
            <w:vAlign w:val="center"/>
          </w:tcPr>
          <w:p>
            <w:pPr>
              <w:pStyle w:val="13"/>
            </w:pPr>
            <w:r>
              <w:t>17.95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17.95</w:t>
            </w:r>
          </w:p>
        </w:tc>
        <w:tc>
          <w:tcPr>
            <w:tcW w:w="1361" w:type="dxa"/>
            <w:vAlign w:val="center"/>
          </w:tcPr>
          <w:p>
            <w:pPr>
              <w:pStyle w:val="13"/>
            </w:pPr>
            <w:r>
              <w:t>17.95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17.95</w:t>
            </w:r>
          </w:p>
        </w:tc>
        <w:tc>
          <w:tcPr>
            <w:tcW w:w="1361" w:type="dxa"/>
            <w:vAlign w:val="center"/>
          </w:tcPr>
          <w:p>
            <w:pPr>
              <w:pStyle w:val="13"/>
            </w:pPr>
            <w:r>
              <w:t>17.95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23.73</w:t>
            </w:r>
          </w:p>
        </w:tc>
        <w:tc>
          <w:tcPr>
            <w:tcW w:w="1361" w:type="dxa"/>
            <w:vAlign w:val="center"/>
          </w:tcPr>
          <w:p>
            <w:pPr>
              <w:pStyle w:val="13"/>
            </w:pPr>
            <w:r>
              <w:t>23.73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23.73</w:t>
            </w:r>
          </w:p>
        </w:tc>
        <w:tc>
          <w:tcPr>
            <w:tcW w:w="1361" w:type="dxa"/>
            <w:vAlign w:val="center"/>
          </w:tcPr>
          <w:p>
            <w:pPr>
              <w:pStyle w:val="13"/>
            </w:pPr>
            <w:r>
              <w:t>23.73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23.73</w:t>
            </w:r>
          </w:p>
        </w:tc>
        <w:tc>
          <w:tcPr>
            <w:tcW w:w="1361" w:type="dxa"/>
            <w:vAlign w:val="center"/>
          </w:tcPr>
          <w:p>
            <w:pPr>
              <w:pStyle w:val="13"/>
            </w:pPr>
            <w:r>
              <w:t>23.73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604.45</w:t>
            </w:r>
          </w:p>
        </w:tc>
        <w:tc>
          <w:tcPr>
            <w:tcW w:w="3402" w:type="dxa"/>
            <w:vAlign w:val="center"/>
          </w:tcPr>
          <w:p>
            <w:pPr>
              <w:pStyle w:val="14"/>
            </w:pPr>
            <w:r>
              <w:t>一、一般公共服务支出</w:t>
            </w:r>
          </w:p>
        </w:tc>
        <w:tc>
          <w:tcPr>
            <w:tcW w:w="1474" w:type="dxa"/>
            <w:vAlign w:val="center"/>
          </w:tcPr>
          <w:p>
            <w:pPr>
              <w:pStyle w:val="13"/>
            </w:pPr>
            <w:r>
              <w:t>458.23</w:t>
            </w:r>
          </w:p>
        </w:tc>
        <w:tc>
          <w:tcPr>
            <w:tcW w:w="1474" w:type="dxa"/>
            <w:vAlign w:val="center"/>
          </w:tcPr>
          <w:p>
            <w:pPr>
              <w:pStyle w:val="13"/>
            </w:pPr>
            <w:r>
              <w:t>458.23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64.24</w:t>
            </w:r>
          </w:p>
        </w:tc>
        <w:tc>
          <w:tcPr>
            <w:tcW w:w="1474" w:type="dxa"/>
            <w:vAlign w:val="center"/>
          </w:tcPr>
          <w:p>
            <w:pPr>
              <w:pStyle w:val="13"/>
            </w:pPr>
            <w:r>
              <w:t>64.24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17.95</w:t>
            </w:r>
          </w:p>
        </w:tc>
        <w:tc>
          <w:tcPr>
            <w:tcW w:w="1474" w:type="dxa"/>
            <w:vAlign w:val="center"/>
          </w:tcPr>
          <w:p>
            <w:pPr>
              <w:pStyle w:val="13"/>
            </w:pPr>
            <w:r>
              <w:t>17.95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40.30</w:t>
            </w:r>
          </w:p>
        </w:tc>
        <w:tc>
          <w:tcPr>
            <w:tcW w:w="1474" w:type="dxa"/>
            <w:vAlign w:val="center"/>
          </w:tcPr>
          <w:p>
            <w:pPr>
              <w:pStyle w:val="13"/>
            </w:pPr>
            <w:r>
              <w:t>40.30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23.73</w:t>
            </w:r>
          </w:p>
        </w:tc>
        <w:tc>
          <w:tcPr>
            <w:tcW w:w="1474" w:type="dxa"/>
            <w:vAlign w:val="center"/>
          </w:tcPr>
          <w:p>
            <w:pPr>
              <w:pStyle w:val="13"/>
            </w:pPr>
            <w:r>
              <w:t>23.73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604.45</w:t>
            </w:r>
          </w:p>
        </w:tc>
        <w:tc>
          <w:tcPr>
            <w:tcW w:w="3402" w:type="dxa"/>
            <w:vAlign w:val="center"/>
          </w:tcPr>
          <w:p>
            <w:pPr>
              <w:pStyle w:val="16"/>
            </w:pPr>
            <w:r>
              <w:t>本年支出合计</w:t>
            </w:r>
          </w:p>
        </w:tc>
        <w:tc>
          <w:tcPr>
            <w:tcW w:w="1474" w:type="dxa"/>
            <w:vAlign w:val="center"/>
          </w:tcPr>
          <w:p>
            <w:pPr>
              <w:pStyle w:val="17"/>
            </w:pPr>
            <w:r>
              <w:t>604.45</w:t>
            </w:r>
          </w:p>
        </w:tc>
        <w:tc>
          <w:tcPr>
            <w:tcW w:w="1474" w:type="dxa"/>
            <w:vAlign w:val="center"/>
          </w:tcPr>
          <w:p>
            <w:pPr>
              <w:pStyle w:val="17"/>
            </w:pPr>
            <w:r>
              <w:t>604.45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604.45</w:t>
            </w:r>
          </w:p>
        </w:tc>
        <w:tc>
          <w:tcPr>
            <w:tcW w:w="3402" w:type="dxa"/>
            <w:vAlign w:val="center"/>
          </w:tcPr>
          <w:p>
            <w:pPr>
              <w:pStyle w:val="16"/>
            </w:pPr>
            <w:r>
              <w:t>支出总计</w:t>
            </w:r>
          </w:p>
        </w:tc>
        <w:tc>
          <w:tcPr>
            <w:tcW w:w="1474" w:type="dxa"/>
            <w:vAlign w:val="center"/>
          </w:tcPr>
          <w:p>
            <w:pPr>
              <w:pStyle w:val="17"/>
            </w:pPr>
            <w:r>
              <w:t>604.45</w:t>
            </w:r>
          </w:p>
        </w:tc>
        <w:tc>
          <w:tcPr>
            <w:tcW w:w="1474" w:type="dxa"/>
            <w:vAlign w:val="center"/>
          </w:tcPr>
          <w:p>
            <w:pPr>
              <w:pStyle w:val="17"/>
            </w:pPr>
            <w:r>
              <w:t>604.45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604.45</w:t>
            </w:r>
          </w:p>
        </w:tc>
        <w:tc>
          <w:tcPr>
            <w:tcW w:w="2551" w:type="dxa"/>
            <w:vAlign w:val="center"/>
          </w:tcPr>
          <w:p>
            <w:pPr>
              <w:pStyle w:val="17"/>
            </w:pPr>
            <w:r>
              <w:t>390.83</w:t>
            </w:r>
          </w:p>
        </w:tc>
        <w:tc>
          <w:tcPr>
            <w:tcW w:w="2551" w:type="dxa"/>
            <w:vAlign w:val="center"/>
          </w:tcPr>
          <w:p>
            <w:pPr>
              <w:pStyle w:val="17"/>
            </w:pPr>
            <w:r>
              <w:t>213.62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458.23</w:t>
            </w:r>
          </w:p>
        </w:tc>
        <w:tc>
          <w:tcPr>
            <w:tcW w:w="2551" w:type="dxa"/>
            <w:vAlign w:val="center"/>
          </w:tcPr>
          <w:p>
            <w:pPr>
              <w:pStyle w:val="13"/>
            </w:pPr>
            <w:r>
              <w:t>284.91</w:t>
            </w:r>
          </w:p>
        </w:tc>
        <w:tc>
          <w:tcPr>
            <w:tcW w:w="2551" w:type="dxa"/>
            <w:vAlign w:val="center"/>
          </w:tcPr>
          <w:p>
            <w:pPr>
              <w:pStyle w:val="13"/>
            </w:pPr>
            <w:r>
              <w:t>173.32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420.23</w:t>
            </w:r>
          </w:p>
        </w:tc>
        <w:tc>
          <w:tcPr>
            <w:tcW w:w="2551" w:type="dxa"/>
            <w:vAlign w:val="center"/>
          </w:tcPr>
          <w:p>
            <w:pPr>
              <w:pStyle w:val="13"/>
            </w:pPr>
            <w:r>
              <w:t>284.91</w:t>
            </w:r>
          </w:p>
        </w:tc>
        <w:tc>
          <w:tcPr>
            <w:tcW w:w="2551" w:type="dxa"/>
            <w:vAlign w:val="center"/>
          </w:tcPr>
          <w:p>
            <w:pPr>
              <w:pStyle w:val="13"/>
            </w:pPr>
            <w:r>
              <w:t>135.32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405.23</w:t>
            </w:r>
          </w:p>
        </w:tc>
        <w:tc>
          <w:tcPr>
            <w:tcW w:w="2551" w:type="dxa"/>
            <w:vAlign w:val="center"/>
          </w:tcPr>
          <w:p>
            <w:pPr>
              <w:pStyle w:val="13"/>
            </w:pPr>
            <w:r>
              <w:t>284.91</w:t>
            </w:r>
          </w:p>
        </w:tc>
        <w:tc>
          <w:tcPr>
            <w:tcW w:w="2551" w:type="dxa"/>
            <w:vAlign w:val="center"/>
          </w:tcPr>
          <w:p>
            <w:pPr>
              <w:pStyle w:val="13"/>
            </w:pPr>
            <w:r>
              <w:t>120.32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38.00</w:t>
            </w:r>
          </w:p>
        </w:tc>
        <w:tc>
          <w:tcPr>
            <w:tcW w:w="2551" w:type="dxa"/>
            <w:vAlign w:val="center"/>
          </w:tcPr>
          <w:p>
            <w:pPr>
              <w:pStyle w:val="13"/>
            </w:pPr>
          </w:p>
        </w:tc>
        <w:tc>
          <w:tcPr>
            <w:tcW w:w="2551"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38.00</w:t>
            </w:r>
          </w:p>
        </w:tc>
        <w:tc>
          <w:tcPr>
            <w:tcW w:w="2551" w:type="dxa"/>
            <w:vAlign w:val="center"/>
          </w:tcPr>
          <w:p>
            <w:pPr>
              <w:pStyle w:val="13"/>
            </w:pPr>
          </w:p>
        </w:tc>
        <w:tc>
          <w:tcPr>
            <w:tcW w:w="2551"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64.24</w:t>
            </w:r>
          </w:p>
        </w:tc>
        <w:tc>
          <w:tcPr>
            <w:tcW w:w="2551" w:type="dxa"/>
            <w:vAlign w:val="center"/>
          </w:tcPr>
          <w:p>
            <w:pPr>
              <w:pStyle w:val="13"/>
            </w:pPr>
            <w:r>
              <w:t>64.24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62.90</w:t>
            </w:r>
          </w:p>
        </w:tc>
        <w:tc>
          <w:tcPr>
            <w:tcW w:w="2551" w:type="dxa"/>
            <w:vAlign w:val="center"/>
          </w:tcPr>
          <w:p>
            <w:pPr>
              <w:pStyle w:val="13"/>
            </w:pPr>
            <w:r>
              <w:t>62.90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19.40</w:t>
            </w:r>
          </w:p>
        </w:tc>
        <w:tc>
          <w:tcPr>
            <w:tcW w:w="2551" w:type="dxa"/>
            <w:vAlign w:val="center"/>
          </w:tcPr>
          <w:p>
            <w:pPr>
              <w:pStyle w:val="13"/>
            </w:pPr>
            <w:r>
              <w:t>19.40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43.50</w:t>
            </w:r>
          </w:p>
        </w:tc>
        <w:tc>
          <w:tcPr>
            <w:tcW w:w="2551" w:type="dxa"/>
            <w:vAlign w:val="center"/>
          </w:tcPr>
          <w:p>
            <w:pPr>
              <w:pStyle w:val="13"/>
            </w:pPr>
            <w:r>
              <w:t>43.50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17.95</w:t>
            </w:r>
          </w:p>
        </w:tc>
        <w:tc>
          <w:tcPr>
            <w:tcW w:w="2551" w:type="dxa"/>
            <w:vAlign w:val="center"/>
          </w:tcPr>
          <w:p>
            <w:pPr>
              <w:pStyle w:val="13"/>
            </w:pPr>
            <w:r>
              <w:t>17.95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17.95</w:t>
            </w:r>
          </w:p>
        </w:tc>
        <w:tc>
          <w:tcPr>
            <w:tcW w:w="2551" w:type="dxa"/>
            <w:vAlign w:val="center"/>
          </w:tcPr>
          <w:p>
            <w:pPr>
              <w:pStyle w:val="13"/>
            </w:pPr>
            <w:r>
              <w:t>17.95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17.95</w:t>
            </w:r>
          </w:p>
        </w:tc>
        <w:tc>
          <w:tcPr>
            <w:tcW w:w="2551" w:type="dxa"/>
            <w:vAlign w:val="center"/>
          </w:tcPr>
          <w:p>
            <w:pPr>
              <w:pStyle w:val="13"/>
            </w:pPr>
            <w:r>
              <w:t>17.95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40.30</w:t>
            </w:r>
          </w:p>
        </w:tc>
        <w:tc>
          <w:tcPr>
            <w:tcW w:w="2551" w:type="dxa"/>
            <w:vAlign w:val="center"/>
          </w:tcPr>
          <w:p>
            <w:pPr>
              <w:pStyle w:val="13"/>
            </w:pPr>
          </w:p>
        </w:tc>
        <w:tc>
          <w:tcPr>
            <w:tcW w:w="2551"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40.30</w:t>
            </w:r>
          </w:p>
        </w:tc>
        <w:tc>
          <w:tcPr>
            <w:tcW w:w="2551" w:type="dxa"/>
            <w:vAlign w:val="center"/>
          </w:tcPr>
          <w:p>
            <w:pPr>
              <w:pStyle w:val="13"/>
            </w:pPr>
          </w:p>
        </w:tc>
        <w:tc>
          <w:tcPr>
            <w:tcW w:w="2551"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40.30</w:t>
            </w:r>
          </w:p>
        </w:tc>
        <w:tc>
          <w:tcPr>
            <w:tcW w:w="2551" w:type="dxa"/>
            <w:vAlign w:val="center"/>
          </w:tcPr>
          <w:p>
            <w:pPr>
              <w:pStyle w:val="13"/>
            </w:pPr>
          </w:p>
        </w:tc>
        <w:tc>
          <w:tcPr>
            <w:tcW w:w="2551"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23.73</w:t>
            </w:r>
          </w:p>
        </w:tc>
        <w:tc>
          <w:tcPr>
            <w:tcW w:w="2551" w:type="dxa"/>
            <w:vAlign w:val="center"/>
          </w:tcPr>
          <w:p>
            <w:pPr>
              <w:pStyle w:val="13"/>
            </w:pPr>
            <w:r>
              <w:t>23.73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23.73</w:t>
            </w:r>
          </w:p>
        </w:tc>
        <w:tc>
          <w:tcPr>
            <w:tcW w:w="2551" w:type="dxa"/>
            <w:vAlign w:val="center"/>
          </w:tcPr>
          <w:p>
            <w:pPr>
              <w:pStyle w:val="13"/>
            </w:pPr>
            <w:r>
              <w:t>23.73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23.73</w:t>
            </w:r>
          </w:p>
        </w:tc>
        <w:tc>
          <w:tcPr>
            <w:tcW w:w="2551" w:type="dxa"/>
            <w:vAlign w:val="center"/>
          </w:tcPr>
          <w:p>
            <w:pPr>
              <w:pStyle w:val="13"/>
            </w:pPr>
            <w:r>
              <w:t>23.73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390.83</w:t>
            </w:r>
          </w:p>
        </w:tc>
        <w:tc>
          <w:tcPr>
            <w:tcW w:w="2551" w:type="dxa"/>
            <w:vAlign w:val="center"/>
          </w:tcPr>
          <w:p>
            <w:pPr>
              <w:pStyle w:val="17"/>
            </w:pPr>
            <w:r>
              <w:t>361.91</w:t>
            </w:r>
          </w:p>
        </w:tc>
        <w:tc>
          <w:tcPr>
            <w:tcW w:w="2551" w:type="dxa"/>
            <w:vAlign w:val="center"/>
          </w:tcPr>
          <w:p>
            <w:pPr>
              <w:pStyle w:val="17"/>
            </w:pPr>
            <w: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341.17</w:t>
            </w:r>
          </w:p>
        </w:tc>
        <w:tc>
          <w:tcPr>
            <w:tcW w:w="2551" w:type="dxa"/>
            <w:vAlign w:val="center"/>
          </w:tcPr>
          <w:p>
            <w:pPr>
              <w:pStyle w:val="13"/>
            </w:pPr>
            <w:r>
              <w:t>341.17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185.26</w:t>
            </w:r>
          </w:p>
        </w:tc>
        <w:tc>
          <w:tcPr>
            <w:tcW w:w="2551" w:type="dxa"/>
            <w:vAlign w:val="center"/>
          </w:tcPr>
          <w:p>
            <w:pPr>
              <w:pStyle w:val="13"/>
            </w:pPr>
            <w:r>
              <w:t>185.26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58.07</w:t>
            </w:r>
          </w:p>
        </w:tc>
        <w:tc>
          <w:tcPr>
            <w:tcW w:w="2551" w:type="dxa"/>
            <w:vAlign w:val="center"/>
          </w:tcPr>
          <w:p>
            <w:pPr>
              <w:pStyle w:val="13"/>
            </w:pPr>
            <w:r>
              <w:t>58.07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12.02</w:t>
            </w:r>
          </w:p>
        </w:tc>
        <w:tc>
          <w:tcPr>
            <w:tcW w:w="2551" w:type="dxa"/>
            <w:vAlign w:val="center"/>
          </w:tcPr>
          <w:p>
            <w:pPr>
              <w:pStyle w:val="13"/>
            </w:pPr>
            <w:r>
              <w:t>12.02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32.75</w:t>
            </w:r>
          </w:p>
        </w:tc>
        <w:tc>
          <w:tcPr>
            <w:tcW w:w="2551" w:type="dxa"/>
            <w:vAlign w:val="center"/>
          </w:tcPr>
          <w:p>
            <w:pPr>
              <w:pStyle w:val="13"/>
            </w:pPr>
            <w:r>
              <w:t>32.75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17.12</w:t>
            </w:r>
          </w:p>
        </w:tc>
        <w:tc>
          <w:tcPr>
            <w:tcW w:w="2551" w:type="dxa"/>
            <w:vAlign w:val="center"/>
          </w:tcPr>
          <w:p>
            <w:pPr>
              <w:pStyle w:val="13"/>
            </w:pPr>
            <w:r>
              <w:t>17.12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1.47</w:t>
            </w:r>
          </w:p>
        </w:tc>
        <w:tc>
          <w:tcPr>
            <w:tcW w:w="2551" w:type="dxa"/>
            <w:vAlign w:val="center"/>
          </w:tcPr>
          <w:p>
            <w:pPr>
              <w:pStyle w:val="13"/>
            </w:pPr>
            <w:r>
              <w:t>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23.73</w:t>
            </w:r>
          </w:p>
        </w:tc>
        <w:tc>
          <w:tcPr>
            <w:tcW w:w="2551" w:type="dxa"/>
            <w:vAlign w:val="center"/>
          </w:tcPr>
          <w:p>
            <w:pPr>
              <w:pStyle w:val="13"/>
            </w:pPr>
            <w:r>
              <w:t>23.73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10.75</w:t>
            </w:r>
          </w:p>
        </w:tc>
        <w:tc>
          <w:tcPr>
            <w:tcW w:w="2551" w:type="dxa"/>
            <w:vAlign w:val="center"/>
          </w:tcPr>
          <w:p>
            <w:pPr>
              <w:pStyle w:val="13"/>
            </w:pPr>
            <w:r>
              <w:t>10.75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28.92</w:t>
            </w:r>
          </w:p>
        </w:tc>
        <w:tc>
          <w:tcPr>
            <w:tcW w:w="2551" w:type="dxa"/>
            <w:vAlign w:val="center"/>
          </w:tcPr>
          <w:p>
            <w:pPr>
              <w:pStyle w:val="13"/>
            </w:pPr>
          </w:p>
        </w:tc>
        <w:tc>
          <w:tcPr>
            <w:tcW w:w="2551" w:type="dxa"/>
            <w:vAlign w:val="center"/>
          </w:tcPr>
          <w:p>
            <w:pPr>
              <w:pStyle w:val="13"/>
            </w:pPr>
            <w: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0.41</w:t>
            </w:r>
          </w:p>
        </w:tc>
        <w:tc>
          <w:tcPr>
            <w:tcW w:w="2551" w:type="dxa"/>
            <w:vAlign w:val="center"/>
          </w:tcPr>
          <w:p>
            <w:pPr>
              <w:pStyle w:val="13"/>
            </w:pPr>
          </w:p>
        </w:tc>
        <w:tc>
          <w:tcPr>
            <w:tcW w:w="2551" w:type="dxa"/>
            <w:vAlign w:val="center"/>
          </w:tcPr>
          <w:p>
            <w:pPr>
              <w:pStyle w:val="13"/>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5.60</w:t>
            </w:r>
          </w:p>
        </w:tc>
        <w:tc>
          <w:tcPr>
            <w:tcW w:w="2551" w:type="dxa"/>
            <w:vAlign w:val="center"/>
          </w:tcPr>
          <w:p>
            <w:pPr>
              <w:pStyle w:val="13"/>
            </w:pPr>
          </w:p>
        </w:tc>
        <w:tc>
          <w:tcPr>
            <w:tcW w:w="2551"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13.92</w:t>
            </w:r>
          </w:p>
        </w:tc>
        <w:tc>
          <w:tcPr>
            <w:tcW w:w="2551" w:type="dxa"/>
            <w:vAlign w:val="center"/>
          </w:tcPr>
          <w:p>
            <w:pPr>
              <w:pStyle w:val="13"/>
            </w:pPr>
          </w:p>
        </w:tc>
        <w:tc>
          <w:tcPr>
            <w:tcW w:w="2551" w:type="dxa"/>
            <w:vAlign w:val="center"/>
          </w:tcPr>
          <w:p>
            <w:pPr>
              <w:pStyle w:val="13"/>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20.74</w:t>
            </w:r>
          </w:p>
        </w:tc>
        <w:tc>
          <w:tcPr>
            <w:tcW w:w="2551" w:type="dxa"/>
            <w:vAlign w:val="center"/>
          </w:tcPr>
          <w:p>
            <w:pPr>
              <w:pStyle w:val="13"/>
            </w:pPr>
            <w:r>
              <w:t>20.74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19.40</w:t>
            </w:r>
          </w:p>
        </w:tc>
        <w:tc>
          <w:tcPr>
            <w:tcW w:w="2551" w:type="dxa"/>
            <w:vAlign w:val="center"/>
          </w:tcPr>
          <w:p>
            <w:pPr>
              <w:pStyle w:val="13"/>
            </w:pPr>
            <w:r>
              <w:t>19.40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1</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rPr>
                <w:rFonts w:hint="eastAsia"/>
                <w:lang w:eastAsia="zh-CN"/>
              </w:rPr>
              <w:t>1.00</w:t>
            </w:r>
          </w:p>
        </w:tc>
        <w:tc>
          <w:tcPr>
            <w:tcW w:w="1643"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rPr>
                <w:rFonts w:hint="eastAsia"/>
                <w:lang w:eastAsia="zh-CN"/>
              </w:rPr>
              <w:t>1.00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1.00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1.00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成安县栢寺营乡政府2024年部门预算信息公开情况说明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成安县栢寺营乡政府2024年部门预算信息公开情况说明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按照《中华人民共和国预算法》、《地方预决算公开操作规程》和《关于进一步推进预算公开工作的实施意见》规定，现将成安县栢寺营乡政府2024年部门预算公开如下：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widowControl w:val="0"/>
        <w:adjustRightInd w:val="0"/>
        <w:snapToGrid w:val="0"/>
        <w:spacing w:line="580" w:lineRule="exact"/>
        <w:ind w:firstLine="640" w:firstLineChars="200"/>
        <w:rPr>
          <w:rFonts w:ascii="宋体" w:hAnsi="宋体" w:eastAsia="宋体" w:cs="宋体"/>
          <w:sz w:val="28"/>
          <w:szCs w:val="28"/>
        </w:rPr>
      </w:pPr>
      <w:r>
        <w:rPr>
          <w:rFonts w:ascii="方正楷体_GBK" w:hAnsi="方正楷体_GBK" w:eastAsia="方正楷体_GBK" w:cs="方正楷体_GBK"/>
          <w:b/>
          <w:color w:val="000000"/>
          <w:sz w:val="32"/>
        </w:rPr>
        <w:t>部门职责：</w:t>
      </w:r>
      <w:r>
        <w:rPr>
          <w:rFonts w:hint="eastAsia" w:ascii="宋体" w:hAnsi="宋体" w:eastAsia="宋体" w:cs="宋体"/>
          <w:sz w:val="28"/>
          <w:szCs w:val="28"/>
        </w:rPr>
        <w:t>(一)宣传、贯彻党的路线、方针、政策和上级党组织的</w:t>
      </w:r>
      <w:r>
        <w:rPr>
          <w:rFonts w:hint="eastAsia" w:ascii="宋体" w:hAnsi="宋体" w:eastAsia="宋体" w:cs="宋体"/>
          <w:sz w:val="28"/>
          <w:szCs w:val="28"/>
          <w:lang w:eastAsia="zh-CN"/>
        </w:rPr>
        <w:t>决议</w:t>
      </w:r>
      <w:r>
        <w:rPr>
          <w:rFonts w:hint="eastAsia" w:ascii="宋体" w:hAnsi="宋体" w:eastAsia="宋体" w:cs="宋体"/>
          <w:sz w:val="28"/>
          <w:szCs w:val="28"/>
        </w:rPr>
        <w:t>，执行镇党员代表大会(党员大会)决议，讨论决定本镇的重大问题。</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(二)抓好自身和所属党组织</w:t>
      </w:r>
      <w:r>
        <w:rPr>
          <w:rFonts w:hint="eastAsia" w:ascii="宋体" w:hAnsi="宋体" w:eastAsia="宋体" w:cs="宋体"/>
          <w:sz w:val="28"/>
          <w:szCs w:val="28"/>
          <w:lang w:eastAsia="zh-CN"/>
        </w:rPr>
        <w:t>以及非公企业和社会组织</w:t>
      </w:r>
      <w:r>
        <w:rPr>
          <w:rFonts w:hint="eastAsia" w:ascii="宋体" w:hAnsi="宋体" w:eastAsia="宋体" w:cs="宋体"/>
          <w:sz w:val="28"/>
          <w:szCs w:val="28"/>
        </w:rPr>
        <w:t>的</w:t>
      </w:r>
      <w:r>
        <w:rPr>
          <w:rFonts w:hint="eastAsia" w:ascii="宋体" w:hAnsi="宋体" w:eastAsia="宋体" w:cs="宋体"/>
          <w:sz w:val="28"/>
          <w:szCs w:val="28"/>
          <w:lang w:eastAsia="zh-CN"/>
        </w:rPr>
        <w:t>党组织建设</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(三)领导镇经济建设，制定本镇经济和社会发展规划并组</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织实施。</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(四)领导镇社会主义精神文明和民主法</w:t>
      </w:r>
      <w:r>
        <w:rPr>
          <w:rFonts w:hint="eastAsia" w:ascii="宋体" w:hAnsi="宋体" w:eastAsia="宋体" w:cs="宋体"/>
          <w:sz w:val="28"/>
          <w:szCs w:val="28"/>
          <w:lang w:eastAsia="zh-CN"/>
        </w:rPr>
        <w:t>治建设</w:t>
      </w:r>
      <w:r>
        <w:rPr>
          <w:rFonts w:hint="eastAsia" w:ascii="宋体" w:hAnsi="宋体" w:eastAsia="宋体" w:cs="宋体"/>
          <w:sz w:val="28"/>
          <w:szCs w:val="28"/>
        </w:rPr>
        <w:t>加强农村社会治安综合治理，</w:t>
      </w:r>
      <w:r>
        <w:rPr>
          <w:rFonts w:hint="eastAsia" w:ascii="宋体" w:hAnsi="宋体" w:eastAsia="宋体" w:cs="宋体"/>
          <w:sz w:val="28"/>
          <w:szCs w:val="28"/>
          <w:lang w:eastAsia="zh-CN"/>
        </w:rPr>
        <w:t>落实统一战线工作任务，做好民族事务工作</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(五)领导并支持镇政府依法行使各项行政管理职权。</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(六)领导人大主席团及经济组织、人民武装和共青团、妇</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联等人民团体的工作。</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统一指挥协调</w:t>
      </w:r>
      <w:r>
        <w:rPr>
          <w:rFonts w:hint="eastAsia" w:ascii="宋体" w:hAnsi="宋体" w:eastAsia="宋体" w:cs="宋体"/>
          <w:sz w:val="28"/>
          <w:szCs w:val="28"/>
        </w:rPr>
        <w:t>上级有关部门派驻镇单位的工作。</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)促进经济发展、增加农民收入</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w:t>
      </w:r>
      <w:r>
        <w:rPr>
          <w:rFonts w:hint="eastAsia" w:ascii="宋体" w:hAnsi="宋体" w:eastAsia="宋体" w:cs="宋体"/>
          <w:sz w:val="28"/>
          <w:szCs w:val="28"/>
          <w:lang w:eastAsia="zh-CN"/>
        </w:rPr>
        <w:t>优</w:t>
      </w:r>
      <w:r>
        <w:rPr>
          <w:rFonts w:hint="eastAsia" w:ascii="宋体" w:hAnsi="宋体" w:eastAsia="宋体" w:cs="宋体"/>
          <w:sz w:val="28"/>
          <w:szCs w:val="28"/>
        </w:rPr>
        <w:t>化公共服务、着力改善民生</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w:t>
      </w:r>
      <w:r>
        <w:rPr>
          <w:rFonts w:hint="eastAsia" w:ascii="宋体" w:hAnsi="宋体" w:eastAsia="宋体" w:cs="宋体"/>
          <w:sz w:val="28"/>
          <w:szCs w:val="28"/>
        </w:rPr>
        <w:t>)强</w:t>
      </w:r>
      <w:r>
        <w:rPr>
          <w:rFonts w:hint="eastAsia" w:ascii="宋体" w:hAnsi="宋体" w:eastAsia="宋体" w:cs="宋体"/>
          <w:sz w:val="28"/>
          <w:szCs w:val="28"/>
          <w:lang w:eastAsia="zh-CN"/>
        </w:rPr>
        <w:t>化</w:t>
      </w:r>
      <w:r>
        <w:rPr>
          <w:rFonts w:hint="eastAsia" w:ascii="宋体" w:hAnsi="宋体" w:eastAsia="宋体" w:cs="宋体"/>
          <w:sz w:val="28"/>
          <w:szCs w:val="28"/>
        </w:rPr>
        <w:t>社会管理、维护农村稳定</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)推进基层民主、促进农村和谐</w:t>
      </w:r>
    </w:p>
    <w:p>
      <w:pPr>
        <w:widowControl w:val="0"/>
        <w:adjustRightInd w:val="0"/>
        <w:snapToGrid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　　(十二）改善生态环境、提升乡风文明</w:t>
      </w:r>
    </w:p>
    <w:p>
      <w:pPr>
        <w:spacing w:before="0" w:after="0" w:line="240" w:lineRule="auto"/>
        <w:ind w:firstLine="640"/>
        <w:jc w:val="left"/>
        <w:outlineLvl w:val="9"/>
      </w:pPr>
      <w:r>
        <w:rPr>
          <w:rFonts w:hint="eastAsia" w:ascii="宋体" w:hAnsi="宋体" w:eastAsia="宋体" w:cs="宋体"/>
          <w:sz w:val="28"/>
          <w:szCs w:val="28"/>
          <w:lang w:eastAsia="zh-CN"/>
        </w:rPr>
        <w:t>　（十三）完成县委、县政府交办的其他任务。</w:t>
      </w:r>
    </w:p>
    <w:p>
      <w:pPr>
        <w:pStyle w:val="19"/>
      </w:pPr>
    </w:p>
    <w:p>
      <w:pPr>
        <w:spacing w:line="360" w:lineRule="auto"/>
        <w:ind w:firstLine="640" w:firstLineChars="200"/>
        <w:rPr>
          <w:rFonts w:ascii="仿宋_GB2312" w:hAnsi="仿宋_GB2312" w:eastAsia="仿宋_GB2312" w:cs="仿宋_GB2312"/>
          <w:b/>
          <w:color w:val="000000" w:themeColor="text1"/>
          <w:sz w:val="32"/>
          <w:szCs w:val="32"/>
        </w:rPr>
      </w:pPr>
      <w:r>
        <w:rPr>
          <w:rFonts w:ascii="方正楷体_GBK" w:hAnsi="方正楷体_GBK" w:eastAsia="方正楷体_GBK" w:cs="方正楷体_GBK"/>
          <w:b/>
          <w:color w:val="000000"/>
          <w:sz w:val="32"/>
        </w:rPr>
        <w:t>机构设置：</w:t>
      </w:r>
      <w:r>
        <w:rPr>
          <w:rFonts w:hint="eastAsia" w:ascii="仿宋_GB2312" w:hAnsi="仿宋_GB2312" w:eastAsia="仿宋_GB2312" w:cs="仿宋_GB2312"/>
          <w:b/>
          <w:color w:val="000000" w:themeColor="text1"/>
          <w:sz w:val="32"/>
          <w:szCs w:val="32"/>
        </w:rPr>
        <w:t>人员编制和领导职数</w:t>
      </w:r>
    </w:p>
    <w:p>
      <w:pPr>
        <w:ind w:firstLine="720"/>
        <w:outlineLvl w:val="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第五条 柏寺营乡行政编制 29名(其中纪委编制5名)全额拨款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Pr>
          <w:rFonts w:hint="eastAsia" w:ascii="宋体" w:hAnsi="宋体" w:eastAsia="宋体" w:cs="宋体"/>
          <w:color w:val="000000" w:themeColor="text1"/>
          <w:sz w:val="28"/>
          <w:szCs w:val="28"/>
          <w:lang w:eastAsia="zh-CN"/>
        </w:rPr>
        <w:t>干</w:t>
      </w:r>
      <w:r>
        <w:rPr>
          <w:rFonts w:hint="eastAsia" w:ascii="宋体" w:hAnsi="宋体" w:eastAsia="宋体" w:cs="宋体"/>
          <w:color w:val="000000" w:themeColor="text1"/>
          <w:sz w:val="28"/>
          <w:szCs w:val="28"/>
        </w:rPr>
        <w:t>部。</w:t>
      </w:r>
    </w:p>
    <w:p>
      <w:pPr>
        <w:ind w:firstLine="640"/>
      </w:pP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成安县栢寺营乡政府机关本级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line="560" w:lineRule="exact"/>
        <w:ind w:firstLine="560" w:firstLineChars="200"/>
        <w:rPr>
          <w:rFonts w:ascii="宋体" w:hAnsi="宋体" w:eastAsia="宋体" w:cs="宋体"/>
          <w:sz w:val="28"/>
          <w:szCs w:val="28"/>
        </w:rPr>
      </w:pPr>
      <w:bookmarkStart w:id="10" w:name="_Toc_3_3_0000000011"/>
      <w:r>
        <w:rPr>
          <w:rFonts w:hint="eastAsia" w:ascii="宋体" w:hAnsi="宋体" w:eastAsia="宋体" w:cs="宋体"/>
          <w:sz w:val="28"/>
          <w:szCs w:val="28"/>
          <w:lang w:eastAsia="zh-CN"/>
        </w:rPr>
        <w:t>柏寺营乡</w:t>
      </w:r>
      <w:r>
        <w:rPr>
          <w:rFonts w:hint="eastAsia" w:ascii="宋体" w:hAnsi="宋体" w:eastAsia="宋体" w:cs="宋体"/>
          <w:sz w:val="28"/>
          <w:szCs w:val="28"/>
        </w:rPr>
        <w:t>政府机关</w:t>
      </w:r>
      <w:r>
        <w:rPr>
          <w:rFonts w:hint="eastAsia" w:ascii="宋体" w:hAnsi="宋体" w:eastAsia="宋体" w:cs="宋体"/>
          <w:sz w:val="28"/>
          <w:szCs w:val="28"/>
          <w:lang w:eastAsia="zh-CN"/>
        </w:rPr>
        <w:t>设党政机构和事业单位8个，</w:t>
      </w:r>
      <w:r>
        <w:rPr>
          <w:rFonts w:hint="eastAsia" w:ascii="宋体" w:hAnsi="宋体" w:eastAsia="宋体" w:cs="宋体"/>
          <w:bCs/>
          <w:color w:val="000000" w:themeColor="text1"/>
          <w:sz w:val="28"/>
          <w:szCs w:val="28"/>
        </w:rPr>
        <w:t>预算编码是807002</w:t>
      </w:r>
      <w:r>
        <w:rPr>
          <w:rFonts w:hint="eastAsia" w:ascii="宋体" w:hAnsi="宋体" w:eastAsia="宋体" w:cs="宋体"/>
          <w:sz w:val="28"/>
          <w:szCs w:val="28"/>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（一）党政综合办公室（挂财政所牌子），核定行政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主要职责：负责本乡党政综合协调、公文运转、保密机要、人事管理、信访稳定、后勤保障等工作；</w:t>
      </w:r>
      <w:r>
        <w:rPr>
          <w:rFonts w:hint="eastAsia" w:ascii="宋体" w:hAnsi="宋体" w:eastAsia="宋体" w:cs="宋体"/>
          <w:sz w:val="28"/>
          <w:szCs w:val="28"/>
        </w:rPr>
        <w:t>按权限负责基层社区社会组织的分类指导和业务指导</w:t>
      </w:r>
      <w:r>
        <w:rPr>
          <w:rFonts w:hint="eastAsia" w:ascii="宋体" w:hAnsi="宋体" w:eastAsia="宋体" w:cs="宋体"/>
          <w:sz w:val="28"/>
          <w:szCs w:val="28"/>
          <w:lang w:eastAsia="zh-CN"/>
        </w:rPr>
        <w:t>；</w:t>
      </w:r>
      <w:r>
        <w:rPr>
          <w:rFonts w:hint="eastAsia" w:ascii="宋体" w:hAnsi="宋体" w:eastAsia="宋体" w:cs="宋体"/>
          <w:sz w:val="28"/>
          <w:szCs w:val="28"/>
        </w:rPr>
        <w:t>负责监督检查和指导所属单位和行政村的档案工作</w:t>
      </w:r>
      <w:r>
        <w:rPr>
          <w:rFonts w:hint="eastAsia" w:ascii="宋体" w:hAnsi="宋体" w:eastAsia="宋体" w:cs="宋体"/>
          <w:sz w:val="28"/>
          <w:szCs w:val="28"/>
          <w:lang w:eastAsia="zh-CN"/>
        </w:rPr>
        <w:t>；</w:t>
      </w:r>
      <w:r>
        <w:rPr>
          <w:rFonts w:hint="eastAsia" w:ascii="宋体" w:hAnsi="宋体" w:eastAsia="宋体" w:cs="宋体"/>
          <w:sz w:val="28"/>
          <w:szCs w:val="28"/>
        </w:rPr>
        <w:t>按权限负责社区工作者的日常管理工作</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负责本行政区域内村务公开工作的指导、监督</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负责本行政区域内村民委员会成员的任期和离任经济责任审计工作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负责辖区内农村集体资产管理的指导和监督，按分工和权限负责村集体财务管理工作</w:t>
      </w:r>
      <w:r>
        <w:rPr>
          <w:rFonts w:hint="eastAsia" w:ascii="宋体" w:hAnsi="宋体" w:eastAsia="宋体" w:cs="宋体"/>
          <w:sz w:val="28"/>
          <w:szCs w:val="28"/>
          <w:lang w:eastAsia="zh-CN"/>
        </w:rPr>
        <w:t>；</w:t>
      </w:r>
      <w:r>
        <w:rPr>
          <w:rFonts w:hint="eastAsia" w:ascii="宋体" w:hAnsi="宋体" w:eastAsia="宋体" w:cs="宋体"/>
          <w:sz w:val="28"/>
          <w:szCs w:val="28"/>
        </w:rPr>
        <w:t>加强党对农村经济建设的领导，巩固和加强农业基础地位，保障重要农产品有效供给和促进农民持续增收</w:t>
      </w:r>
      <w:r>
        <w:rPr>
          <w:rFonts w:hint="eastAsia" w:ascii="宋体" w:hAnsi="宋体" w:eastAsia="宋体" w:cs="宋体"/>
          <w:sz w:val="28"/>
          <w:szCs w:val="28"/>
          <w:lang w:eastAsia="zh-CN"/>
        </w:rPr>
        <w:t>；</w:t>
      </w:r>
      <w:r>
        <w:rPr>
          <w:rFonts w:hint="eastAsia" w:ascii="宋体" w:hAnsi="宋体" w:eastAsia="宋体" w:cs="宋体"/>
          <w:sz w:val="28"/>
          <w:szCs w:val="28"/>
        </w:rPr>
        <w:t>根据国家计划，决定本行政区域内经济、文化事业和公共事业建设计划；审查和批准本行政区域内的财政预算和预算执行情况的报告</w:t>
      </w:r>
      <w:r>
        <w:rPr>
          <w:rFonts w:hint="eastAsia" w:ascii="宋体" w:hAnsi="宋体" w:eastAsia="宋体" w:cs="宋体"/>
          <w:sz w:val="28"/>
          <w:szCs w:val="28"/>
          <w:lang w:eastAsia="zh-CN"/>
        </w:rPr>
        <w:t>；</w:t>
      </w:r>
      <w:r>
        <w:rPr>
          <w:rFonts w:hint="eastAsia" w:ascii="宋体" w:hAnsi="宋体" w:eastAsia="宋体" w:cs="宋体"/>
          <w:sz w:val="28"/>
          <w:szCs w:val="28"/>
        </w:rPr>
        <w:t>做好信访工作，畅通信访渠道，处理来信、接待来访</w:t>
      </w:r>
      <w:r>
        <w:rPr>
          <w:rFonts w:hint="eastAsia" w:ascii="宋体" w:hAnsi="宋体" w:eastAsia="宋体" w:cs="宋体"/>
          <w:sz w:val="28"/>
          <w:szCs w:val="28"/>
          <w:lang w:eastAsia="zh-CN"/>
        </w:rPr>
        <w:t>；</w:t>
      </w:r>
      <w:r>
        <w:rPr>
          <w:rFonts w:hint="eastAsia" w:ascii="宋体" w:hAnsi="宋体" w:eastAsia="宋体" w:cs="宋体"/>
          <w:sz w:val="28"/>
          <w:szCs w:val="28"/>
        </w:rPr>
        <w:t>按权限落实好农村重点改革任务</w:t>
      </w:r>
      <w:r>
        <w:rPr>
          <w:rFonts w:hint="eastAsia" w:ascii="宋体" w:hAnsi="宋体" w:eastAsia="宋体" w:cs="宋体"/>
          <w:sz w:val="28"/>
          <w:szCs w:val="28"/>
          <w:lang w:eastAsia="zh-CN"/>
        </w:rPr>
        <w:t>；</w:t>
      </w:r>
      <w:r>
        <w:rPr>
          <w:rFonts w:hint="eastAsia" w:ascii="宋体" w:hAnsi="宋体" w:eastAsia="宋体" w:cs="宋体"/>
          <w:sz w:val="28"/>
          <w:szCs w:val="28"/>
        </w:rPr>
        <w:t>负责辖区内的统计工作。履行统计职责，广泛引导、动员和组织社会力量积极参与并认真配合做好国家规定的周期性普查工作。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（二）党建工作办公室（</w:t>
      </w:r>
      <w:r>
        <w:rPr>
          <w:rFonts w:hint="eastAsia" w:ascii="宋体" w:hAnsi="宋体" w:eastAsia="宋体" w:cs="宋体"/>
          <w:sz w:val="28"/>
          <w:szCs w:val="28"/>
        </w:rPr>
        <w:t>挂人大主席团办公室牌子</w:t>
      </w:r>
      <w:r>
        <w:rPr>
          <w:rFonts w:hint="eastAsia" w:ascii="宋体" w:hAnsi="宋体" w:eastAsia="宋体" w:cs="宋体"/>
          <w:sz w:val="28"/>
          <w:szCs w:val="28"/>
          <w:lang w:eastAsia="zh-CN"/>
        </w:rPr>
        <w:t>），核定行政编制6名，设主任1名，副主任2名。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宣传执行党的路线、方针、政策，宣传和执行党中央、上级党组织和本级党组织的决议</w:t>
      </w:r>
      <w:r>
        <w:rPr>
          <w:rFonts w:hint="eastAsia" w:ascii="宋体" w:hAnsi="宋体" w:eastAsia="宋体" w:cs="宋体"/>
          <w:sz w:val="28"/>
          <w:szCs w:val="28"/>
          <w:lang w:eastAsia="zh-CN"/>
        </w:rPr>
        <w:t>；</w:t>
      </w:r>
      <w:r>
        <w:rPr>
          <w:rFonts w:hint="eastAsia" w:ascii="宋体" w:hAnsi="宋体" w:eastAsia="宋体" w:cs="宋体"/>
          <w:sz w:val="28"/>
          <w:szCs w:val="28"/>
        </w:rPr>
        <w:t>维护和执行党的纪律，监督党员干部和其他任何工作人员严格遵守国家法律法规</w:t>
      </w:r>
      <w:r>
        <w:rPr>
          <w:rFonts w:hint="eastAsia" w:ascii="宋体" w:hAnsi="宋体" w:eastAsia="宋体" w:cs="宋体"/>
          <w:sz w:val="28"/>
          <w:szCs w:val="28"/>
          <w:lang w:eastAsia="zh-CN"/>
        </w:rPr>
        <w:t>；</w:t>
      </w:r>
      <w:r>
        <w:rPr>
          <w:rFonts w:hint="eastAsia" w:ascii="宋体" w:hAnsi="宋体" w:eastAsia="宋体" w:cs="宋体"/>
          <w:sz w:val="28"/>
          <w:szCs w:val="28"/>
        </w:rPr>
        <w:t>负责</w:t>
      </w:r>
      <w:r>
        <w:rPr>
          <w:rFonts w:hint="eastAsia" w:ascii="宋体" w:hAnsi="宋体" w:eastAsia="宋体" w:cs="宋体"/>
          <w:sz w:val="28"/>
          <w:szCs w:val="28"/>
          <w:lang w:eastAsia="zh-CN"/>
        </w:rPr>
        <w:t>本乡</w:t>
      </w:r>
      <w:r>
        <w:rPr>
          <w:rFonts w:hint="eastAsia" w:ascii="宋体" w:hAnsi="宋体" w:eastAsia="宋体" w:cs="宋体"/>
          <w:sz w:val="28"/>
          <w:szCs w:val="28"/>
        </w:rPr>
        <w:t>党委自身建设和基层党组织建设，以及其他隶属</w:t>
      </w:r>
      <w:r>
        <w:rPr>
          <w:rFonts w:hint="eastAsia" w:ascii="宋体" w:hAnsi="宋体" w:eastAsia="宋体" w:cs="宋体"/>
          <w:sz w:val="28"/>
          <w:szCs w:val="28"/>
          <w:lang w:eastAsia="zh-CN"/>
        </w:rPr>
        <w:t>本乡</w:t>
      </w:r>
      <w:r>
        <w:rPr>
          <w:rFonts w:hint="eastAsia" w:ascii="宋体" w:hAnsi="宋体" w:eastAsia="宋体" w:cs="宋体"/>
          <w:sz w:val="28"/>
          <w:szCs w:val="28"/>
        </w:rPr>
        <w:t>党委的党组织建设</w:t>
      </w:r>
      <w:r>
        <w:rPr>
          <w:rFonts w:hint="eastAsia" w:ascii="宋体" w:hAnsi="宋体" w:eastAsia="宋体" w:cs="宋体"/>
          <w:sz w:val="28"/>
          <w:szCs w:val="28"/>
          <w:lang w:eastAsia="zh-CN"/>
        </w:rPr>
        <w:t>；</w:t>
      </w:r>
      <w:r>
        <w:rPr>
          <w:rFonts w:hint="eastAsia" w:ascii="宋体" w:hAnsi="宋体" w:eastAsia="宋体" w:cs="宋体"/>
          <w:sz w:val="28"/>
          <w:szCs w:val="28"/>
        </w:rPr>
        <w:t>负责下级党的基层组织选举工作，对下级党组织的成立或撤销作出决定</w:t>
      </w:r>
      <w:r>
        <w:rPr>
          <w:rFonts w:hint="eastAsia" w:ascii="宋体" w:hAnsi="宋体" w:eastAsia="宋体" w:cs="宋体"/>
          <w:sz w:val="28"/>
          <w:szCs w:val="28"/>
          <w:lang w:eastAsia="zh-CN"/>
        </w:rPr>
        <w:t>；</w:t>
      </w:r>
      <w:r>
        <w:rPr>
          <w:rFonts w:hint="eastAsia" w:ascii="宋体" w:hAnsi="宋体" w:eastAsia="宋体" w:cs="宋体"/>
          <w:sz w:val="28"/>
          <w:szCs w:val="28"/>
        </w:rPr>
        <w:t>负责非公有制企业和社会组织党建工作，扩大新兴领域党建有效覆盖</w:t>
      </w:r>
      <w:r>
        <w:rPr>
          <w:rFonts w:hint="eastAsia" w:ascii="宋体" w:hAnsi="宋体" w:eastAsia="宋体" w:cs="宋体"/>
          <w:sz w:val="28"/>
          <w:szCs w:val="28"/>
          <w:lang w:eastAsia="zh-CN"/>
        </w:rPr>
        <w:t>；</w:t>
      </w:r>
      <w:r>
        <w:rPr>
          <w:rFonts w:hint="eastAsia" w:ascii="宋体" w:hAnsi="宋体" w:eastAsia="宋体" w:cs="宋体"/>
          <w:sz w:val="28"/>
          <w:szCs w:val="28"/>
        </w:rPr>
        <w:t>加强党员队伍建设，对党员进行教育、管理、监督和服务，做好经常性的发展党员工作，加强流动党员管理</w:t>
      </w:r>
      <w:r>
        <w:rPr>
          <w:rFonts w:hint="eastAsia" w:ascii="宋体" w:hAnsi="宋体" w:eastAsia="宋体" w:cs="宋体"/>
          <w:sz w:val="28"/>
          <w:szCs w:val="28"/>
          <w:lang w:eastAsia="zh-CN"/>
        </w:rPr>
        <w:t>；</w:t>
      </w:r>
      <w:r>
        <w:rPr>
          <w:rFonts w:hint="eastAsia" w:ascii="宋体" w:hAnsi="宋体" w:eastAsia="宋体" w:cs="宋体"/>
          <w:sz w:val="28"/>
          <w:szCs w:val="28"/>
        </w:rPr>
        <w:t>做好人才服务工作，发现、培养、推荐党员和群众中的优秀人才</w:t>
      </w:r>
      <w:r>
        <w:rPr>
          <w:rFonts w:hint="eastAsia" w:ascii="宋体" w:hAnsi="宋体" w:eastAsia="宋体" w:cs="宋体"/>
          <w:sz w:val="28"/>
          <w:szCs w:val="28"/>
          <w:lang w:eastAsia="zh-CN"/>
        </w:rPr>
        <w:t>；</w:t>
      </w:r>
      <w:r>
        <w:rPr>
          <w:rFonts w:hint="eastAsia" w:ascii="宋体" w:hAnsi="宋体" w:eastAsia="宋体" w:cs="宋体"/>
          <w:sz w:val="28"/>
          <w:szCs w:val="28"/>
        </w:rPr>
        <w:t>落实意识形态工作责任制，组织党员群众学习习近平新时代中国特色社会主义思想，培育和践行社会主义核心价值观，加强精神文明建设和文化建设</w:t>
      </w:r>
      <w:r>
        <w:rPr>
          <w:rFonts w:hint="eastAsia" w:ascii="宋体" w:hAnsi="宋体" w:eastAsia="宋体" w:cs="宋体"/>
          <w:sz w:val="28"/>
          <w:szCs w:val="28"/>
          <w:lang w:eastAsia="zh-CN"/>
        </w:rPr>
        <w:t>；</w:t>
      </w:r>
      <w:r>
        <w:rPr>
          <w:rFonts w:hint="eastAsia" w:ascii="宋体" w:hAnsi="宋体" w:eastAsia="宋体" w:cs="宋体"/>
          <w:sz w:val="28"/>
          <w:szCs w:val="28"/>
        </w:rPr>
        <w:t>落实统一战线工作任务要求，做好民族事务工作</w:t>
      </w:r>
      <w:r>
        <w:rPr>
          <w:rFonts w:hint="eastAsia" w:ascii="宋体" w:hAnsi="宋体" w:eastAsia="宋体" w:cs="宋体"/>
          <w:sz w:val="28"/>
          <w:szCs w:val="28"/>
          <w:lang w:eastAsia="zh-CN"/>
        </w:rPr>
        <w:t>；</w:t>
      </w:r>
      <w:r>
        <w:rPr>
          <w:rFonts w:hint="eastAsia" w:ascii="宋体" w:hAnsi="宋体" w:eastAsia="宋体" w:cs="宋体"/>
          <w:sz w:val="28"/>
          <w:szCs w:val="28"/>
        </w:rPr>
        <w:t>根据委托授权负责本辖区内的宗教事务管理工作。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领导辖区内工会、共青团、妇联等工作；</w:t>
      </w:r>
      <w:r>
        <w:rPr>
          <w:rFonts w:hint="eastAsia" w:ascii="宋体" w:hAnsi="宋体" w:eastAsia="宋体" w:cs="宋体"/>
          <w:sz w:val="28"/>
          <w:szCs w:val="28"/>
        </w:rPr>
        <w:t>按权限负责村民委员会的设立、撤销、范围调整等工作</w:t>
      </w:r>
      <w:r>
        <w:rPr>
          <w:rFonts w:hint="eastAsia" w:ascii="宋体" w:hAnsi="宋体" w:eastAsia="宋体" w:cs="宋体"/>
          <w:sz w:val="28"/>
          <w:szCs w:val="28"/>
          <w:lang w:eastAsia="zh-CN"/>
        </w:rPr>
        <w:t>；</w:t>
      </w:r>
      <w:r>
        <w:rPr>
          <w:rFonts w:hint="eastAsia" w:ascii="宋体" w:hAnsi="宋体" w:eastAsia="宋体" w:cs="宋体"/>
          <w:sz w:val="28"/>
          <w:szCs w:val="28"/>
        </w:rPr>
        <w:t>负责指导居民委员会的换届选举工作</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指导村（居）民委员会建立健全各项自治制度，并予以备案</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领导辖区内人大工作</w:t>
      </w:r>
      <w:r>
        <w:rPr>
          <w:rFonts w:hint="eastAsia" w:ascii="宋体" w:hAnsi="宋体" w:eastAsia="宋体" w:cs="宋体"/>
          <w:sz w:val="28"/>
          <w:szCs w:val="28"/>
          <w:lang w:eastAsia="zh-CN"/>
        </w:rPr>
        <w:t>，</w:t>
      </w:r>
      <w:r>
        <w:rPr>
          <w:rFonts w:hint="eastAsia" w:ascii="宋体" w:hAnsi="宋体" w:eastAsia="宋体" w:cs="宋体"/>
          <w:sz w:val="28"/>
          <w:szCs w:val="28"/>
        </w:rPr>
        <w:t>选举本</w:t>
      </w:r>
      <w:r>
        <w:rPr>
          <w:rFonts w:hint="eastAsia" w:ascii="宋体" w:hAnsi="宋体" w:eastAsia="宋体" w:cs="宋体"/>
          <w:sz w:val="28"/>
          <w:szCs w:val="28"/>
          <w:lang w:eastAsia="zh-CN"/>
        </w:rPr>
        <w:t>乡</w:t>
      </w:r>
      <w:r>
        <w:rPr>
          <w:rFonts w:hint="eastAsia" w:ascii="宋体" w:hAnsi="宋体" w:eastAsia="宋体" w:cs="宋体"/>
          <w:sz w:val="28"/>
          <w:szCs w:val="28"/>
        </w:rPr>
        <w:t>人民代表大会主席、副主席，</w:t>
      </w:r>
      <w:r>
        <w:rPr>
          <w:rFonts w:hint="eastAsia" w:ascii="宋体" w:hAnsi="宋体" w:eastAsia="宋体" w:cs="宋体"/>
          <w:sz w:val="28"/>
          <w:szCs w:val="28"/>
          <w:lang w:eastAsia="zh-CN"/>
        </w:rPr>
        <w:t>乡</w:t>
      </w:r>
      <w:r>
        <w:rPr>
          <w:rFonts w:hint="eastAsia" w:ascii="宋体" w:hAnsi="宋体" w:eastAsia="宋体" w:cs="宋体"/>
          <w:sz w:val="28"/>
          <w:szCs w:val="28"/>
        </w:rPr>
        <w:t>长、副</w:t>
      </w:r>
      <w:r>
        <w:rPr>
          <w:rFonts w:hint="eastAsia" w:ascii="宋体" w:hAnsi="宋体" w:eastAsia="宋体" w:cs="宋体"/>
          <w:sz w:val="28"/>
          <w:szCs w:val="28"/>
          <w:lang w:eastAsia="zh-CN"/>
        </w:rPr>
        <w:t>乡</w:t>
      </w:r>
      <w:r>
        <w:rPr>
          <w:rFonts w:hint="eastAsia" w:ascii="宋体" w:hAnsi="宋体" w:eastAsia="宋体" w:cs="宋体"/>
          <w:sz w:val="28"/>
          <w:szCs w:val="28"/>
        </w:rPr>
        <w:t>长；听取和审查</w:t>
      </w:r>
      <w:r>
        <w:rPr>
          <w:rFonts w:hint="eastAsia" w:ascii="宋体" w:hAnsi="宋体" w:eastAsia="宋体" w:cs="宋体"/>
          <w:sz w:val="28"/>
          <w:szCs w:val="28"/>
          <w:lang w:eastAsia="zh-CN"/>
        </w:rPr>
        <w:t>本乡</w:t>
      </w:r>
      <w:r>
        <w:rPr>
          <w:rFonts w:hint="eastAsia" w:ascii="宋体" w:hAnsi="宋体" w:eastAsia="宋体" w:cs="宋体"/>
          <w:sz w:val="28"/>
          <w:szCs w:val="28"/>
        </w:rPr>
        <w:t>人民政府工作报告</w:t>
      </w:r>
      <w:r>
        <w:rPr>
          <w:rFonts w:hint="eastAsia" w:ascii="宋体" w:hAnsi="宋体" w:eastAsia="宋体" w:cs="宋体"/>
          <w:sz w:val="28"/>
          <w:szCs w:val="28"/>
          <w:lang w:eastAsia="zh-CN"/>
        </w:rPr>
        <w:t>；</w:t>
      </w:r>
      <w:r>
        <w:rPr>
          <w:rFonts w:hint="eastAsia" w:ascii="宋体" w:hAnsi="宋体" w:eastAsia="宋体" w:cs="宋体"/>
          <w:sz w:val="28"/>
          <w:szCs w:val="28"/>
        </w:rPr>
        <w:t>办理常务委员会交办的监督、选举以及其他工作，并向常务委员会报告工作。</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应急管理办公室，核定行政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加强本辖区生产经营单位安全生产状况的监督检查，协助上级有关部门依法履行安全生产监督管理职责</w:t>
      </w:r>
      <w:r>
        <w:rPr>
          <w:rFonts w:hint="eastAsia" w:ascii="宋体" w:hAnsi="宋体" w:eastAsia="宋体" w:cs="宋体"/>
          <w:sz w:val="28"/>
          <w:szCs w:val="28"/>
          <w:lang w:eastAsia="zh-CN"/>
        </w:rPr>
        <w:t>；</w:t>
      </w:r>
      <w:r>
        <w:rPr>
          <w:rFonts w:hint="eastAsia" w:ascii="宋体" w:hAnsi="宋体" w:eastAsia="宋体" w:cs="宋体"/>
          <w:sz w:val="28"/>
          <w:szCs w:val="28"/>
        </w:rPr>
        <w:t>负责本辖区的消防工作，开展消防宣传、防火巡查、隐患查改</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指导村（居）民委员会开展群众性的消防工作</w:t>
      </w:r>
      <w:r>
        <w:rPr>
          <w:rFonts w:hint="eastAsia" w:ascii="宋体" w:hAnsi="宋体" w:eastAsia="宋体" w:cs="宋体"/>
          <w:sz w:val="28"/>
          <w:szCs w:val="28"/>
          <w:lang w:eastAsia="zh-CN"/>
        </w:rPr>
        <w:t>；</w:t>
      </w:r>
      <w:r>
        <w:rPr>
          <w:rFonts w:hint="eastAsia" w:ascii="宋体" w:hAnsi="宋体" w:eastAsia="宋体" w:cs="宋体"/>
          <w:sz w:val="28"/>
          <w:szCs w:val="28"/>
        </w:rPr>
        <w:t>负责辖区防汛抗洪、抗旱等相关工作</w:t>
      </w:r>
      <w:r>
        <w:rPr>
          <w:rFonts w:hint="eastAsia" w:ascii="宋体" w:hAnsi="宋体" w:eastAsia="宋体" w:cs="宋体"/>
          <w:sz w:val="28"/>
          <w:szCs w:val="28"/>
          <w:lang w:eastAsia="zh-CN"/>
        </w:rPr>
        <w:t>；</w:t>
      </w:r>
      <w:r>
        <w:rPr>
          <w:rFonts w:hint="eastAsia" w:ascii="宋体" w:hAnsi="宋体" w:eastAsia="宋体" w:cs="宋体"/>
          <w:sz w:val="28"/>
          <w:szCs w:val="28"/>
        </w:rPr>
        <w:t>负责辖区防灾减灾等相关工作</w:t>
      </w:r>
      <w:r>
        <w:rPr>
          <w:rFonts w:hint="eastAsia" w:ascii="宋体" w:hAnsi="宋体" w:eastAsia="宋体" w:cs="宋体"/>
          <w:sz w:val="28"/>
          <w:szCs w:val="28"/>
          <w:lang w:eastAsia="zh-CN"/>
        </w:rPr>
        <w:t>；</w:t>
      </w:r>
      <w:r>
        <w:rPr>
          <w:rFonts w:hint="eastAsia" w:ascii="宋体" w:hAnsi="宋体" w:eastAsia="宋体" w:cs="宋体"/>
          <w:sz w:val="28"/>
          <w:szCs w:val="28"/>
        </w:rPr>
        <w:t>依法做好本辖区的突发事件应对工作，制定本级突发事件应急预案，组织开展应急演练</w:t>
      </w:r>
      <w:r>
        <w:rPr>
          <w:rFonts w:hint="eastAsia" w:ascii="宋体" w:hAnsi="宋体" w:eastAsia="宋体" w:cs="宋体"/>
          <w:sz w:val="28"/>
          <w:szCs w:val="28"/>
          <w:lang w:eastAsia="zh-CN"/>
        </w:rPr>
        <w:t>；</w:t>
      </w:r>
      <w:r>
        <w:rPr>
          <w:rFonts w:hint="eastAsia" w:ascii="宋体" w:hAnsi="宋体" w:eastAsia="宋体" w:cs="宋体"/>
          <w:sz w:val="28"/>
          <w:szCs w:val="28"/>
        </w:rPr>
        <w:t>负责辖区应急管理工作，建立健全应急联动机制，严格落实应急管理责任，加强基层综合应急队伍建设和应急保障能力建设</w:t>
      </w:r>
      <w:r>
        <w:rPr>
          <w:rFonts w:hint="eastAsia" w:ascii="宋体" w:hAnsi="宋体" w:eastAsia="宋体" w:cs="宋体"/>
          <w:sz w:val="28"/>
          <w:szCs w:val="28"/>
          <w:lang w:eastAsia="zh-CN"/>
        </w:rPr>
        <w:t>；</w:t>
      </w:r>
      <w:r>
        <w:rPr>
          <w:rFonts w:hint="eastAsia" w:ascii="宋体" w:hAnsi="宋体" w:eastAsia="宋体" w:cs="宋体"/>
          <w:sz w:val="28"/>
          <w:szCs w:val="28"/>
        </w:rPr>
        <w:t>负责本辖区内自然灾害救助工作，做好自然灾害风险排查、隐患治理、救助准备、信息报告、先期处置、应急救助、灾后救助和救助款物管理等工作</w:t>
      </w:r>
      <w:r>
        <w:rPr>
          <w:rFonts w:hint="eastAsia" w:ascii="宋体" w:hAnsi="宋体" w:eastAsia="宋体" w:cs="宋体"/>
          <w:sz w:val="28"/>
          <w:szCs w:val="28"/>
          <w:lang w:eastAsia="zh-CN"/>
        </w:rPr>
        <w:t>；</w:t>
      </w:r>
      <w:r>
        <w:rPr>
          <w:rFonts w:hint="eastAsia" w:ascii="宋体" w:hAnsi="宋体" w:eastAsia="宋体" w:cs="宋体"/>
          <w:sz w:val="28"/>
          <w:szCs w:val="28"/>
        </w:rPr>
        <w:t>履行辖区护林和森林草原防火职责，明确责任分工、开展宣传教育、组织防火巡查巡护、组建火灾扑救队伍、做好防灭火物资储备、制定火灾应急处置办法、组织开展应急演练、做好火灾预防扑救。</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自然资源和生态环境办公室，核定行政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负责辖区基本农田保护管理工作</w:t>
      </w:r>
      <w:r>
        <w:rPr>
          <w:rFonts w:hint="eastAsia" w:ascii="宋体" w:hAnsi="宋体" w:eastAsia="宋体" w:cs="宋体"/>
          <w:sz w:val="28"/>
          <w:szCs w:val="28"/>
          <w:lang w:eastAsia="zh-CN"/>
        </w:rPr>
        <w:t>；</w:t>
      </w:r>
      <w:r>
        <w:rPr>
          <w:rFonts w:hint="eastAsia" w:ascii="宋体" w:hAnsi="宋体" w:eastAsia="宋体" w:cs="宋体"/>
          <w:sz w:val="28"/>
          <w:szCs w:val="28"/>
        </w:rPr>
        <w:t>动员和组织社会力量参与土地调查工作</w:t>
      </w:r>
      <w:r>
        <w:rPr>
          <w:rFonts w:hint="eastAsia" w:ascii="宋体" w:hAnsi="宋体" w:eastAsia="宋体" w:cs="宋体"/>
          <w:sz w:val="28"/>
          <w:szCs w:val="28"/>
          <w:lang w:eastAsia="zh-CN"/>
        </w:rPr>
        <w:t>；</w:t>
      </w:r>
      <w:r>
        <w:rPr>
          <w:rFonts w:hint="eastAsia" w:ascii="宋体" w:hAnsi="宋体" w:eastAsia="宋体" w:cs="宋体"/>
          <w:sz w:val="28"/>
          <w:szCs w:val="28"/>
        </w:rPr>
        <w:t>负责本辖区乡道、村道建设管理工作</w:t>
      </w:r>
      <w:r>
        <w:rPr>
          <w:rFonts w:hint="eastAsia" w:ascii="宋体" w:hAnsi="宋体" w:eastAsia="宋体" w:cs="宋体"/>
          <w:sz w:val="28"/>
          <w:szCs w:val="28"/>
          <w:lang w:eastAsia="zh-CN"/>
        </w:rPr>
        <w:t>；</w:t>
      </w:r>
      <w:r>
        <w:rPr>
          <w:rFonts w:hint="eastAsia" w:ascii="宋体" w:hAnsi="宋体" w:eastAsia="宋体" w:cs="宋体"/>
          <w:sz w:val="28"/>
          <w:szCs w:val="28"/>
        </w:rPr>
        <w:t>承担农村土地承包经营纠纷调解相关工作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负责本区域范围内的村</w:t>
      </w:r>
      <w:r>
        <w:rPr>
          <w:rFonts w:hint="eastAsia" w:ascii="宋体" w:hAnsi="宋体" w:eastAsia="宋体" w:cs="宋体"/>
          <w:sz w:val="28"/>
          <w:szCs w:val="28"/>
          <w:lang w:eastAsia="zh-CN"/>
        </w:rPr>
        <w:t>乡</w:t>
      </w:r>
      <w:r>
        <w:rPr>
          <w:rFonts w:hint="eastAsia" w:ascii="宋体" w:hAnsi="宋体" w:eastAsia="宋体" w:cs="宋体"/>
          <w:sz w:val="28"/>
          <w:szCs w:val="28"/>
        </w:rPr>
        <w:t>规划建设管理工作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负责辖区内农村土地承包管理工作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按照职责分工负责辖区市容、村容和环境卫生、农村生活污水管理责任</w:t>
      </w:r>
      <w:r>
        <w:rPr>
          <w:rFonts w:hint="eastAsia" w:ascii="宋体" w:hAnsi="宋体" w:eastAsia="宋体" w:cs="宋体"/>
          <w:sz w:val="28"/>
          <w:szCs w:val="28"/>
          <w:lang w:eastAsia="zh-CN"/>
        </w:rPr>
        <w:t>；</w:t>
      </w:r>
      <w:r>
        <w:rPr>
          <w:rFonts w:hint="eastAsia" w:ascii="宋体" w:hAnsi="宋体" w:eastAsia="宋体" w:cs="宋体"/>
          <w:sz w:val="28"/>
          <w:szCs w:val="28"/>
        </w:rPr>
        <w:t>按照职责分工依法履行土壤污染防治和安全利用职责</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按照职责分工负责本辖区河湖的水资源保护、水域岸线管理、水污染防治、水环境治理等工作，协助上级人民政府及其有关部门做好地下水相关管理和监督工作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根据本地区的实际，组织开展大气污染防治工作</w:t>
      </w:r>
      <w:r>
        <w:rPr>
          <w:rFonts w:hint="eastAsia" w:ascii="宋体" w:hAnsi="宋体" w:eastAsia="宋体" w:cs="宋体"/>
          <w:sz w:val="28"/>
          <w:szCs w:val="28"/>
          <w:lang w:eastAsia="zh-CN"/>
        </w:rPr>
        <w:t>；</w:t>
      </w:r>
      <w:r>
        <w:rPr>
          <w:rFonts w:hint="eastAsia" w:ascii="宋体" w:hAnsi="宋体" w:eastAsia="宋体" w:cs="宋体"/>
          <w:sz w:val="28"/>
          <w:szCs w:val="28"/>
        </w:rPr>
        <w:t>落实属地监管责任，做好禁止露天焚烧秸秆工作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根据本地区的实际，组织开展扬尘污染防治工作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按照职责分工做好乡村环境保护和治理工作，配合做好联合巡查工作，及时查处影响乡村环境保护和治理的行为</w:t>
      </w:r>
      <w:r>
        <w:rPr>
          <w:rFonts w:hint="eastAsia" w:ascii="宋体" w:hAnsi="宋体" w:eastAsia="宋体" w:cs="宋体"/>
          <w:sz w:val="28"/>
          <w:szCs w:val="28"/>
          <w:lang w:eastAsia="zh-CN"/>
        </w:rPr>
        <w:t>；</w:t>
      </w:r>
      <w:r>
        <w:rPr>
          <w:rFonts w:hint="eastAsia" w:ascii="宋体" w:hAnsi="宋体" w:eastAsia="宋体" w:cs="宋体"/>
          <w:sz w:val="28"/>
          <w:szCs w:val="28"/>
        </w:rPr>
        <w:t>按照职责分工和相关预案开展突发环境事件应急处置工作，按照有关规定向上级报告</w:t>
      </w:r>
      <w:r>
        <w:rPr>
          <w:rFonts w:hint="eastAsia" w:ascii="宋体" w:hAnsi="宋体" w:eastAsia="宋体" w:cs="宋体"/>
          <w:sz w:val="28"/>
          <w:szCs w:val="28"/>
          <w:lang w:eastAsia="zh-CN"/>
        </w:rPr>
        <w:t>；</w:t>
      </w:r>
      <w:r>
        <w:rPr>
          <w:rFonts w:hint="eastAsia" w:ascii="宋体" w:hAnsi="宋体" w:eastAsia="宋体" w:cs="宋体"/>
          <w:sz w:val="28"/>
          <w:szCs w:val="28"/>
        </w:rPr>
        <w:t>负责辖区自然资源保护和监管工作</w:t>
      </w:r>
      <w:r>
        <w:rPr>
          <w:rFonts w:hint="eastAsia" w:ascii="宋体" w:hAnsi="宋体" w:eastAsia="宋体" w:cs="宋体"/>
          <w:sz w:val="28"/>
          <w:szCs w:val="28"/>
          <w:lang w:eastAsia="zh-CN"/>
        </w:rPr>
        <w:t>；</w:t>
      </w:r>
      <w:r>
        <w:rPr>
          <w:rFonts w:hint="eastAsia" w:ascii="宋体" w:hAnsi="宋体" w:eastAsia="宋体" w:cs="宋体"/>
          <w:sz w:val="28"/>
          <w:szCs w:val="28"/>
        </w:rPr>
        <w:t>组织开展全民义务植树、古树名木保护和草原建设保护利用工作</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（五）综合行政执法队（</w:t>
      </w:r>
      <w:r>
        <w:rPr>
          <w:rFonts w:hint="eastAsia" w:ascii="宋体" w:hAnsi="宋体" w:eastAsia="宋体" w:cs="宋体"/>
          <w:sz w:val="28"/>
          <w:szCs w:val="28"/>
        </w:rPr>
        <w:t>挂综合指挥和信息化网络中心、社会治安综合治理中心牌子</w:t>
      </w:r>
      <w:r>
        <w:rPr>
          <w:rFonts w:hint="eastAsia" w:ascii="宋体" w:hAnsi="宋体" w:eastAsia="宋体" w:cs="宋体"/>
          <w:sz w:val="28"/>
          <w:szCs w:val="28"/>
          <w:lang w:eastAsia="zh-CN"/>
        </w:rPr>
        <w:t>），核定全额拨款事业</w:t>
      </w:r>
      <w:r>
        <w:rPr>
          <w:rFonts w:hint="eastAsia" w:ascii="宋体" w:hAnsi="宋体" w:eastAsia="宋体" w:cs="宋体"/>
          <w:sz w:val="28"/>
          <w:szCs w:val="28"/>
        </w:rPr>
        <w:t>编制</w:t>
      </w:r>
      <w:r>
        <w:rPr>
          <w:rFonts w:hint="eastAsia" w:ascii="宋体" w:hAnsi="宋体" w:eastAsia="宋体" w:cs="宋体"/>
          <w:sz w:val="28"/>
          <w:szCs w:val="28"/>
          <w:lang w:eastAsia="zh-CN"/>
        </w:rPr>
        <w:t>6</w:t>
      </w:r>
      <w:r>
        <w:rPr>
          <w:rFonts w:hint="eastAsia" w:ascii="宋体" w:hAnsi="宋体" w:eastAsia="宋体" w:cs="宋体"/>
          <w:sz w:val="28"/>
          <w:szCs w:val="28"/>
        </w:rPr>
        <w:t>名，</w:t>
      </w:r>
      <w:r>
        <w:rPr>
          <w:rFonts w:hint="eastAsia" w:ascii="宋体" w:hAnsi="宋体" w:eastAsia="宋体" w:cs="宋体"/>
          <w:sz w:val="28"/>
          <w:szCs w:val="28"/>
          <w:lang w:eastAsia="zh-CN"/>
        </w:rPr>
        <w:t>自收自支事业编制4名，设队长1名，副队长2名。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根据法律法规和省政府授权，承担综合行政执法工作</w:t>
      </w:r>
      <w:r>
        <w:rPr>
          <w:rFonts w:hint="eastAsia" w:ascii="宋体" w:hAnsi="宋体" w:eastAsia="宋体" w:cs="宋体"/>
          <w:sz w:val="28"/>
          <w:szCs w:val="28"/>
          <w:lang w:eastAsia="zh-CN"/>
        </w:rPr>
        <w:t>；负责辖区内民族宗教事务的执法工作；</w:t>
      </w:r>
      <w:r>
        <w:rPr>
          <w:rFonts w:hint="eastAsia" w:ascii="宋体" w:hAnsi="宋体" w:eastAsia="宋体" w:cs="宋体"/>
          <w:sz w:val="28"/>
          <w:szCs w:val="28"/>
        </w:rPr>
        <w:t>负责辖区内的食品安全隐患排查、信息报告、协助执法和宣传教育等工作，做好本行政区域内小作坊、小餐饮、小摊点的监督管理工作</w:t>
      </w:r>
      <w:r>
        <w:rPr>
          <w:rFonts w:hint="eastAsia" w:ascii="宋体" w:hAnsi="宋体" w:eastAsia="宋体" w:cs="宋体"/>
          <w:sz w:val="28"/>
          <w:szCs w:val="28"/>
          <w:lang w:eastAsia="zh-CN"/>
        </w:rPr>
        <w:t>；</w:t>
      </w:r>
      <w:r>
        <w:rPr>
          <w:rFonts w:hint="eastAsia" w:ascii="宋体" w:hAnsi="宋体" w:eastAsia="宋体" w:cs="宋体"/>
          <w:sz w:val="28"/>
          <w:szCs w:val="28"/>
        </w:rPr>
        <w:t>协助有关部门查处传销行为</w:t>
      </w:r>
      <w:r>
        <w:rPr>
          <w:rFonts w:hint="eastAsia" w:ascii="宋体" w:hAnsi="宋体" w:eastAsia="宋体" w:cs="宋体"/>
          <w:sz w:val="28"/>
          <w:szCs w:val="28"/>
          <w:lang w:eastAsia="zh-CN"/>
        </w:rPr>
        <w:t>；</w:t>
      </w:r>
      <w:r>
        <w:rPr>
          <w:rFonts w:hint="eastAsia" w:ascii="宋体" w:hAnsi="宋体" w:eastAsia="宋体" w:cs="宋体"/>
          <w:sz w:val="28"/>
          <w:szCs w:val="28"/>
        </w:rPr>
        <w:t>负责乡村道路交通安全监督管理工作</w:t>
      </w:r>
      <w:r>
        <w:rPr>
          <w:rFonts w:hint="eastAsia" w:ascii="宋体" w:hAnsi="宋体" w:eastAsia="宋体" w:cs="宋体"/>
          <w:sz w:val="28"/>
          <w:szCs w:val="28"/>
          <w:lang w:eastAsia="zh-CN"/>
        </w:rPr>
        <w:t>；</w:t>
      </w:r>
      <w:r>
        <w:rPr>
          <w:rFonts w:hint="eastAsia" w:ascii="宋体" w:hAnsi="宋体" w:eastAsia="宋体" w:cs="宋体"/>
          <w:sz w:val="28"/>
          <w:szCs w:val="28"/>
        </w:rPr>
        <w:t>承担企业劳动争议调解相关工作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按照职责分工做好“散乱污”企业综合整治工作。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rPr>
        <w:t>制定本辖区社会治安综合治理规划，检查、推动社会治安综合治理措施的落实，协调和督促有关部门开展法制宣传教育工作、调解各类纠纷</w:t>
      </w:r>
      <w:r>
        <w:rPr>
          <w:rFonts w:hint="eastAsia" w:ascii="宋体" w:hAnsi="宋体" w:eastAsia="宋体" w:cs="宋体"/>
          <w:sz w:val="28"/>
          <w:szCs w:val="28"/>
          <w:lang w:eastAsia="zh-CN"/>
        </w:rPr>
        <w:t>；</w:t>
      </w:r>
      <w:r>
        <w:rPr>
          <w:rFonts w:hint="eastAsia" w:ascii="宋体" w:hAnsi="宋体" w:eastAsia="宋体" w:cs="宋体"/>
          <w:sz w:val="28"/>
          <w:szCs w:val="28"/>
        </w:rPr>
        <w:t>组织群众开展各种形式的治安防范活动和军民、警民联防活动;指导、帮助村（居）民委员会做好社会治安综合治理工作</w:t>
      </w:r>
      <w:r>
        <w:rPr>
          <w:rFonts w:hint="eastAsia" w:ascii="宋体" w:hAnsi="宋体" w:eastAsia="宋体" w:cs="宋体"/>
          <w:sz w:val="28"/>
          <w:szCs w:val="28"/>
          <w:lang w:eastAsia="zh-CN"/>
        </w:rPr>
        <w:t>；</w:t>
      </w:r>
      <w:r>
        <w:rPr>
          <w:rFonts w:hint="eastAsia" w:ascii="宋体" w:hAnsi="宋体" w:eastAsia="宋体" w:cs="宋体"/>
          <w:sz w:val="28"/>
          <w:szCs w:val="28"/>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ascii="宋体" w:hAnsi="宋体" w:eastAsia="宋体" w:cs="宋体"/>
          <w:sz w:val="28"/>
          <w:szCs w:val="28"/>
          <w:lang w:eastAsia="zh-CN"/>
        </w:rPr>
        <w:t>；</w:t>
      </w:r>
      <w:r>
        <w:rPr>
          <w:rFonts w:hint="eastAsia" w:ascii="宋体" w:hAnsi="宋体" w:eastAsia="宋体" w:cs="宋体"/>
          <w:sz w:val="28"/>
          <w:szCs w:val="28"/>
        </w:rPr>
        <w:t>承担民间纠纷调解相关工作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组织相关单位开展社区矫正工作和对户籍或居住地在本辖区的刑满释放人员做好接受建档和安置帮教工作，做好重点帮教对象的衔接工作</w:t>
      </w:r>
      <w:r>
        <w:rPr>
          <w:rFonts w:hint="eastAsia" w:ascii="宋体" w:hAnsi="宋体" w:eastAsia="宋体" w:cs="宋体"/>
          <w:sz w:val="28"/>
          <w:szCs w:val="28"/>
          <w:lang w:eastAsia="zh-CN"/>
        </w:rPr>
        <w:t>；</w:t>
      </w:r>
      <w:r>
        <w:rPr>
          <w:rFonts w:hint="eastAsia" w:ascii="宋体" w:hAnsi="宋体" w:eastAsia="宋体" w:cs="宋体"/>
          <w:sz w:val="28"/>
          <w:szCs w:val="28"/>
        </w:rPr>
        <w:t>协调有关部门做好未成年人的保护工作</w:t>
      </w:r>
      <w:r>
        <w:rPr>
          <w:rFonts w:hint="eastAsia" w:ascii="宋体" w:hAnsi="宋体" w:eastAsia="宋体" w:cs="宋体"/>
          <w:sz w:val="28"/>
          <w:szCs w:val="28"/>
          <w:lang w:eastAsia="zh-CN"/>
        </w:rPr>
        <w:t>；</w:t>
      </w:r>
      <w:r>
        <w:rPr>
          <w:rFonts w:hint="eastAsia" w:ascii="宋体" w:hAnsi="宋体" w:eastAsia="宋体" w:cs="宋体"/>
          <w:sz w:val="28"/>
          <w:szCs w:val="28"/>
        </w:rPr>
        <w:t>负责社区戒毒、社区康复工作。</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（六）行政综合服务中心，核定全额拨款事业编制6名，设主任1名，副主任2名。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加大信用信息归集应用力度，落实守信联合激励和失信联合惩戒制度，推进信用分级分类监管</w:t>
      </w:r>
      <w:r>
        <w:rPr>
          <w:rFonts w:hint="eastAsia" w:ascii="宋体" w:hAnsi="宋体" w:eastAsia="宋体" w:cs="宋体"/>
          <w:sz w:val="28"/>
          <w:szCs w:val="28"/>
          <w:lang w:eastAsia="zh-CN"/>
        </w:rPr>
        <w:t>；</w:t>
      </w:r>
      <w:r>
        <w:rPr>
          <w:rFonts w:hint="eastAsia" w:ascii="宋体" w:hAnsi="宋体" w:eastAsia="宋体" w:cs="宋体"/>
          <w:sz w:val="28"/>
          <w:szCs w:val="28"/>
        </w:rPr>
        <w:t>根据法律法规和省政府授权、承担行政审批服务工作</w:t>
      </w:r>
      <w:r>
        <w:rPr>
          <w:rFonts w:hint="eastAsia" w:ascii="宋体" w:hAnsi="宋体" w:eastAsia="宋体" w:cs="宋体"/>
          <w:sz w:val="28"/>
          <w:szCs w:val="28"/>
          <w:lang w:eastAsia="zh-CN"/>
        </w:rPr>
        <w:t>；</w:t>
      </w:r>
      <w:r>
        <w:rPr>
          <w:rFonts w:hint="eastAsia" w:ascii="宋体" w:hAnsi="宋体" w:eastAsia="宋体" w:cs="宋体"/>
          <w:sz w:val="28"/>
          <w:szCs w:val="28"/>
        </w:rPr>
        <w:t>开展就业政策宣传、就业援助等就业服务工作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按照职责分工负责做好辖区城乡居民基本养老保险工作。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（七）农业综合服务中心（</w:t>
      </w:r>
      <w:r>
        <w:rPr>
          <w:rFonts w:hint="eastAsia" w:ascii="宋体" w:hAnsi="宋体" w:eastAsia="宋体" w:cs="宋体"/>
          <w:sz w:val="28"/>
          <w:szCs w:val="28"/>
        </w:rPr>
        <w:t>挂动物防疫站牌子</w:t>
      </w:r>
      <w:r>
        <w:rPr>
          <w:rFonts w:hint="eastAsia" w:ascii="宋体" w:hAnsi="宋体" w:eastAsia="宋体" w:cs="宋体"/>
          <w:sz w:val="28"/>
          <w:szCs w:val="28"/>
          <w:lang w:eastAsia="zh-CN"/>
        </w:rPr>
        <w:t>），核定全额拨款事业编制5名，设主任1名，副主任1名。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按职责分工负责农产品质量安全监管工作，加强农产品质量安全知识的宣传，及时上报有关单位和个人报告的农产品质量安全事故</w:t>
      </w:r>
      <w:r>
        <w:rPr>
          <w:rFonts w:hint="eastAsia" w:ascii="宋体" w:hAnsi="宋体" w:eastAsia="宋体" w:cs="宋体"/>
          <w:sz w:val="28"/>
          <w:szCs w:val="28"/>
          <w:lang w:eastAsia="zh-CN"/>
        </w:rPr>
        <w:t>；</w:t>
      </w:r>
      <w:r>
        <w:rPr>
          <w:rFonts w:hint="eastAsia" w:ascii="宋体" w:hAnsi="宋体" w:eastAsia="宋体" w:cs="宋体"/>
          <w:sz w:val="28"/>
          <w:szCs w:val="28"/>
        </w:rPr>
        <w:t>依法组织群众协助做好本辖区的动物疫病预防与控制工作，组织饲养动物的单位和个人做好强制免疫工作</w:t>
      </w:r>
      <w:r>
        <w:rPr>
          <w:rFonts w:hint="eastAsia" w:ascii="宋体" w:hAnsi="宋体" w:eastAsia="宋体" w:cs="宋体"/>
          <w:sz w:val="28"/>
          <w:szCs w:val="28"/>
          <w:lang w:eastAsia="zh-CN"/>
        </w:rPr>
        <w:t>；</w:t>
      </w:r>
      <w:r>
        <w:rPr>
          <w:rFonts w:hint="eastAsia" w:ascii="宋体" w:hAnsi="宋体" w:eastAsia="宋体" w:cs="宋体"/>
          <w:sz w:val="28"/>
          <w:szCs w:val="28"/>
        </w:rPr>
        <w:t>负责本辖区农村扶贫开发的具体实施工作</w:t>
      </w:r>
      <w:r>
        <w:rPr>
          <w:rFonts w:hint="eastAsia" w:ascii="宋体" w:hAnsi="宋体" w:eastAsia="宋体" w:cs="宋体"/>
          <w:sz w:val="28"/>
          <w:szCs w:val="28"/>
          <w:lang w:eastAsia="zh-CN"/>
        </w:rPr>
        <w:t>；</w:t>
      </w:r>
      <w:r>
        <w:rPr>
          <w:rFonts w:hint="eastAsia" w:ascii="宋体" w:hAnsi="宋体" w:eastAsia="宋体" w:cs="宋体"/>
          <w:sz w:val="28"/>
          <w:szCs w:val="28"/>
        </w:rPr>
        <w:t>引导和扶持农业机械服务组织的发展，做好先进适用的农业机械推广和服务工作</w:t>
      </w:r>
      <w:r>
        <w:rPr>
          <w:rFonts w:hint="eastAsia" w:ascii="宋体" w:hAnsi="宋体" w:eastAsia="宋体" w:cs="宋体"/>
          <w:sz w:val="28"/>
          <w:szCs w:val="28"/>
          <w:lang w:eastAsia="zh-CN"/>
        </w:rPr>
        <w:t>；</w:t>
      </w:r>
      <w:r>
        <w:rPr>
          <w:rFonts w:hint="eastAsia" w:ascii="宋体" w:hAnsi="宋体" w:eastAsia="宋体" w:cs="宋体"/>
          <w:sz w:val="28"/>
          <w:szCs w:val="28"/>
        </w:rPr>
        <w:t>负责组织当地农业生产经营组织和农业生产者对农业有害生物实施综合治理</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按照职责分工负责辖区农民负担监管工作，组织开展农民负担专项检查</w:t>
      </w:r>
      <w:r>
        <w:rPr>
          <w:rFonts w:hint="eastAsia" w:ascii="宋体" w:hAnsi="宋体" w:eastAsia="宋体" w:cs="宋体"/>
          <w:sz w:val="28"/>
          <w:szCs w:val="28"/>
          <w:lang w:eastAsia="zh-CN"/>
        </w:rPr>
        <w:t>；</w:t>
      </w:r>
      <w:r>
        <w:rPr>
          <w:rFonts w:hint="eastAsia" w:ascii="宋体" w:hAnsi="宋体" w:eastAsia="宋体" w:cs="宋体"/>
          <w:sz w:val="28"/>
          <w:szCs w:val="28"/>
        </w:rPr>
        <w:t>按照职责分工加强畜禽遗传资源保护，协助有关部门做好辖区畜禽养殖污染防治工作</w:t>
      </w:r>
      <w:r>
        <w:rPr>
          <w:rFonts w:hint="eastAsia" w:ascii="宋体" w:hAnsi="宋体" w:eastAsia="宋体" w:cs="宋体"/>
          <w:sz w:val="28"/>
          <w:szCs w:val="28"/>
          <w:lang w:eastAsia="zh-CN"/>
        </w:rPr>
        <w:t>；</w:t>
      </w:r>
      <w:r>
        <w:rPr>
          <w:rFonts w:hint="eastAsia" w:ascii="宋体" w:hAnsi="宋体" w:eastAsia="宋体" w:cs="宋体"/>
          <w:sz w:val="28"/>
          <w:szCs w:val="28"/>
        </w:rPr>
        <w:t>加强辖区内的水土保持工作，开展水土流失综合治理，预防和减轻水土流失</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负责本行政区域内人居环境改善工作</w:t>
      </w:r>
      <w:r>
        <w:rPr>
          <w:rFonts w:hint="eastAsia" w:ascii="宋体" w:hAnsi="宋体" w:eastAsia="宋体" w:cs="宋体"/>
          <w:sz w:val="28"/>
          <w:szCs w:val="28"/>
          <w:lang w:eastAsia="zh-CN"/>
        </w:rPr>
        <w:t>；</w:t>
      </w:r>
      <w:r>
        <w:rPr>
          <w:rFonts w:hint="eastAsia" w:ascii="宋体" w:hAnsi="宋体" w:eastAsia="宋体" w:cs="宋体"/>
          <w:sz w:val="28"/>
          <w:szCs w:val="28"/>
        </w:rPr>
        <w:t>协助上级人民政府有关部门做好本行政区域内农村供水用水管理等相关工作。</w:t>
      </w:r>
    </w:p>
    <w:p>
      <w:pPr>
        <w:widowControl w:val="0"/>
        <w:numPr>
          <w:ilvl w:val="0"/>
          <w:numId w:val="2"/>
        </w:numPr>
        <w:spacing w:line="580" w:lineRule="exact"/>
        <w:ind w:left="480" w:leftChars="200"/>
        <w:jc w:val="both"/>
        <w:rPr>
          <w:rFonts w:ascii="宋体" w:hAnsi="宋体" w:eastAsia="宋体" w:cs="宋体"/>
          <w:sz w:val="28"/>
          <w:szCs w:val="28"/>
        </w:rPr>
      </w:pPr>
      <w:r>
        <w:rPr>
          <w:rFonts w:hint="eastAsia" w:ascii="宋体" w:hAnsi="宋体" w:eastAsia="宋体" w:cs="宋体"/>
          <w:sz w:val="28"/>
          <w:szCs w:val="28"/>
          <w:lang w:eastAsia="zh-CN"/>
        </w:rPr>
        <w:t>退役军人服务站，核定全额拨款事业编制4名，设站长1名，副站长1名。</w:t>
      </w:r>
    </w:p>
    <w:p>
      <w:pPr>
        <w:spacing w:before="10" w:after="10" w:line="360" w:lineRule="auto"/>
        <w:ind w:firstLine="640"/>
        <w:jc w:val="left"/>
        <w:outlineLvl w:val="2"/>
        <w:rPr>
          <w:rFonts w:ascii="黑体" w:hAnsi="黑体" w:eastAsia="黑体" w:cs="黑体"/>
          <w:color w:val="000000"/>
          <w:sz w:val="32"/>
        </w:rPr>
      </w:pPr>
      <w:r>
        <w:rPr>
          <w:rFonts w:hint="eastAsia" w:ascii="宋体" w:hAnsi="宋体" w:eastAsia="宋体" w:cs="宋体"/>
          <w:sz w:val="28"/>
          <w:szCs w:val="28"/>
          <w:lang w:eastAsia="zh-CN"/>
        </w:rPr>
        <w:t>主要职责：</w:t>
      </w:r>
      <w:r>
        <w:rPr>
          <w:rFonts w:hint="eastAsia" w:ascii="宋体" w:hAnsi="宋体" w:eastAsia="宋体" w:cs="宋体"/>
          <w:sz w:val="28"/>
          <w:szCs w:val="28"/>
        </w:rPr>
        <w:t>依照法定权限，做好本辖区的征兵、民兵、预备役、国防教育、国民经济动员、人民防空、国防交通、国防设施保护、拥军优属、退役军人服务等工作。</w:t>
      </w:r>
    </w:p>
    <w:p>
      <w:pPr>
        <w:spacing w:line="500" w:lineRule="exact"/>
        <w:ind w:firstLine="560"/>
      </w:pPr>
      <w:r>
        <w:rPr>
          <w:rFonts w:ascii="黑体" w:hAnsi="黑体" w:eastAsia="黑体" w:cs="黑体"/>
          <w:color w:val="000000"/>
          <w:sz w:val="32"/>
        </w:rPr>
        <w:t>二、部门预算安排的总体情况</w:t>
      </w:r>
      <w:bookmarkEnd w:id="10"/>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预算的编制实行综合预算管理，即全部收入和支出都反映在预算中。成安县栢寺营乡政府机关及所属事业单位的收支包含在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ind w:firstLine="560" w:firstLineChars="200"/>
        <w:rPr>
          <w:rFonts w:ascii="仿宋_GB2312" w:hAnsi="仿宋_GB2312" w:eastAsia="仿宋_GB2312" w:cs="仿宋_GB2312"/>
          <w:sz w:val="32"/>
          <w:szCs w:val="32"/>
        </w:r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年预算收入</w:t>
      </w:r>
      <w:r>
        <w:rPr>
          <w:rFonts w:hint="eastAsia" w:ascii="宋体" w:hAnsi="宋体" w:eastAsia="宋体" w:cs="宋体"/>
          <w:sz w:val="28"/>
          <w:szCs w:val="28"/>
          <w:lang w:val="en-US" w:eastAsia="zh-CN"/>
        </w:rPr>
        <w:t>604.45</w:t>
      </w:r>
      <w:r>
        <w:rPr>
          <w:rFonts w:hint="eastAsia" w:ascii="宋体" w:hAnsi="宋体" w:eastAsia="宋体" w:cs="宋体"/>
          <w:sz w:val="28"/>
          <w:szCs w:val="28"/>
        </w:rPr>
        <w:t>万元，其中：一般公共预算收入</w:t>
      </w:r>
      <w:r>
        <w:rPr>
          <w:rFonts w:hint="eastAsia" w:ascii="宋体" w:hAnsi="宋体" w:eastAsia="宋体" w:cs="宋体"/>
          <w:sz w:val="28"/>
          <w:szCs w:val="28"/>
          <w:lang w:val="en-US" w:eastAsia="zh-CN"/>
        </w:rPr>
        <w:t>604.45</w:t>
      </w:r>
      <w:r>
        <w:rPr>
          <w:rFonts w:hint="eastAsia" w:ascii="宋体" w:hAnsi="宋体" w:eastAsia="宋体" w:cs="宋体"/>
          <w:sz w:val="28"/>
          <w:szCs w:val="28"/>
        </w:rPr>
        <w:t>万元，政府性基金收入0万元，国有资本经营收入0万元，事业收入0万元，其他收入0万元。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年支出预算</w:t>
      </w:r>
      <w:r>
        <w:rPr>
          <w:rFonts w:hint="eastAsia" w:ascii="宋体" w:hAnsi="宋体" w:eastAsia="宋体" w:cs="宋体"/>
          <w:sz w:val="28"/>
          <w:szCs w:val="28"/>
          <w:lang w:val="en-US" w:eastAsia="zh-CN"/>
        </w:rPr>
        <w:t>604.45</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390.83</w:t>
      </w:r>
      <w:r>
        <w:rPr>
          <w:rFonts w:hint="eastAsia" w:ascii="宋体" w:hAnsi="宋体" w:eastAsia="宋体" w:cs="宋体"/>
          <w:sz w:val="28"/>
          <w:szCs w:val="28"/>
        </w:rPr>
        <w:t>万元，包括人员经费和日常公用经费；项目支出</w:t>
      </w:r>
      <w:r>
        <w:rPr>
          <w:rFonts w:hint="eastAsia" w:ascii="宋体" w:hAnsi="宋体" w:eastAsia="宋体" w:cs="宋体"/>
          <w:sz w:val="28"/>
          <w:szCs w:val="28"/>
          <w:lang w:val="en-US" w:eastAsia="zh-CN"/>
        </w:rPr>
        <w:t>213.62</w:t>
      </w:r>
      <w:r>
        <w:rPr>
          <w:rFonts w:hint="eastAsia" w:ascii="宋体" w:hAnsi="宋体" w:eastAsia="宋体" w:cs="宋体"/>
          <w:sz w:val="28"/>
          <w:szCs w:val="28"/>
        </w:rPr>
        <w:t>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3、比上年增减变化情况</w:t>
      </w:r>
    </w:p>
    <w:p>
      <w:pPr>
        <w:pStyle w:val="20"/>
      </w:pPr>
      <w:r>
        <w:rPr>
          <w:rFonts w:hint="eastAsia" w:ascii="宋体" w:hAnsi="宋体" w:eastAsia="宋体" w:cs="宋体"/>
          <w:szCs w:val="28"/>
          <w:lang w:eastAsia="zh-CN"/>
        </w:rPr>
        <w:t>202</w:t>
      </w:r>
      <w:r>
        <w:rPr>
          <w:rFonts w:hint="eastAsia" w:ascii="宋体" w:hAnsi="宋体" w:eastAsia="宋体" w:cs="宋体"/>
          <w:szCs w:val="28"/>
          <w:lang w:val="en-US" w:eastAsia="zh-CN"/>
        </w:rPr>
        <w:t>4</w:t>
      </w:r>
      <w:r>
        <w:rPr>
          <w:rFonts w:hint="eastAsia" w:ascii="宋体" w:hAnsi="宋体" w:eastAsia="宋体" w:cs="宋体"/>
          <w:szCs w:val="28"/>
        </w:rPr>
        <w:t>年预算收支安排</w:t>
      </w:r>
      <w:r>
        <w:rPr>
          <w:rFonts w:hint="eastAsia" w:ascii="宋体" w:hAnsi="宋体" w:eastAsia="宋体" w:cs="宋体"/>
          <w:szCs w:val="28"/>
          <w:lang w:val="en-US" w:eastAsia="zh-CN"/>
        </w:rPr>
        <w:t>604.45</w:t>
      </w:r>
      <w:r>
        <w:rPr>
          <w:rFonts w:hint="eastAsia" w:ascii="宋体" w:hAnsi="宋体" w:eastAsia="宋体" w:cs="宋体"/>
          <w:szCs w:val="28"/>
        </w:rPr>
        <w:t>万元，较</w:t>
      </w:r>
      <w:r>
        <w:rPr>
          <w:rFonts w:hint="eastAsia" w:ascii="宋体" w:hAnsi="宋体" w:eastAsia="宋体" w:cs="宋体"/>
          <w:szCs w:val="28"/>
          <w:lang w:eastAsia="zh-CN"/>
        </w:rPr>
        <w:t>202</w:t>
      </w:r>
      <w:r>
        <w:rPr>
          <w:rFonts w:hint="eastAsia" w:ascii="宋体" w:hAnsi="宋体" w:eastAsia="宋体" w:cs="宋体"/>
          <w:szCs w:val="28"/>
          <w:lang w:val="en-US" w:eastAsia="zh-CN"/>
        </w:rPr>
        <w:t>3</w:t>
      </w:r>
      <w:r>
        <w:rPr>
          <w:rFonts w:hint="eastAsia" w:ascii="宋体" w:hAnsi="宋体" w:eastAsia="宋体" w:cs="宋体"/>
          <w:szCs w:val="28"/>
        </w:rPr>
        <w:t>年预算</w:t>
      </w:r>
      <w:r>
        <w:rPr>
          <w:rFonts w:hint="eastAsia" w:ascii="宋体" w:hAnsi="宋体" w:eastAsia="宋体" w:cs="宋体"/>
          <w:szCs w:val="28"/>
          <w:lang w:val="en-US" w:eastAsia="zh-CN"/>
        </w:rPr>
        <w:t>减少325.74</w:t>
      </w:r>
      <w:r>
        <w:rPr>
          <w:rFonts w:hint="eastAsia" w:ascii="宋体" w:hAnsi="宋体" w:eastAsia="宋体" w:cs="宋体"/>
          <w:szCs w:val="28"/>
        </w:rPr>
        <w:t>万元，其中基本支出</w:t>
      </w:r>
      <w:r>
        <w:rPr>
          <w:rFonts w:hint="eastAsia" w:ascii="宋体" w:hAnsi="宋体" w:eastAsia="宋体" w:cs="宋体"/>
          <w:szCs w:val="28"/>
          <w:lang w:val="en-US" w:eastAsia="zh-CN"/>
        </w:rPr>
        <w:t>减少4.75</w:t>
      </w:r>
      <w:r>
        <w:rPr>
          <w:rFonts w:hint="eastAsia" w:ascii="宋体" w:hAnsi="宋体" w:eastAsia="宋体" w:cs="宋体"/>
          <w:szCs w:val="28"/>
        </w:rPr>
        <w:t>万元，主要是正常</w:t>
      </w:r>
      <w:r>
        <w:rPr>
          <w:rFonts w:hint="eastAsia" w:ascii="宋体" w:hAnsi="宋体" w:eastAsia="宋体" w:cs="宋体"/>
          <w:szCs w:val="28"/>
          <w:lang w:val="en-US" w:eastAsia="zh-CN"/>
        </w:rPr>
        <w:t>办公经费调整</w:t>
      </w:r>
      <w:r>
        <w:rPr>
          <w:rFonts w:hint="eastAsia" w:ascii="宋体" w:hAnsi="宋体" w:eastAsia="宋体" w:cs="宋体"/>
          <w:szCs w:val="28"/>
        </w:rPr>
        <w:t>；项目支出</w:t>
      </w:r>
      <w:r>
        <w:rPr>
          <w:rFonts w:hint="eastAsia" w:ascii="宋体" w:hAnsi="宋体" w:eastAsia="宋体" w:cs="宋体"/>
          <w:szCs w:val="28"/>
          <w:lang w:val="en-US" w:eastAsia="zh-CN"/>
        </w:rPr>
        <w:t>减少321</w:t>
      </w:r>
      <w:r>
        <w:rPr>
          <w:rFonts w:hint="eastAsia" w:ascii="宋体" w:hAnsi="宋体" w:eastAsia="宋体" w:cs="宋体"/>
          <w:szCs w:val="28"/>
        </w:rPr>
        <w:t>万元，主要是</w:t>
      </w:r>
      <w:r>
        <w:rPr>
          <w:rFonts w:hint="eastAsia" w:ascii="宋体" w:hAnsi="宋体" w:eastAsia="宋体" w:cs="宋体"/>
          <w:szCs w:val="28"/>
          <w:lang w:val="en-US" w:eastAsia="zh-CN"/>
        </w:rPr>
        <w:t>规范基础设施建设</w:t>
      </w:r>
      <w:r>
        <w:rPr>
          <w:rFonts w:hint="eastAsia" w:ascii="宋体" w:hAnsi="宋体" w:eastAsia="宋体" w:cs="宋体"/>
          <w:szCs w:val="28"/>
        </w:rPr>
        <w:t>。</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ascii="宋体" w:hAnsi="宋体" w:eastAsia="宋体" w:cs="宋体"/>
          <w:sz w:val="28"/>
          <w:szCs w:val="28"/>
        </w:rPr>
        <w:t>日常公用经费安排</w:t>
      </w:r>
      <w:r>
        <w:rPr>
          <w:rFonts w:hint="eastAsia" w:ascii="宋体" w:hAnsi="宋体" w:eastAsia="宋体" w:cs="宋体"/>
          <w:sz w:val="28"/>
          <w:szCs w:val="28"/>
          <w:lang w:val="en-US" w:eastAsia="zh-CN"/>
        </w:rPr>
        <w:t>28.92</w:t>
      </w:r>
      <w:r>
        <w:rPr>
          <w:rFonts w:hint="eastAsia" w:ascii="宋体" w:hAnsi="宋体" w:eastAsia="宋体" w:cs="宋体"/>
          <w:sz w:val="28"/>
          <w:szCs w:val="28"/>
        </w:rPr>
        <w:t>万元，包括：办公费、差旅费、水费、电费、</w:t>
      </w:r>
      <w:r>
        <w:rPr>
          <w:rFonts w:hint="eastAsia" w:ascii="宋体" w:hAnsi="宋体" w:eastAsia="宋体" w:cs="宋体"/>
          <w:sz w:val="28"/>
          <w:szCs w:val="28"/>
          <w:lang w:eastAsia="zh-CN"/>
        </w:rPr>
        <w:t>印刷费及</w:t>
      </w:r>
      <w:r>
        <w:rPr>
          <w:rFonts w:hint="eastAsia" w:ascii="宋体" w:hAnsi="宋体" w:eastAsia="宋体" w:cs="宋体"/>
          <w:sz w:val="28"/>
          <w:szCs w:val="28"/>
        </w:rPr>
        <w:t>其他支出等。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年度“三公”预算支出1万元，其中，因公出国（境）费0元，</w:t>
      </w:r>
      <w:r>
        <w:rPr>
          <w:rFonts w:hint="eastAsia" w:ascii="宋体" w:hAnsi="宋体" w:eastAsia="宋体" w:cs="宋体"/>
          <w:sz w:val="28"/>
          <w:szCs w:val="28"/>
          <w:lang w:eastAsia="zh-CN"/>
        </w:rPr>
        <w:t>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年相比持平，</w:t>
      </w:r>
      <w:r>
        <w:rPr>
          <w:rFonts w:hint="eastAsia" w:ascii="宋体" w:hAnsi="宋体" w:eastAsia="宋体" w:cs="宋体"/>
          <w:sz w:val="28"/>
          <w:szCs w:val="28"/>
        </w:rPr>
        <w:t>安排公务用车维护费1万元，（其中公务用车购置费0万元，公务用车运行维护费0万元），</w:t>
      </w:r>
      <w:r>
        <w:rPr>
          <w:rFonts w:hint="eastAsia" w:ascii="宋体" w:hAnsi="宋体" w:eastAsia="宋体" w:cs="宋体"/>
          <w:sz w:val="28"/>
          <w:szCs w:val="28"/>
          <w:lang w:eastAsia="zh-CN"/>
        </w:rPr>
        <w:t>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年持平</w:t>
      </w:r>
      <w:r>
        <w:rPr>
          <w:rFonts w:hint="eastAsia" w:ascii="宋体" w:hAnsi="宋体" w:eastAsia="宋体" w:cs="宋体"/>
          <w:sz w:val="28"/>
          <w:szCs w:val="28"/>
        </w:rPr>
        <w:t>。原因为树立过紧日子的思想，预算经费减少。公务接</w:t>
      </w:r>
      <w:r>
        <w:rPr>
          <w:rFonts w:hint="eastAsia" w:ascii="宋体" w:hAnsi="宋体" w:eastAsia="宋体" w:cs="宋体"/>
          <w:sz w:val="28"/>
          <w:szCs w:val="28"/>
          <w:lang w:eastAsia="zh-CN"/>
        </w:rPr>
        <w:t>待</w:t>
      </w:r>
      <w:r>
        <w:rPr>
          <w:rFonts w:hint="eastAsia" w:ascii="宋体" w:hAnsi="宋体" w:eastAsia="宋体" w:cs="宋体"/>
          <w:sz w:val="28"/>
          <w:szCs w:val="28"/>
        </w:rPr>
        <w:t>费0万元，</w:t>
      </w:r>
      <w:r>
        <w:rPr>
          <w:rFonts w:hint="eastAsia" w:ascii="宋体" w:hAnsi="宋体" w:eastAsia="宋体" w:cs="宋体"/>
          <w:sz w:val="28"/>
          <w:szCs w:val="28"/>
          <w:lang w:eastAsia="zh-CN"/>
        </w:rPr>
        <w:t>与202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ind w:firstLine="560" w:firstLineChars="20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紧扣产业升级，有效推动经济持续健康发展。</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大力发展优质产业。近年来我乡重点打造的岳固葡萄、团城黄冠梨、朝天椒等特色农业品牌，要致力于改变产业发展集中在种植业和农产品粗加工的现状，大力发展特色种养、有机种植等优势高效农业，持续推行“互联网+现代农业”发展模式，不断扩大特色农产品的品牌影响力。我乡已牵头与中国农大对接，对岳固葡萄进行品种改良、提升品质，以此为契机，探索发展壮大村级集体经济新路径，力争到</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年末各个村年收益可达</w:t>
      </w:r>
      <w:r>
        <w:rPr>
          <w:rFonts w:hint="eastAsia" w:ascii="宋体" w:hAnsi="宋体" w:eastAsia="宋体" w:cs="宋体"/>
          <w:sz w:val="28"/>
          <w:szCs w:val="28"/>
          <w:lang w:val="en-US" w:eastAsia="zh-CN"/>
        </w:rPr>
        <w:t xml:space="preserve">10 </w:t>
      </w:r>
      <w:r>
        <w:rPr>
          <w:rFonts w:hint="eastAsia" w:ascii="宋体" w:hAnsi="宋体" w:eastAsia="宋体" w:cs="宋体"/>
          <w:sz w:val="28"/>
          <w:szCs w:val="28"/>
        </w:rPr>
        <w:t>万元以上，使村民获得感、幸福感、安全感进一步增强。</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着力打造龙头企业。充分发挥农业产业化地域优势、政策优势，吸引更多的规模项目落户我乡，打造龙头企业，提升特色农业知名度。全力做好项目服务保障，继续实施周调度制度，严格落实全程跟踪服务，全面推行代办制、领办制，确保签约项目早投产、早见效。</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形成特色发展格局。以红星养殖场为代表的蛋鸡、种猪等禽类养殖规模日益扩大，以邯郸市鑫马制衣有限公司、金喜丹食品厂、运龙箱包厂等为代表的加工业蓬勃发展，着力形成具有地域特色的经济发展格局。</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紧扣三大攻坚，着力补齐全面建成小康社会短板。</w:t>
      </w:r>
    </w:p>
    <w:p>
      <w:pPr>
        <w:pStyle w:val="2"/>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聚焦聚力脱贫攻坚。紧盯</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度脱贫任务，坚持现行标准实现稳定脱贫的总体目标，围绕两不愁三保障、一安全”认真开展摸排，严格落实“四个不摘”要求，在预防返贫和新的致贫上下功夫，着力提高脱贫质量，切实做到“三精准、三保障、三落实”，确保</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年在现行标准下建档立卡贫困人口实现稳定脱贫，为我乡脱贫攻坚战取得全面胜利奠定坚实基础。</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2、是</w:t>
      </w:r>
      <w:r>
        <w:rPr>
          <w:rFonts w:hint="eastAsia" w:ascii="宋体" w:hAnsi="宋体" w:eastAsia="宋体" w:cs="宋体"/>
          <w:sz w:val="28"/>
          <w:szCs w:val="28"/>
        </w:rPr>
        <w:t>打好打赢污染防治。按照美丽乡村建设标准，开展农村非正规垃圾堆放点整治，完成年度人居环境整治任务；严格落实“河长制”，切实加强水环境治理，进一步完善</w:t>
      </w:r>
      <w:r>
        <w:rPr>
          <w:rFonts w:hint="eastAsia" w:ascii="宋体" w:hAnsi="宋体" w:eastAsia="宋体" w:cs="宋体"/>
          <w:sz w:val="28"/>
          <w:szCs w:val="28"/>
          <w:lang w:eastAsia="zh-CN"/>
        </w:rPr>
        <w:t>城乡</w:t>
      </w:r>
      <w:r>
        <w:rPr>
          <w:rFonts w:hint="eastAsia" w:ascii="宋体" w:hAnsi="宋体" w:eastAsia="宋体" w:cs="宋体"/>
          <w:sz w:val="28"/>
          <w:szCs w:val="28"/>
        </w:rPr>
        <w:t>污水管网收集和污水处理；全面实行网格化管理，全面禁止焚烧秸秆，实施烟花爆竹全域禁放，确保PM2.5均值、空气优良率完成年度目标，PM10均值持续下降，不断强化过程管控，健全环境监管网格体系，牢固树立生态优先绿色发展理念，努力打造山清水秀、天蓝地绿。</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谋好谋实重大风险防控。对照</w:t>
      </w:r>
      <w:r>
        <w:rPr>
          <w:rFonts w:hint="eastAsia" w:ascii="宋体" w:hAnsi="宋体" w:eastAsia="宋体" w:cs="宋体"/>
          <w:sz w:val="28"/>
          <w:szCs w:val="28"/>
          <w:lang w:val="en-US" w:eastAsia="zh-CN"/>
        </w:rPr>
        <w:t>刘金仓</w:t>
      </w:r>
      <w:r>
        <w:rPr>
          <w:rFonts w:hint="eastAsia" w:ascii="宋体" w:hAnsi="宋体" w:eastAsia="宋体" w:cs="宋体"/>
          <w:sz w:val="28"/>
          <w:szCs w:val="28"/>
        </w:rPr>
        <w:t>书记对信访工作提出的“十点要求”，深刻认识信访稳定的本质，深入推进零式工作法，切实有效解决信访问题，不断巩固信访稳定成果；加强社会治安综合治理，纵深推进扫黑除恶专项斗争，做好整改，抓好工作落实，严厉打击各类违法犯罪活动，提高人民群众安全感和满意度；进一步落实保安全、护稳定各项措施，下大气力解决好人民群众切身利益问题，全面做好社会保障、食品安全、安全生产、社会治安等各方面工作，不断增加人民群众的获得感、幸福感、安全感。</w:t>
      </w:r>
    </w:p>
    <w:p>
      <w:pPr>
        <w:ind w:firstLine="321" w:firstLineChars="100"/>
        <w:rPr>
          <w:rFonts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紧扣乡村振兴，保障发展社会民生事业。</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丰富强化民生关怀。完善公共文化服务体系建设，继续推进两项文化民生工程。加大各类优抚对象走访慰问力度，定期开展对敬老院、困难群众的走访和关怀，帮助困难群众解决实际问题，推进农村留守儿童关爱保护工作，开展助老、助残、医疗、环保等志愿服务活动。继续做好妇联关爱活动，依法维护妇女儿童合法权益。</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严格落实惠民政策。继续加大财政对民生的投入力度，加快便民服务中心建设，集中力量做好普惠性、基础性、兜底性民生建设。深入推进全民参保计划，稳步提高社会保障水平，夯实社会保障基本全覆盖成果。加强对特困人员、残疾人、优抚对象等群体的兜底保障，继续完善残疾人之家和残疾人工作站设施配备及服务群众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紧扣全面发展，努力实现争先进位。</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1、是</w:t>
      </w:r>
      <w:r>
        <w:rPr>
          <w:rFonts w:hint="eastAsia" w:ascii="宋体" w:hAnsi="宋体" w:eastAsia="宋体" w:cs="宋体"/>
          <w:sz w:val="28"/>
          <w:szCs w:val="28"/>
        </w:rPr>
        <w:t>树立安全发展理念。严格落实安全生产责任制，确保实现安全生产事故“双下降”。强化人员密集场所等重点领域隐患排查整治，加大对危险品、烟花爆竹的检查和整治力度。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全面统筹其他工作。按照上级要求开展第七次全国人口普查工作。加强退役军人服务管理，进一步深化双拥共建。稳妥解决民族宗教领域相关问题，坚持意识形态工作责任制。加快全乡移风易俗宣传引导向纵深推进，全力推进殡葬改革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w:t>
      </w:r>
      <w:r>
        <w:rPr>
          <w:rFonts w:hint="eastAsia" w:ascii="仿宋" w:hAnsi="仿宋" w:eastAsia="仿宋" w:cs="仿宋"/>
          <w:b/>
          <w:bCs/>
          <w:sz w:val="32"/>
          <w:szCs w:val="32"/>
          <w:lang w:eastAsia="zh-CN"/>
        </w:rPr>
        <w:t>全面从严治党</w:t>
      </w:r>
      <w:r>
        <w:rPr>
          <w:rFonts w:hint="eastAsia" w:ascii="仿宋" w:hAnsi="仿宋" w:eastAsia="仿宋" w:cs="仿宋"/>
          <w:b/>
          <w:bCs/>
          <w:sz w:val="32"/>
          <w:szCs w:val="32"/>
        </w:rPr>
        <w:t>，建设清正廉洁干部队伍。</w:t>
      </w:r>
    </w:p>
    <w:p>
      <w:pPr>
        <w:spacing w:line="360" w:lineRule="auto"/>
        <w:ind w:firstLine="560" w:firstLineChars="200"/>
      </w:pPr>
      <w:r>
        <w:rPr>
          <w:rFonts w:hint="eastAsia" w:ascii="宋体" w:hAnsi="宋体" w:eastAsia="宋体" w:cs="宋体"/>
          <w:sz w:val="28"/>
          <w:szCs w:val="28"/>
        </w:rPr>
        <w:t>切实履行党风廉政建设“一岗双责”，以政治建设为统领，以压实责任为关键，以领导干部为重点，将全面从严治党贯穿政府工作全过程，抓紧日常监督，用好提醒诫勉。主动接受社会和舆论监督，确保办理质量，提高满意度。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numPr>
          <w:ilvl w:val="0"/>
          <w:numId w:val="3"/>
        </w:numPr>
        <w:spacing w:line="360" w:lineRule="auto"/>
        <w:ind w:firstLine="560" w:firstLineChars="20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numPr>
          <w:ilvl w:val="0"/>
          <w:numId w:val="0"/>
        </w:numPr>
        <w:spacing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1、</w:t>
      </w:r>
      <w:r>
        <w:rPr>
          <w:rFonts w:hint="eastAsia" w:ascii="宋体" w:hAnsi="宋体" w:eastAsia="宋体" w:cs="宋体"/>
          <w:sz w:val="28"/>
          <w:szCs w:val="28"/>
        </w:rPr>
        <w:t>大力发展特色种养、有机种植等优势高效农业</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w:t>
      </w:r>
      <w:r>
        <w:rPr>
          <w:rFonts w:hint="eastAsia" w:ascii="宋体" w:hAnsi="宋体" w:eastAsia="宋体" w:cs="宋体"/>
          <w:sz w:val="28"/>
          <w:szCs w:val="28"/>
          <w:lang w:eastAsia="zh-CN"/>
        </w:rPr>
        <w:t>。</w:t>
      </w:r>
    </w:p>
    <w:p>
      <w:pPr>
        <w:pStyle w:val="2"/>
        <w:rPr>
          <w:rFonts w:ascii="宋体" w:hAnsi="宋体" w:eastAsia="宋体" w:cs="宋体"/>
          <w:sz w:val="28"/>
          <w:szCs w:val="28"/>
        </w:rPr>
      </w:pPr>
      <w:r>
        <w:rPr>
          <w:rFonts w:hint="eastAsia" w:ascii="宋体" w:hAnsi="宋体" w:eastAsia="宋体" w:cs="宋体"/>
          <w:sz w:val="28"/>
          <w:szCs w:val="28"/>
          <w:lang w:eastAsia="zh-CN"/>
        </w:rPr>
        <w:t>3、</w:t>
      </w:r>
      <w:r>
        <w:rPr>
          <w:rFonts w:hint="eastAsia" w:ascii="宋体" w:hAnsi="宋体" w:eastAsia="宋体" w:cs="宋体"/>
          <w:sz w:val="28"/>
          <w:szCs w:val="28"/>
        </w:rPr>
        <w:t>紧盯</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年度脱贫任务，坚持现行标准实现稳定脱贫的总体目标，围绕两不愁三保障、一安全”认真开展摸排，严格落实“四个不摘”要求</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hint="eastAsia" w:ascii="宋体" w:hAnsi="宋体" w:eastAsia="宋体" w:cs="宋体"/>
          <w:sz w:val="28"/>
          <w:szCs w:val="28"/>
        </w:rPr>
        <w:t>不断强化过程管控，健全环境监管网格体系，牢固树立生态优先绿色发展理念</w:t>
      </w:r>
      <w:r>
        <w:rPr>
          <w:rFonts w:hint="eastAsia" w:ascii="宋体" w:hAnsi="宋体" w:eastAsia="宋体" w:cs="宋体"/>
          <w:sz w:val="28"/>
          <w:szCs w:val="28"/>
          <w:lang w:eastAsia="zh-CN"/>
        </w:rPr>
        <w:t>。</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5、</w:t>
      </w:r>
      <w:r>
        <w:rPr>
          <w:rFonts w:hint="eastAsia" w:ascii="宋体" w:hAnsi="宋体" w:eastAsia="宋体" w:cs="宋体"/>
          <w:sz w:val="28"/>
          <w:szCs w:val="28"/>
        </w:rPr>
        <w:t>全面做好社会保障、食品安全、安全生产、社会治安等各方面工作，不断增加人民群众的获得感、幸福感、安全感。</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w:t>
      </w:r>
      <w:r>
        <w:rPr>
          <w:rFonts w:hint="eastAsia" w:ascii="宋体" w:hAnsi="宋体" w:eastAsia="宋体" w:cs="宋体"/>
          <w:sz w:val="28"/>
          <w:szCs w:val="28"/>
        </w:rPr>
        <w:t>完善公共文化服务体系建设，继续推进两项文化民生工程</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7、</w:t>
      </w:r>
      <w:r>
        <w:rPr>
          <w:rFonts w:hint="eastAsia" w:ascii="宋体" w:hAnsi="宋体" w:eastAsia="宋体" w:cs="宋体"/>
          <w:sz w:val="28"/>
          <w:szCs w:val="28"/>
        </w:rPr>
        <w:t>继续加大财政对民生的投入力度，加快便民服务中心建设，集中力量做好普惠性、基础性、兜底性民生建设</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8、</w:t>
      </w:r>
      <w:r>
        <w:rPr>
          <w:rFonts w:hint="eastAsia" w:ascii="宋体" w:hAnsi="宋体" w:eastAsia="宋体" w:cs="宋体"/>
          <w:sz w:val="28"/>
          <w:szCs w:val="28"/>
        </w:rPr>
        <w:t>严格落实安全生产责任制，确保实现安全生产事故“双下降”。</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9、</w:t>
      </w:r>
      <w:r>
        <w:rPr>
          <w:rFonts w:hint="eastAsia" w:ascii="宋体" w:hAnsi="宋体" w:eastAsia="宋体" w:cs="宋体"/>
          <w:sz w:val="28"/>
          <w:szCs w:val="28"/>
        </w:rPr>
        <w:t>加快全乡移风易俗宣传引导向纵深推进，全力推进殡葬改革工作。</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10、</w:t>
      </w:r>
      <w:r>
        <w:rPr>
          <w:rFonts w:hint="eastAsia" w:ascii="宋体" w:hAnsi="宋体" w:eastAsia="宋体" w:cs="宋体"/>
          <w:sz w:val="28"/>
          <w:szCs w:val="28"/>
        </w:rPr>
        <w:t>以政治建设为统领，以压实责任为关键，以领导干部为重点，将全面从严治党贯穿政府工作全过程，抓紧日常监督，用好提醒诫勉。</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numPr>
          <w:ilvl w:val="0"/>
          <w:numId w:val="4"/>
        </w:numPr>
        <w:ind w:firstLine="560" w:firstLineChars="200"/>
        <w:rPr>
          <w:rFonts w:ascii="宋体" w:hAnsi="宋体" w:eastAsia="宋体" w:cs="宋体"/>
          <w:sz w:val="28"/>
          <w:szCs w:val="28"/>
        </w:rPr>
      </w:pPr>
      <w:r>
        <w:rPr>
          <w:rFonts w:hint="eastAsia" w:ascii="宋体" w:hAnsi="宋体" w:eastAsia="宋体" w:cs="宋体"/>
          <w:sz w:val="28"/>
          <w:szCs w:val="28"/>
        </w:rPr>
        <w:t>持续推行“互联网+现代农业”发展模式，不断扩大特色农产品的品牌影响力。</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继续实施周调度制度，严格落实全程跟踪服务，全面推行代办制、领办制，确保签约项目早投产、早见效。</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rPr>
        <w:t>着力提高脱贫质量，切实做到“三精准、三保障、三落实”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4、</w:t>
      </w:r>
      <w:r>
        <w:rPr>
          <w:rFonts w:hint="eastAsia" w:ascii="宋体" w:hAnsi="宋体" w:eastAsia="宋体" w:cs="宋体"/>
          <w:sz w:val="28"/>
          <w:szCs w:val="28"/>
        </w:rPr>
        <w:t>按照美丽乡村建设标准，开展农村非正规垃圾堆放点整治</w:t>
      </w:r>
      <w:r>
        <w:rPr>
          <w:rFonts w:hint="eastAsia" w:ascii="宋体" w:hAnsi="宋体" w:eastAsia="宋体" w:cs="宋体"/>
          <w:sz w:val="28"/>
          <w:szCs w:val="28"/>
          <w:lang w:eastAsia="zh-CN"/>
        </w:rPr>
        <w:t>。</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5、</w:t>
      </w:r>
      <w:r>
        <w:rPr>
          <w:rFonts w:hint="eastAsia" w:ascii="宋体" w:hAnsi="宋体" w:eastAsia="宋体" w:cs="宋体"/>
          <w:sz w:val="28"/>
          <w:szCs w:val="28"/>
        </w:rPr>
        <w:t>加强社会治安综合治理，纵深推进扫黑除恶专项斗争，做好整改，抓好工作落实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6、</w:t>
      </w:r>
      <w:r>
        <w:rPr>
          <w:rFonts w:hint="eastAsia" w:ascii="宋体" w:hAnsi="宋体" w:eastAsia="宋体" w:cs="宋体"/>
          <w:sz w:val="28"/>
          <w:szCs w:val="28"/>
        </w:rPr>
        <w:t>帮助困难群众解决实际问题，推进农村留守儿童关爱保护工作，开展助老、助残、医疗、环保等志愿服务活动。</w:t>
      </w:r>
    </w:p>
    <w:p>
      <w:pPr>
        <w:ind w:firstLine="640"/>
        <w:rPr>
          <w:rFonts w:ascii="宋体" w:hAnsi="宋体" w:eastAsia="宋体" w:cs="宋体"/>
          <w:sz w:val="28"/>
          <w:szCs w:val="28"/>
        </w:rPr>
      </w:pPr>
      <w:r>
        <w:rPr>
          <w:rFonts w:hint="eastAsia" w:ascii="宋体" w:hAnsi="宋体" w:eastAsia="宋体" w:cs="宋体"/>
          <w:sz w:val="28"/>
          <w:szCs w:val="28"/>
          <w:lang w:eastAsia="zh-CN"/>
        </w:rPr>
        <w:t>7、</w:t>
      </w:r>
      <w:r>
        <w:rPr>
          <w:rFonts w:hint="eastAsia" w:ascii="宋体" w:hAnsi="宋体" w:eastAsia="宋体" w:cs="宋体"/>
          <w:sz w:val="28"/>
          <w:szCs w:val="28"/>
        </w:rPr>
        <w:t>深入推进全民参保计划，稳步提高社会保障水平，夯实社会保障基本全覆盖成果。</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8、</w:t>
      </w:r>
      <w:r>
        <w:rPr>
          <w:rFonts w:hint="eastAsia" w:ascii="宋体" w:hAnsi="宋体" w:eastAsia="宋体" w:cs="宋体"/>
          <w:sz w:val="28"/>
          <w:szCs w:val="28"/>
        </w:rPr>
        <w:t>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9、</w:t>
      </w:r>
      <w:r>
        <w:rPr>
          <w:rFonts w:hint="eastAsia" w:ascii="宋体" w:hAnsi="宋体" w:eastAsia="宋体" w:cs="宋体"/>
          <w:sz w:val="28"/>
          <w:szCs w:val="28"/>
        </w:rPr>
        <w:t>稳妥解决民族宗教领域相关问题，坚持意识形态工作责任制。</w:t>
      </w:r>
      <w:r>
        <w:rPr>
          <w:rFonts w:hint="eastAsia" w:ascii="宋体" w:hAnsi="宋体" w:eastAsia="宋体" w:cs="宋体"/>
          <w:sz w:val="28"/>
          <w:szCs w:val="28"/>
          <w:lang w:eastAsia="zh-CN"/>
        </w:rPr>
        <w:t xml:space="preserve"> </w:t>
      </w:r>
    </w:p>
    <w:p>
      <w:pPr>
        <w:pStyle w:val="25"/>
        <w:sectPr>
          <w:pgSz w:w="16840" w:h="11900" w:orient="landscape"/>
          <w:pgMar w:top="1361" w:right="1020" w:bottom="1361" w:left="1020" w:header="720" w:footer="720" w:gutter="0"/>
          <w:cols w:space="720" w:num="1"/>
        </w:sectPr>
      </w:pPr>
      <w:r>
        <w:rPr>
          <w:rFonts w:hint="eastAsia" w:ascii="宋体" w:hAnsi="宋体" w:eastAsia="宋体" w:cs="宋体"/>
          <w:sz w:val="28"/>
          <w:szCs w:val="28"/>
          <w:lang w:eastAsia="zh-CN"/>
        </w:rPr>
        <w:t>10、</w:t>
      </w:r>
      <w:r>
        <w:rPr>
          <w:rFonts w:hint="eastAsia" w:ascii="宋体" w:hAnsi="宋体" w:eastAsia="宋体" w:cs="宋体"/>
          <w:sz w:val="28"/>
          <w:szCs w:val="28"/>
        </w:rPr>
        <w:t>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spacing w:before="10" w:after="10" w:line="360" w:lineRule="auto"/>
        <w:ind w:firstLine="640"/>
        <w:jc w:val="left"/>
        <w:outlineLvl w:val="2"/>
        <w:rPr>
          <w:rFonts w:hint="default" w:eastAsia="黑体"/>
          <w:lang w:val="en-US" w:eastAsia="zh-CN"/>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13042424P001PDR102210</w:t>
            </w:r>
          </w:p>
        </w:tc>
        <w:tc>
          <w:tcPr>
            <w:tcW w:w="2835" w:type="dxa"/>
            <w:vAlign w:val="center"/>
          </w:tcPr>
          <w:p>
            <w:pPr>
              <w:pStyle w:val="12"/>
            </w:pPr>
            <w:r>
              <w:t>项目名称</w:t>
            </w:r>
          </w:p>
        </w:tc>
        <w:tc>
          <w:tcPr>
            <w:tcW w:w="6094" w:type="dxa"/>
            <w:gridSpan w:val="3"/>
            <w:vAlign w:val="center"/>
          </w:tcPr>
          <w:p>
            <w:pPr>
              <w:pStyle w:val="14"/>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w:t>
            </w:r>
          </w:p>
        </w:tc>
        <w:tc>
          <w:tcPr>
            <w:tcW w:w="2835" w:type="dxa"/>
            <w:vAlign w:val="center"/>
          </w:tcPr>
          <w:p>
            <w:pPr>
              <w:pStyle w:val="12"/>
            </w:pPr>
            <w:r>
              <w:t>其中：财政    资金</w:t>
            </w:r>
          </w:p>
        </w:tc>
        <w:tc>
          <w:tcPr>
            <w:tcW w:w="2551" w:type="dxa"/>
            <w:vAlign w:val="center"/>
          </w:tcPr>
          <w:p>
            <w:pPr>
              <w:pStyle w:val="14"/>
            </w:pPr>
            <w:r>
              <w:t>3.60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0.90</w:t>
            </w:r>
          </w:p>
        </w:tc>
        <w:tc>
          <w:tcPr>
            <w:tcW w:w="2835" w:type="dxa"/>
            <w:vAlign w:val="center"/>
          </w:tcPr>
          <w:p>
            <w:pPr>
              <w:pStyle w:val="15"/>
            </w:pPr>
            <w:r>
              <w:t>1.80</w:t>
            </w:r>
          </w:p>
        </w:tc>
        <w:tc>
          <w:tcPr>
            <w:tcW w:w="2551" w:type="dxa"/>
            <w:vAlign w:val="center"/>
          </w:tcPr>
          <w:p>
            <w:pPr>
              <w:pStyle w:val="15"/>
            </w:pPr>
            <w:r>
              <w:t>2.70</w:t>
            </w:r>
          </w:p>
        </w:tc>
        <w:tc>
          <w:tcPr>
            <w:tcW w:w="3543" w:type="dxa"/>
            <w:gridSpan w:val="2"/>
            <w:vAlign w:val="center"/>
          </w:tcPr>
          <w:p>
            <w:pPr>
              <w:pStyle w:val="15"/>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1.保障职工的福利待遇</w:t>
            </w:r>
          </w:p>
          <w:p>
            <w:pPr>
              <w:pStyle w:val="14"/>
            </w:pPr>
            <w:r>
              <w:t>2.提高干部职工的工作积极性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5386" w:type="dxa"/>
            <w:vAlign w:val="center"/>
          </w:tcPr>
          <w:p>
            <w:pPr>
              <w:pStyle w:val="14"/>
            </w:pPr>
            <w:r>
              <w:t>本单位享有补助的职工数量</w:t>
            </w:r>
          </w:p>
        </w:tc>
        <w:tc>
          <w:tcPr>
            <w:tcW w:w="2268" w:type="dxa"/>
            <w:vAlign w:val="center"/>
          </w:tcPr>
          <w:p>
            <w:pPr>
              <w:pStyle w:val="14"/>
            </w:pPr>
            <w:r>
              <w:t>6人</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5386" w:type="dxa"/>
            <w:vAlign w:val="center"/>
          </w:tcPr>
          <w:p>
            <w:pPr>
              <w:pStyle w:val="14"/>
            </w:pPr>
            <w:r>
              <w:t>差补工资发放率</w:t>
            </w:r>
          </w:p>
        </w:tc>
        <w:tc>
          <w:tcPr>
            <w:tcW w:w="2268" w:type="dxa"/>
            <w:vAlign w:val="center"/>
          </w:tcPr>
          <w:p>
            <w:pPr>
              <w:pStyle w:val="14"/>
            </w:pPr>
            <w:r>
              <w:t>100百分比</w:t>
            </w:r>
          </w:p>
        </w:tc>
        <w:tc>
          <w:tcPr>
            <w:tcW w:w="127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5386" w:type="dxa"/>
            <w:vAlign w:val="center"/>
          </w:tcPr>
          <w:p>
            <w:pPr>
              <w:pStyle w:val="14"/>
            </w:pPr>
            <w:r>
              <w:t>该项资金使用期限</w:t>
            </w:r>
          </w:p>
        </w:tc>
        <w:tc>
          <w:tcPr>
            <w:tcW w:w="2268" w:type="dxa"/>
            <w:vAlign w:val="center"/>
          </w:tcPr>
          <w:p>
            <w:pPr>
              <w:pStyle w:val="14"/>
            </w:pPr>
            <w:r>
              <w:t>12月</w:t>
            </w:r>
          </w:p>
        </w:tc>
        <w:tc>
          <w:tcPr>
            <w:tcW w:w="127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5386" w:type="dxa"/>
            <w:vAlign w:val="center"/>
          </w:tcPr>
          <w:p>
            <w:pPr>
              <w:pStyle w:val="14"/>
            </w:pPr>
            <w:r>
              <w:t>平均每名职工享有的补助金额</w:t>
            </w:r>
          </w:p>
        </w:tc>
        <w:tc>
          <w:tcPr>
            <w:tcW w:w="2268" w:type="dxa"/>
            <w:vAlign w:val="center"/>
          </w:tcPr>
          <w:p>
            <w:pPr>
              <w:pStyle w:val="14"/>
            </w:pPr>
            <w:r>
              <w:t>0.6万元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5386" w:type="dxa"/>
            <w:vAlign w:val="center"/>
          </w:tcPr>
          <w:p>
            <w:pPr>
              <w:pStyle w:val="14"/>
            </w:pPr>
            <w:r>
              <w:t>提高职工的收入水平，增加幸福感</w:t>
            </w:r>
          </w:p>
        </w:tc>
        <w:tc>
          <w:tcPr>
            <w:tcW w:w="2268" w:type="dxa"/>
            <w:vAlign w:val="center"/>
          </w:tcPr>
          <w:p>
            <w:pPr>
              <w:pStyle w:val="14"/>
            </w:pPr>
            <w:r>
              <w:t>是/否</w:t>
            </w:r>
          </w:p>
        </w:tc>
        <w:tc>
          <w:tcPr>
            <w:tcW w:w="1276"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5386" w:type="dxa"/>
            <w:vAlign w:val="center"/>
          </w:tcPr>
          <w:p>
            <w:pPr>
              <w:pStyle w:val="14"/>
            </w:pPr>
            <w:r>
              <w:t>激励职工努力工作，更好地服务基层</w:t>
            </w:r>
          </w:p>
        </w:tc>
        <w:tc>
          <w:tcPr>
            <w:tcW w:w="2268" w:type="dxa"/>
            <w:vAlign w:val="center"/>
          </w:tcPr>
          <w:p>
            <w:pPr>
              <w:pStyle w:val="14"/>
            </w:pPr>
            <w:r>
              <w:t>是/否</w:t>
            </w:r>
          </w:p>
        </w:tc>
        <w:tc>
          <w:tcPr>
            <w:tcW w:w="1276"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5386" w:type="dxa"/>
            <w:vAlign w:val="center"/>
          </w:tcPr>
          <w:p>
            <w:pPr>
              <w:pStyle w:val="14"/>
            </w:pPr>
            <w:r>
              <w:t>享有补助人员的满意度</w:t>
            </w:r>
          </w:p>
        </w:tc>
        <w:tc>
          <w:tcPr>
            <w:tcW w:w="2268" w:type="dxa"/>
            <w:vAlign w:val="center"/>
          </w:tcPr>
          <w:p>
            <w:pPr>
              <w:pStyle w:val="14"/>
            </w:pPr>
            <w:r>
              <w:t>≥98百分比</w:t>
            </w:r>
          </w:p>
        </w:tc>
        <w:tc>
          <w:tcPr>
            <w:tcW w:w="1276" w:type="dxa"/>
            <w:vAlign w:val="center"/>
          </w:tcPr>
          <w:p>
            <w:pPr>
              <w:pStyle w:val="14"/>
            </w:pPr>
            <w:r>
              <w:t>实地调研</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2、2024年冀南农机公司融资兑付款绩效目标表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13042424P001PDR10057N</w:t>
            </w:r>
          </w:p>
        </w:tc>
        <w:tc>
          <w:tcPr>
            <w:tcW w:w="2835" w:type="dxa"/>
            <w:vAlign w:val="center"/>
          </w:tcPr>
          <w:p>
            <w:pPr>
              <w:pStyle w:val="12"/>
            </w:pPr>
            <w:r>
              <w:t>项目名称</w:t>
            </w:r>
          </w:p>
        </w:tc>
        <w:tc>
          <w:tcPr>
            <w:tcW w:w="6094" w:type="dxa"/>
            <w:gridSpan w:val="3"/>
            <w:vAlign w:val="center"/>
          </w:tcPr>
          <w:p>
            <w:pPr>
              <w:pStyle w:val="14"/>
            </w:pPr>
            <w:r>
              <w:t>2024年冀南农机公司融资兑付款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2024年冀南农机公司融资兑付款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1.维护我县社会和谐稳定</w:t>
            </w:r>
          </w:p>
          <w:p>
            <w:pPr>
              <w:pStyle w:val="14"/>
            </w:pPr>
            <w:r>
              <w:t>2.改善补助群众的生活质量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5386" w:type="dxa"/>
            <w:vAlign w:val="center"/>
          </w:tcPr>
          <w:p>
            <w:pPr>
              <w:pStyle w:val="14"/>
            </w:pPr>
            <w:r>
              <w:t>补助的人数</w:t>
            </w:r>
          </w:p>
        </w:tc>
        <w:tc>
          <w:tcPr>
            <w:tcW w:w="2268" w:type="dxa"/>
            <w:vAlign w:val="center"/>
          </w:tcPr>
          <w:p>
            <w:pPr>
              <w:pStyle w:val="14"/>
            </w:pPr>
            <w:r>
              <w:t>480人</w:t>
            </w:r>
          </w:p>
        </w:tc>
        <w:tc>
          <w:tcPr>
            <w:tcW w:w="1276" w:type="dxa"/>
            <w:vAlign w:val="center"/>
          </w:tcPr>
          <w:p>
            <w:pPr>
              <w:pStyle w:val="14"/>
            </w:pPr>
            <w:r>
              <w:t>冀南农机公司集资户表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实际发放的补助金额占计划发放的金额比率</w:t>
            </w:r>
          </w:p>
        </w:tc>
        <w:tc>
          <w:tcPr>
            <w:tcW w:w="5386" w:type="dxa"/>
            <w:vAlign w:val="center"/>
          </w:tcPr>
          <w:p>
            <w:pPr>
              <w:pStyle w:val="14"/>
            </w:pPr>
            <w:r>
              <w:t>实际发放的补助金额占计划发放的金额比率</w:t>
            </w:r>
          </w:p>
        </w:tc>
        <w:tc>
          <w:tcPr>
            <w:tcW w:w="2268" w:type="dxa"/>
            <w:vAlign w:val="center"/>
          </w:tcPr>
          <w:p>
            <w:pPr>
              <w:pStyle w:val="14"/>
            </w:pPr>
            <w:r>
              <w:t>≥95百分比</w:t>
            </w:r>
          </w:p>
        </w:tc>
        <w:tc>
          <w:tcPr>
            <w:tcW w:w="1276" w:type="dxa"/>
            <w:vAlign w:val="center"/>
          </w:tcPr>
          <w:p>
            <w:pPr>
              <w:pStyle w:val="14"/>
            </w:pPr>
            <w:r>
              <w:t>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发放完需要的时间</w:t>
            </w:r>
          </w:p>
        </w:tc>
        <w:tc>
          <w:tcPr>
            <w:tcW w:w="5386" w:type="dxa"/>
            <w:vAlign w:val="center"/>
          </w:tcPr>
          <w:p>
            <w:pPr>
              <w:pStyle w:val="14"/>
            </w:pPr>
            <w:r>
              <w:t>发放完需要的时间</w:t>
            </w:r>
          </w:p>
        </w:tc>
        <w:tc>
          <w:tcPr>
            <w:tcW w:w="2268" w:type="dxa"/>
            <w:vAlign w:val="center"/>
          </w:tcPr>
          <w:p>
            <w:pPr>
              <w:pStyle w:val="14"/>
            </w:pPr>
            <w:r>
              <w:t>≤90日</w:t>
            </w:r>
          </w:p>
        </w:tc>
        <w:tc>
          <w:tcPr>
            <w:tcW w:w="1276"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2022年补助金额</w:t>
            </w:r>
          </w:p>
        </w:tc>
        <w:tc>
          <w:tcPr>
            <w:tcW w:w="5386" w:type="dxa"/>
            <w:vAlign w:val="center"/>
          </w:tcPr>
          <w:p>
            <w:pPr>
              <w:pStyle w:val="14"/>
            </w:pPr>
            <w:r>
              <w:t>2022年补助资金</w:t>
            </w:r>
          </w:p>
        </w:tc>
        <w:tc>
          <w:tcPr>
            <w:tcW w:w="2268" w:type="dxa"/>
            <w:vAlign w:val="center"/>
          </w:tcPr>
          <w:p>
            <w:pPr>
              <w:pStyle w:val="14"/>
            </w:pPr>
            <w:r>
              <w:t>2022年补助资金</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每人兑付的标准</w:t>
            </w:r>
          </w:p>
        </w:tc>
        <w:tc>
          <w:tcPr>
            <w:tcW w:w="5386" w:type="dxa"/>
            <w:vAlign w:val="center"/>
          </w:tcPr>
          <w:p>
            <w:pPr>
              <w:pStyle w:val="14"/>
            </w:pPr>
            <w:r>
              <w:t>每人兑付的标准</w:t>
            </w:r>
          </w:p>
        </w:tc>
        <w:tc>
          <w:tcPr>
            <w:tcW w:w="2268" w:type="dxa"/>
            <w:vAlign w:val="center"/>
          </w:tcPr>
          <w:p>
            <w:pPr>
              <w:pStyle w:val="14"/>
            </w:pPr>
            <w:r>
              <w:t>每人兑付的标准</w:t>
            </w:r>
          </w:p>
        </w:tc>
        <w:tc>
          <w:tcPr>
            <w:tcW w:w="1276" w:type="dxa"/>
            <w:vAlign w:val="center"/>
          </w:tcPr>
          <w:p>
            <w:pPr>
              <w:pStyle w:val="14"/>
            </w:pPr>
            <w:r>
              <w:t>法院提供的发放表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提高补助群众的幸福指数</w:t>
            </w:r>
          </w:p>
        </w:tc>
        <w:tc>
          <w:tcPr>
            <w:tcW w:w="5386" w:type="dxa"/>
            <w:vAlign w:val="center"/>
          </w:tcPr>
          <w:p>
            <w:pPr>
              <w:pStyle w:val="14"/>
            </w:pPr>
            <w:r>
              <w:t>提高补助群众的幸福指数</w:t>
            </w:r>
          </w:p>
        </w:tc>
        <w:tc>
          <w:tcPr>
            <w:tcW w:w="2268" w:type="dxa"/>
            <w:vAlign w:val="center"/>
          </w:tcPr>
          <w:p>
            <w:pPr>
              <w:pStyle w:val="14"/>
            </w:pPr>
            <w:r>
              <w:t>提高补助群众的幸福指数</w:t>
            </w:r>
          </w:p>
        </w:tc>
        <w:tc>
          <w:tcPr>
            <w:tcW w:w="127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补助人群在生活、医疗等方面有所提高</w:t>
            </w:r>
          </w:p>
        </w:tc>
        <w:tc>
          <w:tcPr>
            <w:tcW w:w="5386" w:type="dxa"/>
            <w:vAlign w:val="center"/>
          </w:tcPr>
          <w:p>
            <w:pPr>
              <w:pStyle w:val="14"/>
            </w:pPr>
            <w:r>
              <w:t>补助人群在生活、医疗等方面有所提高</w:t>
            </w:r>
          </w:p>
        </w:tc>
        <w:tc>
          <w:tcPr>
            <w:tcW w:w="2268" w:type="dxa"/>
            <w:vAlign w:val="center"/>
          </w:tcPr>
          <w:p>
            <w:pPr>
              <w:pStyle w:val="14"/>
            </w:pPr>
            <w:r>
              <w:t>有所提高</w:t>
            </w:r>
          </w:p>
        </w:tc>
        <w:tc>
          <w:tcPr>
            <w:tcW w:w="127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保证补贴群众的补贴发放</w:t>
            </w:r>
          </w:p>
        </w:tc>
        <w:tc>
          <w:tcPr>
            <w:tcW w:w="5386" w:type="dxa"/>
            <w:vAlign w:val="center"/>
          </w:tcPr>
          <w:p>
            <w:pPr>
              <w:pStyle w:val="14"/>
            </w:pPr>
            <w:r>
              <w:t>补助补贴群众的补贴发放</w:t>
            </w:r>
          </w:p>
        </w:tc>
        <w:tc>
          <w:tcPr>
            <w:tcW w:w="2268" w:type="dxa"/>
            <w:vAlign w:val="center"/>
          </w:tcPr>
          <w:p>
            <w:pPr>
              <w:pStyle w:val="14"/>
            </w:pPr>
            <w:r>
              <w:t>是/否</w:t>
            </w:r>
          </w:p>
        </w:tc>
        <w:tc>
          <w:tcPr>
            <w:tcW w:w="1276"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补助群众的满意占比数</w:t>
            </w:r>
          </w:p>
        </w:tc>
        <w:tc>
          <w:tcPr>
            <w:tcW w:w="5386" w:type="dxa"/>
            <w:vAlign w:val="center"/>
          </w:tcPr>
          <w:p>
            <w:pPr>
              <w:pStyle w:val="14"/>
            </w:pPr>
            <w:r>
              <w:t>补助群众的满意占比数</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3、2024年禁烧经费绩效目标表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13042424P001PDR10059X</w:t>
            </w:r>
          </w:p>
        </w:tc>
        <w:tc>
          <w:tcPr>
            <w:tcW w:w="2835" w:type="dxa"/>
            <w:vAlign w:val="center"/>
          </w:tcPr>
          <w:p>
            <w:pPr>
              <w:pStyle w:val="12"/>
            </w:pPr>
            <w:r>
              <w:t>项目名称</w:t>
            </w:r>
          </w:p>
        </w:tc>
        <w:tc>
          <w:tcPr>
            <w:tcW w:w="6094" w:type="dxa"/>
            <w:gridSpan w:val="3"/>
            <w:vAlign w:val="center"/>
          </w:tcPr>
          <w:p>
            <w:pPr>
              <w:pStyle w:val="14"/>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1.有效遏制大气污染</w:t>
            </w:r>
          </w:p>
          <w:p>
            <w:pPr>
              <w:pStyle w:val="14"/>
            </w:pPr>
            <w:r>
              <w:t>2.有效提升环境质量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大气污染案件和隐患处置数量</w:t>
            </w:r>
          </w:p>
        </w:tc>
        <w:tc>
          <w:tcPr>
            <w:tcW w:w="5386" w:type="dxa"/>
            <w:vAlign w:val="center"/>
          </w:tcPr>
          <w:p>
            <w:pPr>
              <w:pStyle w:val="14"/>
            </w:pPr>
            <w:r>
              <w:t>大气污染案件和隐患处置数量</w:t>
            </w:r>
          </w:p>
        </w:tc>
        <w:tc>
          <w:tcPr>
            <w:tcW w:w="2268" w:type="dxa"/>
            <w:vAlign w:val="center"/>
          </w:tcPr>
          <w:p>
            <w:pPr>
              <w:pStyle w:val="14"/>
            </w:pPr>
            <w:r>
              <w:t>≥5件</w:t>
            </w:r>
          </w:p>
        </w:tc>
        <w:tc>
          <w:tcPr>
            <w:tcW w:w="1276"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大气污染案件发现处置率</w:t>
            </w:r>
          </w:p>
        </w:tc>
        <w:tc>
          <w:tcPr>
            <w:tcW w:w="5386" w:type="dxa"/>
            <w:vAlign w:val="center"/>
          </w:tcPr>
          <w:p>
            <w:pPr>
              <w:pStyle w:val="14"/>
            </w:pPr>
            <w:r>
              <w:t>及时发现处置重大污染事件数占重大污染事件总数的比率</w:t>
            </w:r>
          </w:p>
        </w:tc>
        <w:tc>
          <w:tcPr>
            <w:tcW w:w="2268" w:type="dxa"/>
            <w:vAlign w:val="center"/>
          </w:tcPr>
          <w:p>
            <w:pPr>
              <w:pStyle w:val="14"/>
            </w:pPr>
            <w:r>
              <w:t>≥96百分比</w:t>
            </w:r>
          </w:p>
        </w:tc>
        <w:tc>
          <w:tcPr>
            <w:tcW w:w="1276"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突发大气污染事件处置时限</w:t>
            </w:r>
          </w:p>
        </w:tc>
        <w:tc>
          <w:tcPr>
            <w:tcW w:w="5386" w:type="dxa"/>
            <w:vAlign w:val="center"/>
          </w:tcPr>
          <w:p>
            <w:pPr>
              <w:pStyle w:val="14"/>
            </w:pPr>
            <w:r>
              <w:t>突发大气污染事件处置时限</w:t>
            </w:r>
          </w:p>
        </w:tc>
        <w:tc>
          <w:tcPr>
            <w:tcW w:w="2268" w:type="dxa"/>
            <w:vAlign w:val="center"/>
          </w:tcPr>
          <w:p>
            <w:pPr>
              <w:pStyle w:val="14"/>
            </w:pPr>
            <w:r>
              <w:t>≤2小时</w:t>
            </w:r>
          </w:p>
        </w:tc>
        <w:tc>
          <w:tcPr>
            <w:tcW w:w="1276"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租用运输车辆成本</w:t>
            </w:r>
          </w:p>
        </w:tc>
        <w:tc>
          <w:tcPr>
            <w:tcW w:w="5386" w:type="dxa"/>
            <w:vAlign w:val="center"/>
          </w:tcPr>
          <w:p>
            <w:pPr>
              <w:pStyle w:val="14"/>
            </w:pPr>
            <w:r>
              <w:t>租用隐患清运车辆每辆每天成本</w:t>
            </w:r>
          </w:p>
        </w:tc>
        <w:tc>
          <w:tcPr>
            <w:tcW w:w="2268" w:type="dxa"/>
            <w:vAlign w:val="center"/>
          </w:tcPr>
          <w:p>
            <w:pPr>
              <w:pStyle w:val="14"/>
            </w:pPr>
            <w:r>
              <w:t>≤300元</w:t>
            </w:r>
          </w:p>
        </w:tc>
        <w:tc>
          <w:tcPr>
            <w:tcW w:w="1276"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有效遏制大气污染事件发生</w:t>
            </w:r>
          </w:p>
        </w:tc>
        <w:tc>
          <w:tcPr>
            <w:tcW w:w="5386" w:type="dxa"/>
            <w:vAlign w:val="center"/>
          </w:tcPr>
          <w:p>
            <w:pPr>
              <w:pStyle w:val="14"/>
            </w:pPr>
            <w:r>
              <w:t>有效遏制大气污染事件发生</w:t>
            </w:r>
          </w:p>
        </w:tc>
        <w:tc>
          <w:tcPr>
            <w:tcW w:w="2268" w:type="dxa"/>
            <w:vAlign w:val="center"/>
          </w:tcPr>
          <w:p>
            <w:pPr>
              <w:pStyle w:val="14"/>
            </w:pPr>
            <w:r>
              <w:t>有效遏制</w:t>
            </w:r>
          </w:p>
        </w:tc>
        <w:tc>
          <w:tcPr>
            <w:tcW w:w="127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保障持续改善空气环境质量</w:t>
            </w:r>
          </w:p>
        </w:tc>
        <w:tc>
          <w:tcPr>
            <w:tcW w:w="5386" w:type="dxa"/>
            <w:vAlign w:val="center"/>
          </w:tcPr>
          <w:p>
            <w:pPr>
              <w:pStyle w:val="14"/>
            </w:pPr>
            <w:r>
              <w:t>保障持续改善空气环境质量</w:t>
            </w:r>
          </w:p>
        </w:tc>
        <w:tc>
          <w:tcPr>
            <w:tcW w:w="2268" w:type="dxa"/>
            <w:vAlign w:val="center"/>
          </w:tcPr>
          <w:p>
            <w:pPr>
              <w:pStyle w:val="14"/>
            </w:pPr>
            <w:r>
              <w:t>得到保障</w:t>
            </w:r>
          </w:p>
        </w:tc>
        <w:tc>
          <w:tcPr>
            <w:tcW w:w="127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调查中满意和较满意的群众人数占全部调查人数的比率</w:t>
            </w:r>
          </w:p>
        </w:tc>
        <w:tc>
          <w:tcPr>
            <w:tcW w:w="2268" w:type="dxa"/>
            <w:vAlign w:val="center"/>
          </w:tcPr>
          <w:p>
            <w:pPr>
              <w:pStyle w:val="14"/>
            </w:pPr>
            <w:r>
              <w:t>≥98百分比</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13042424P001PDR103438</w:t>
            </w:r>
          </w:p>
        </w:tc>
        <w:tc>
          <w:tcPr>
            <w:tcW w:w="2835" w:type="dxa"/>
            <w:vAlign w:val="center"/>
          </w:tcPr>
          <w:p>
            <w:pPr>
              <w:pStyle w:val="12"/>
            </w:pPr>
            <w:r>
              <w:t>项目名称</w:t>
            </w:r>
          </w:p>
        </w:tc>
        <w:tc>
          <w:tcPr>
            <w:tcW w:w="6094" w:type="dxa"/>
            <w:gridSpan w:val="3"/>
            <w:vAlign w:val="center"/>
          </w:tcPr>
          <w:p>
            <w:pPr>
              <w:pStyle w:val="14"/>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131.34</w:t>
            </w:r>
          </w:p>
        </w:tc>
        <w:tc>
          <w:tcPr>
            <w:tcW w:w="2835" w:type="dxa"/>
            <w:vAlign w:val="center"/>
          </w:tcPr>
          <w:p>
            <w:pPr>
              <w:pStyle w:val="12"/>
            </w:pPr>
            <w:r>
              <w:t>其中：财政    资金</w:t>
            </w:r>
          </w:p>
        </w:tc>
        <w:tc>
          <w:tcPr>
            <w:tcW w:w="2551" w:type="dxa"/>
            <w:vAlign w:val="center"/>
          </w:tcPr>
          <w:p>
            <w:pPr>
              <w:pStyle w:val="14"/>
            </w:pPr>
            <w:r>
              <w:t>131.34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33.00</w:t>
            </w:r>
          </w:p>
        </w:tc>
        <w:tc>
          <w:tcPr>
            <w:tcW w:w="2835" w:type="dxa"/>
            <w:vAlign w:val="center"/>
          </w:tcPr>
          <w:p>
            <w:pPr>
              <w:pStyle w:val="15"/>
            </w:pPr>
            <w:r>
              <w:t>66.00</w:t>
            </w:r>
          </w:p>
        </w:tc>
        <w:tc>
          <w:tcPr>
            <w:tcW w:w="2551" w:type="dxa"/>
            <w:vAlign w:val="center"/>
          </w:tcPr>
          <w:p>
            <w:pPr>
              <w:pStyle w:val="15"/>
            </w:pPr>
            <w:r>
              <w:t>99.00</w:t>
            </w:r>
          </w:p>
        </w:tc>
        <w:tc>
          <w:tcPr>
            <w:tcW w:w="3543" w:type="dxa"/>
            <w:gridSpan w:val="2"/>
            <w:vAlign w:val="center"/>
          </w:tcPr>
          <w:p>
            <w:pPr>
              <w:pStyle w:val="15"/>
            </w:pPr>
            <w:r>
              <w:t>131.34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1.提高干部的积极性</w:t>
            </w:r>
          </w:p>
          <w:p>
            <w:pPr>
              <w:pStyle w:val="14"/>
            </w:pPr>
            <w:r>
              <w:t>2.提高村级干部的工作效率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5386" w:type="dxa"/>
            <w:vAlign w:val="center"/>
          </w:tcPr>
          <w:p>
            <w:pPr>
              <w:pStyle w:val="14"/>
            </w:pPr>
            <w:r>
              <w:t>发放自筹人员工资的人数</w:t>
            </w:r>
          </w:p>
        </w:tc>
        <w:tc>
          <w:tcPr>
            <w:tcW w:w="2268" w:type="dxa"/>
            <w:vAlign w:val="center"/>
          </w:tcPr>
          <w:p>
            <w:pPr>
              <w:pStyle w:val="14"/>
            </w:pPr>
            <w:r>
              <w:t>50人</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5386" w:type="dxa"/>
            <w:vAlign w:val="center"/>
          </w:tcPr>
          <w:p>
            <w:pPr>
              <w:pStyle w:val="14"/>
            </w:pPr>
            <w:r>
              <w:t>发放级转移支付的村数量</w:t>
            </w:r>
          </w:p>
        </w:tc>
        <w:tc>
          <w:tcPr>
            <w:tcW w:w="2268" w:type="dxa"/>
            <w:vAlign w:val="center"/>
          </w:tcPr>
          <w:p>
            <w:pPr>
              <w:pStyle w:val="14"/>
            </w:pPr>
            <w:r>
              <w:t>24个</w:t>
            </w:r>
          </w:p>
        </w:tc>
        <w:tc>
          <w:tcPr>
            <w:tcW w:w="1276"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5386" w:type="dxa"/>
            <w:vAlign w:val="center"/>
          </w:tcPr>
          <w:p>
            <w:pPr>
              <w:pStyle w:val="14"/>
            </w:pPr>
            <w:r>
              <w:t>自筹人员每人每月工资</w:t>
            </w:r>
          </w:p>
        </w:tc>
        <w:tc>
          <w:tcPr>
            <w:tcW w:w="2268" w:type="dxa"/>
            <w:vAlign w:val="center"/>
          </w:tcPr>
          <w:p>
            <w:pPr>
              <w:pStyle w:val="14"/>
            </w:pPr>
            <w:r>
              <w:t>≥1517元/人/月</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5386" w:type="dxa"/>
            <w:vAlign w:val="center"/>
          </w:tcPr>
          <w:p>
            <w:pPr>
              <w:pStyle w:val="14"/>
            </w:pPr>
            <w:r>
              <w:t>33个村每村每年发放村级转移支付金额</w:t>
            </w:r>
          </w:p>
        </w:tc>
        <w:tc>
          <w:tcPr>
            <w:tcW w:w="2268" w:type="dxa"/>
            <w:vAlign w:val="center"/>
          </w:tcPr>
          <w:p>
            <w:pPr>
              <w:pStyle w:val="14"/>
            </w:pPr>
            <w:r>
              <w:t>≥16791元/村/年</w:t>
            </w:r>
          </w:p>
        </w:tc>
        <w:tc>
          <w:tcPr>
            <w:tcW w:w="1276"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5386" w:type="dxa"/>
            <w:vAlign w:val="center"/>
          </w:tcPr>
          <w:p>
            <w:pPr>
              <w:pStyle w:val="14"/>
            </w:pPr>
            <w:r>
              <w:t>自筹人员工资的发放率</w:t>
            </w:r>
          </w:p>
        </w:tc>
        <w:tc>
          <w:tcPr>
            <w:tcW w:w="2268" w:type="dxa"/>
            <w:vAlign w:val="center"/>
          </w:tcPr>
          <w:p>
            <w:pPr>
              <w:pStyle w:val="14"/>
            </w:pPr>
            <w:r>
              <w:t>100百分比</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5386" w:type="dxa"/>
            <w:vAlign w:val="center"/>
          </w:tcPr>
          <w:p>
            <w:pPr>
              <w:pStyle w:val="14"/>
            </w:pPr>
            <w:r>
              <w:t>村级转移支付对各村拨款率</w:t>
            </w:r>
          </w:p>
        </w:tc>
        <w:tc>
          <w:tcPr>
            <w:tcW w:w="2268" w:type="dxa"/>
            <w:vAlign w:val="center"/>
          </w:tcPr>
          <w:p>
            <w:pPr>
              <w:pStyle w:val="14"/>
            </w:pPr>
            <w:r>
              <w:t>100百分比</w:t>
            </w:r>
          </w:p>
        </w:tc>
        <w:tc>
          <w:tcPr>
            <w:tcW w:w="1276"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5386" w:type="dxa"/>
            <w:vAlign w:val="center"/>
          </w:tcPr>
          <w:p>
            <w:pPr>
              <w:pStyle w:val="14"/>
            </w:pPr>
            <w:r>
              <w:t>自筹人员工资在每月月底前发放</w:t>
            </w:r>
          </w:p>
        </w:tc>
        <w:tc>
          <w:tcPr>
            <w:tcW w:w="2268" w:type="dxa"/>
            <w:vAlign w:val="center"/>
          </w:tcPr>
          <w:p>
            <w:pPr>
              <w:pStyle w:val="14"/>
            </w:pPr>
            <w:r>
              <w:t>自筹人员工资在每月月底前发放</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5386" w:type="dxa"/>
            <w:vAlign w:val="center"/>
          </w:tcPr>
          <w:p>
            <w:pPr>
              <w:pStyle w:val="14"/>
            </w:pPr>
            <w:r>
              <w:t>提高村级两个工作效率</w:t>
            </w:r>
          </w:p>
        </w:tc>
        <w:tc>
          <w:tcPr>
            <w:tcW w:w="2268" w:type="dxa"/>
            <w:vAlign w:val="center"/>
          </w:tcPr>
          <w:p>
            <w:pPr>
              <w:pStyle w:val="14"/>
            </w:pPr>
            <w:r>
              <w:t>提高村级两个工作效率</w:t>
            </w:r>
          </w:p>
        </w:tc>
        <w:tc>
          <w:tcPr>
            <w:tcW w:w="1276"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5386" w:type="dxa"/>
            <w:vAlign w:val="center"/>
          </w:tcPr>
          <w:p>
            <w:pPr>
              <w:pStyle w:val="14"/>
            </w:pPr>
            <w:r>
              <w:t>保障日常办公</w:t>
            </w:r>
          </w:p>
        </w:tc>
        <w:tc>
          <w:tcPr>
            <w:tcW w:w="2268" w:type="dxa"/>
            <w:vAlign w:val="center"/>
          </w:tcPr>
          <w:p>
            <w:pPr>
              <w:pStyle w:val="14"/>
            </w:pPr>
            <w:r>
              <w:t>保障日常办公</w:t>
            </w:r>
          </w:p>
        </w:tc>
        <w:tc>
          <w:tcPr>
            <w:tcW w:w="1276"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5386" w:type="dxa"/>
            <w:vAlign w:val="center"/>
          </w:tcPr>
          <w:p>
            <w:pPr>
              <w:pStyle w:val="14"/>
            </w:pPr>
            <w:r>
              <w:t>自筹人员及各村对工资及转移支付发放的满意度</w:t>
            </w:r>
          </w:p>
        </w:tc>
        <w:tc>
          <w:tcPr>
            <w:tcW w:w="2268" w:type="dxa"/>
            <w:vAlign w:val="center"/>
          </w:tcPr>
          <w:p>
            <w:pPr>
              <w:pStyle w:val="14"/>
            </w:pPr>
            <w:r>
              <w:t>≥97百分比</w:t>
            </w:r>
          </w:p>
        </w:tc>
        <w:tc>
          <w:tcPr>
            <w:tcW w:w="1276"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5、2024年信访经费绩效目标表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13042424P001PDR100609</w:t>
            </w:r>
          </w:p>
        </w:tc>
        <w:tc>
          <w:tcPr>
            <w:tcW w:w="2835" w:type="dxa"/>
            <w:vAlign w:val="center"/>
          </w:tcPr>
          <w:p>
            <w:pPr>
              <w:pStyle w:val="12"/>
            </w:pPr>
            <w:r>
              <w:t>项目名称</w:t>
            </w:r>
          </w:p>
        </w:tc>
        <w:tc>
          <w:tcPr>
            <w:tcW w:w="6094" w:type="dxa"/>
            <w:gridSpan w:val="3"/>
            <w:vAlign w:val="center"/>
          </w:tcPr>
          <w:p>
            <w:pPr>
              <w:pStyle w:val="14"/>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1.有效解决来访群众反映的问题</w:t>
            </w:r>
          </w:p>
          <w:p>
            <w:pPr>
              <w:pStyle w:val="14"/>
            </w:pPr>
            <w:r>
              <w:t>2.维护社会和谐稳定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5386" w:type="dxa"/>
            <w:vAlign w:val="center"/>
          </w:tcPr>
          <w:p>
            <w:pPr>
              <w:pStyle w:val="14"/>
            </w:pPr>
            <w:r>
              <w:t>处理信访事项数量</w:t>
            </w:r>
          </w:p>
        </w:tc>
        <w:tc>
          <w:tcPr>
            <w:tcW w:w="2268" w:type="dxa"/>
            <w:vAlign w:val="center"/>
          </w:tcPr>
          <w:p>
            <w:pPr>
              <w:pStyle w:val="14"/>
            </w:pPr>
            <w:r>
              <w:t>≥5件</w:t>
            </w:r>
          </w:p>
        </w:tc>
        <w:tc>
          <w:tcPr>
            <w:tcW w:w="1276"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5386" w:type="dxa"/>
            <w:vAlign w:val="center"/>
          </w:tcPr>
          <w:p>
            <w:pPr>
              <w:pStyle w:val="14"/>
            </w:pPr>
            <w:r>
              <w:t>群众信访工作按期完成率</w:t>
            </w:r>
          </w:p>
        </w:tc>
        <w:tc>
          <w:tcPr>
            <w:tcW w:w="2268" w:type="dxa"/>
            <w:vAlign w:val="center"/>
          </w:tcPr>
          <w:p>
            <w:pPr>
              <w:pStyle w:val="14"/>
            </w:pPr>
            <w:r>
              <w:t>≥98百分比</w:t>
            </w:r>
          </w:p>
        </w:tc>
        <w:tc>
          <w:tcPr>
            <w:tcW w:w="1276"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5386" w:type="dxa"/>
            <w:vAlign w:val="center"/>
          </w:tcPr>
          <w:p>
            <w:pPr>
              <w:pStyle w:val="14"/>
            </w:pPr>
            <w:r>
              <w:t>处理信访事务及时性</w:t>
            </w:r>
          </w:p>
        </w:tc>
        <w:tc>
          <w:tcPr>
            <w:tcW w:w="2268" w:type="dxa"/>
            <w:vAlign w:val="center"/>
          </w:tcPr>
          <w:p>
            <w:pPr>
              <w:pStyle w:val="14"/>
            </w:pPr>
            <w:r>
              <w:t>及时完成各项事务</w:t>
            </w:r>
          </w:p>
        </w:tc>
        <w:tc>
          <w:tcPr>
            <w:tcW w:w="1276"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5386" w:type="dxa"/>
            <w:vAlign w:val="center"/>
          </w:tcPr>
          <w:p>
            <w:pPr>
              <w:pStyle w:val="14"/>
            </w:pPr>
            <w:r>
              <w:t>处理各项信访事务资金控制数</w:t>
            </w:r>
          </w:p>
        </w:tc>
        <w:tc>
          <w:tcPr>
            <w:tcW w:w="2268" w:type="dxa"/>
            <w:vAlign w:val="center"/>
          </w:tcPr>
          <w:p>
            <w:pPr>
              <w:pStyle w:val="14"/>
            </w:pPr>
            <w:r>
              <w:t>≤15万</w:t>
            </w:r>
          </w:p>
        </w:tc>
        <w:tc>
          <w:tcPr>
            <w:tcW w:w="1276"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5386" w:type="dxa"/>
            <w:vAlign w:val="center"/>
          </w:tcPr>
          <w:p>
            <w:pPr>
              <w:pStyle w:val="14"/>
            </w:pPr>
            <w:r>
              <w:t>有效提高社会稳定性</w:t>
            </w:r>
          </w:p>
        </w:tc>
        <w:tc>
          <w:tcPr>
            <w:tcW w:w="2268" w:type="dxa"/>
            <w:vAlign w:val="center"/>
          </w:tcPr>
          <w:p>
            <w:pPr>
              <w:pStyle w:val="14"/>
            </w:pPr>
            <w:r>
              <w:t>有效提高社会稳定性</w:t>
            </w:r>
          </w:p>
        </w:tc>
        <w:tc>
          <w:tcPr>
            <w:tcW w:w="1276"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5386" w:type="dxa"/>
            <w:vAlign w:val="center"/>
          </w:tcPr>
          <w:p>
            <w:pPr>
              <w:pStyle w:val="14"/>
            </w:pPr>
            <w:r>
              <w:t>可持续降低群众上访率</w:t>
            </w:r>
          </w:p>
        </w:tc>
        <w:tc>
          <w:tcPr>
            <w:tcW w:w="2268" w:type="dxa"/>
            <w:vAlign w:val="center"/>
          </w:tcPr>
          <w:p>
            <w:pPr>
              <w:pStyle w:val="14"/>
            </w:pPr>
            <w:r>
              <w:t>可持续降低群众上访率</w:t>
            </w:r>
          </w:p>
        </w:tc>
        <w:tc>
          <w:tcPr>
            <w:tcW w:w="1276"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5386" w:type="dxa"/>
            <w:vAlign w:val="center"/>
          </w:tcPr>
          <w:p>
            <w:pPr>
              <w:pStyle w:val="14"/>
            </w:pPr>
            <w:r>
              <w:t>处理信访事务群众满意度</w:t>
            </w:r>
          </w:p>
        </w:tc>
        <w:tc>
          <w:tcPr>
            <w:tcW w:w="2268" w:type="dxa"/>
            <w:vAlign w:val="center"/>
          </w:tcPr>
          <w:p>
            <w:pPr>
              <w:pStyle w:val="14"/>
            </w:pPr>
            <w:r>
              <w:t>≥98百分比</w:t>
            </w:r>
          </w:p>
        </w:tc>
        <w:tc>
          <w:tcPr>
            <w:tcW w:w="1276"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13042424P001PDR10055F</w:t>
            </w:r>
          </w:p>
        </w:tc>
        <w:tc>
          <w:tcPr>
            <w:tcW w:w="2835" w:type="dxa"/>
            <w:vAlign w:val="center"/>
          </w:tcPr>
          <w:p>
            <w:pPr>
              <w:pStyle w:val="12"/>
            </w:pPr>
            <w:r>
              <w:t>项目名称</w:t>
            </w:r>
          </w:p>
        </w:tc>
        <w:tc>
          <w:tcPr>
            <w:tcW w:w="6094" w:type="dxa"/>
            <w:gridSpan w:val="3"/>
            <w:vAlign w:val="center"/>
          </w:tcPr>
          <w:p>
            <w:pPr>
              <w:pStyle w:val="14"/>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25.68</w:t>
            </w:r>
          </w:p>
        </w:tc>
        <w:tc>
          <w:tcPr>
            <w:tcW w:w="2835" w:type="dxa"/>
            <w:vAlign w:val="center"/>
          </w:tcPr>
          <w:p>
            <w:pPr>
              <w:pStyle w:val="12"/>
            </w:pPr>
            <w:r>
              <w:t>其中：财政    资金</w:t>
            </w:r>
          </w:p>
        </w:tc>
        <w:tc>
          <w:tcPr>
            <w:tcW w:w="2551" w:type="dxa"/>
            <w:vAlign w:val="center"/>
          </w:tcPr>
          <w:p>
            <w:pPr>
              <w:pStyle w:val="14"/>
            </w:pPr>
            <w:r>
              <w:t>25.68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6.50</w:t>
            </w:r>
          </w:p>
        </w:tc>
        <w:tc>
          <w:tcPr>
            <w:tcW w:w="2835" w:type="dxa"/>
            <w:vAlign w:val="center"/>
          </w:tcPr>
          <w:p>
            <w:pPr>
              <w:pStyle w:val="15"/>
            </w:pPr>
            <w:r>
              <w:t>13.00</w:t>
            </w:r>
          </w:p>
        </w:tc>
        <w:tc>
          <w:tcPr>
            <w:tcW w:w="2551" w:type="dxa"/>
            <w:vAlign w:val="center"/>
          </w:tcPr>
          <w:p>
            <w:pPr>
              <w:pStyle w:val="15"/>
            </w:pPr>
            <w:r>
              <w:t>19.50</w:t>
            </w:r>
          </w:p>
        </w:tc>
        <w:tc>
          <w:tcPr>
            <w:tcW w:w="3543" w:type="dxa"/>
            <w:gridSpan w:val="2"/>
            <w:vAlign w:val="center"/>
          </w:tcPr>
          <w:p>
            <w:pPr>
              <w:pStyle w:val="15"/>
            </w:pPr>
            <w:r>
              <w:t>25.68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1.有效提高干部的工作积极性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5386" w:type="dxa"/>
            <w:vAlign w:val="center"/>
          </w:tcPr>
          <w:p>
            <w:pPr>
              <w:pStyle w:val="14"/>
            </w:pPr>
            <w:r>
              <w:t>享有补贴的自筹人员数量</w:t>
            </w:r>
          </w:p>
        </w:tc>
        <w:tc>
          <w:tcPr>
            <w:tcW w:w="2268" w:type="dxa"/>
            <w:vAlign w:val="center"/>
          </w:tcPr>
          <w:p>
            <w:pPr>
              <w:pStyle w:val="14"/>
            </w:pPr>
            <w:r>
              <w:t>22人</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5386" w:type="dxa"/>
            <w:vAlign w:val="center"/>
          </w:tcPr>
          <w:p>
            <w:pPr>
              <w:pStyle w:val="14"/>
            </w:pPr>
            <w:r>
              <w:t>乡镇补贴发放率</w:t>
            </w:r>
          </w:p>
        </w:tc>
        <w:tc>
          <w:tcPr>
            <w:tcW w:w="2268" w:type="dxa"/>
            <w:vAlign w:val="center"/>
          </w:tcPr>
          <w:p>
            <w:pPr>
              <w:pStyle w:val="14"/>
            </w:pPr>
            <w:r>
              <w:t>100百分比</w:t>
            </w:r>
          </w:p>
        </w:tc>
        <w:tc>
          <w:tcPr>
            <w:tcW w:w="1276"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5386" w:type="dxa"/>
            <w:vAlign w:val="center"/>
          </w:tcPr>
          <w:p>
            <w:pPr>
              <w:pStyle w:val="14"/>
            </w:pPr>
            <w:r>
              <w:t>乡镇补贴发放时限</w:t>
            </w:r>
          </w:p>
        </w:tc>
        <w:tc>
          <w:tcPr>
            <w:tcW w:w="2268" w:type="dxa"/>
            <w:vAlign w:val="center"/>
          </w:tcPr>
          <w:p>
            <w:pPr>
              <w:pStyle w:val="14"/>
            </w:pPr>
            <w:r>
              <w:t>2024年1月-12月</w:t>
            </w:r>
          </w:p>
        </w:tc>
        <w:tc>
          <w:tcPr>
            <w:tcW w:w="1276"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平均每名职工每年的补贴金额</w:t>
            </w:r>
          </w:p>
        </w:tc>
        <w:tc>
          <w:tcPr>
            <w:tcW w:w="5386" w:type="dxa"/>
            <w:vAlign w:val="center"/>
          </w:tcPr>
          <w:p>
            <w:pPr>
              <w:pStyle w:val="14"/>
            </w:pPr>
            <w:r>
              <w:t>平均每名职工每年的补贴金额</w:t>
            </w:r>
          </w:p>
        </w:tc>
        <w:tc>
          <w:tcPr>
            <w:tcW w:w="2268" w:type="dxa"/>
            <w:vAlign w:val="center"/>
          </w:tcPr>
          <w:p>
            <w:pPr>
              <w:pStyle w:val="14"/>
            </w:pPr>
            <w:r>
              <w:t>≥11672元</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5386" w:type="dxa"/>
            <w:vAlign w:val="center"/>
          </w:tcPr>
          <w:p>
            <w:pPr>
              <w:pStyle w:val="14"/>
            </w:pPr>
            <w:r>
              <w:t>提高职工收入水平</w:t>
            </w:r>
          </w:p>
        </w:tc>
        <w:tc>
          <w:tcPr>
            <w:tcW w:w="2268" w:type="dxa"/>
            <w:vAlign w:val="center"/>
          </w:tcPr>
          <w:p>
            <w:pPr>
              <w:pStyle w:val="14"/>
            </w:pPr>
            <w:r>
              <w:t>是/否</w:t>
            </w:r>
          </w:p>
        </w:tc>
        <w:tc>
          <w:tcPr>
            <w:tcW w:w="1276"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激励职工更好服务基层老百姓</w:t>
            </w:r>
          </w:p>
        </w:tc>
        <w:tc>
          <w:tcPr>
            <w:tcW w:w="5386" w:type="dxa"/>
            <w:vAlign w:val="center"/>
          </w:tcPr>
          <w:p>
            <w:pPr>
              <w:pStyle w:val="14"/>
            </w:pPr>
            <w:r>
              <w:t>激励职工更好服务基层老百姓</w:t>
            </w:r>
          </w:p>
        </w:tc>
        <w:tc>
          <w:tcPr>
            <w:tcW w:w="2268" w:type="dxa"/>
            <w:vAlign w:val="center"/>
          </w:tcPr>
          <w:p>
            <w:pPr>
              <w:pStyle w:val="14"/>
            </w:pPr>
            <w:r>
              <w:t>是/否</w:t>
            </w:r>
          </w:p>
        </w:tc>
        <w:tc>
          <w:tcPr>
            <w:tcW w:w="1276"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5386" w:type="dxa"/>
            <w:vAlign w:val="center"/>
          </w:tcPr>
          <w:p>
            <w:pPr>
              <w:pStyle w:val="14"/>
            </w:pPr>
            <w:r>
              <w:t>提高职工的幸福生活指数</w:t>
            </w:r>
          </w:p>
        </w:tc>
        <w:tc>
          <w:tcPr>
            <w:tcW w:w="2268" w:type="dxa"/>
            <w:vAlign w:val="center"/>
          </w:tcPr>
          <w:p>
            <w:pPr>
              <w:pStyle w:val="14"/>
            </w:pPr>
            <w:r>
              <w:t>是/否</w:t>
            </w:r>
          </w:p>
        </w:tc>
        <w:tc>
          <w:tcPr>
            <w:tcW w:w="1276"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职工的满意度</w:t>
            </w:r>
          </w:p>
        </w:tc>
        <w:tc>
          <w:tcPr>
            <w:tcW w:w="5386" w:type="dxa"/>
            <w:vAlign w:val="center"/>
          </w:tcPr>
          <w:p>
            <w:pPr>
              <w:pStyle w:val="14"/>
            </w:pPr>
            <w:r>
              <w:t>职工的满意度</w:t>
            </w:r>
          </w:p>
        </w:tc>
        <w:tc>
          <w:tcPr>
            <w:tcW w:w="2268" w:type="dxa"/>
            <w:vAlign w:val="center"/>
          </w:tcPr>
          <w:p>
            <w:pPr>
              <w:pStyle w:val="14"/>
            </w:pPr>
            <w:r>
              <w:t>≥98百分比</w:t>
            </w:r>
          </w:p>
        </w:tc>
        <w:tc>
          <w:tcPr>
            <w:tcW w:w="1276"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numPr>
          <w:ilvl w:val="0"/>
          <w:numId w:val="5"/>
        </w:num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spacing w:line="500" w:lineRule="exact"/>
        <w:ind w:firstLine="560"/>
        <w:rPr>
          <w:rFonts w:ascii="黑体" w:hAnsi="黑体" w:eastAsia="黑体" w:cs="黑体"/>
          <w:color w:val="000000"/>
          <w:sz w:val="32"/>
        </w:rPr>
      </w:pPr>
      <w:r>
        <w:rPr>
          <w:rFonts w:eastAsia="方正仿宋_GBK" w:cs="Times New Roman"/>
          <w:b w:val="0"/>
          <w:bCs w:val="0"/>
          <w:color w:val="000000"/>
          <w:sz w:val="28"/>
          <w:shd w:val="clear" w:color="auto" w:fill="auto"/>
        </w:rPr>
        <w:t>202</w:t>
      </w:r>
      <w:r>
        <w:rPr>
          <w:rFonts w:hint="eastAsia" w:eastAsia="方正仿宋_GBK" w:cs="Times New Roman"/>
          <w:b w:val="0"/>
          <w:bCs w:val="0"/>
          <w:color w:val="000000"/>
          <w:sz w:val="28"/>
          <w:shd w:val="clear" w:color="auto" w:fill="auto"/>
          <w:lang w:val="en-US" w:eastAsia="zh-CN"/>
        </w:rPr>
        <w:t>4</w:t>
      </w:r>
      <w:r>
        <w:rPr>
          <w:rFonts w:eastAsia="方正仿宋_GBK" w:cs="Times New Roman"/>
          <w:b w:val="0"/>
          <w:bCs w:val="0"/>
          <w:color w:val="000000"/>
          <w:sz w:val="28"/>
          <w:shd w:val="clear" w:color="auto" w:fill="auto"/>
        </w:rPr>
        <w:t>年，成安县栢寺营乡政府机关本级安排政府采购预算</w:t>
      </w:r>
      <w:r>
        <w:rPr>
          <w:rFonts w:hint="eastAsia" w:eastAsia="方正仿宋_GBK" w:cs="Times New Roman"/>
          <w:b w:val="0"/>
          <w:bCs w:val="0"/>
          <w:color w:val="000000"/>
          <w:sz w:val="28"/>
          <w:shd w:val="clear" w:color="auto" w:fill="auto"/>
          <w:lang w:val="en-US" w:eastAsia="zh-CN"/>
        </w:rPr>
        <w:t>6.75</w:t>
      </w:r>
      <w:r>
        <w:rPr>
          <w:rFonts w:eastAsia="方正仿宋_GBK" w:cs="Times New Roman"/>
          <w:b w:val="0"/>
          <w:bCs w:val="0"/>
          <w:color w:val="000000"/>
          <w:sz w:val="28"/>
          <w:shd w:val="clear" w:color="auto" w:fill="auto"/>
        </w:rPr>
        <w:t>万元。具体内容见下表。</w:t>
      </w:r>
    </w:p>
    <w:p>
      <w:pPr>
        <w:numPr>
          <w:ilvl w:val="0"/>
          <w:numId w:val="0"/>
        </w:numPr>
        <w:spacing w:before="10" w:after="10" w:line="240" w:lineRule="auto"/>
        <w:jc w:val="left"/>
        <w:outlineLvl w:val="2"/>
        <w:rPr>
          <w:rFonts w:ascii="黑体" w:hAnsi="黑体" w:eastAsia="黑体" w:cs="黑体"/>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807成安县栢寺营乡政府</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合计</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6.75</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6.75</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6.75</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0.8</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A</w:t>
            </w:r>
            <w:r>
              <w:rPr>
                <w:rStyle w:val="28"/>
                <w:rFonts w:hint="default" w:cs="宋体"/>
                <w:sz w:val="21"/>
                <w:szCs w:val="21"/>
              </w:rPr>
              <w:t>02010104台式计算机</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A02010104</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台</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0.4</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0.8</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0.8</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1</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复印机</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A020211</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台</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2</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0.5</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1</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1</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1.2</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空调</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A020523</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台</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3</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0.4</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1.2</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1.2</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1.05</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椅子</w:t>
            </w:r>
          </w:p>
        </w:tc>
        <w:tc>
          <w:tcPr>
            <w:tcW w:w="986" w:type="dxa"/>
            <w:vAlign w:val="center"/>
          </w:tcPr>
          <w:p>
            <w:pPr>
              <w:spacing w:line="560" w:lineRule="exact"/>
              <w:rPr>
                <w:rFonts w:ascii="宋体" w:hAnsi="宋体" w:eastAsia="宋体" w:cs="宋体"/>
                <w:sz w:val="21"/>
                <w:szCs w:val="21"/>
                <w:lang w:val="en-US" w:eastAsia="uk-UA" w:bidi="ar-SA"/>
              </w:rPr>
            </w:pPr>
            <w:r>
              <w:rPr>
                <w:rFonts w:hint="eastAsia" w:ascii="宋体" w:hAnsi="宋体" w:eastAsia="宋体" w:cs="宋体"/>
                <w:sz w:val="21"/>
                <w:szCs w:val="21"/>
                <w:lang w:eastAsia="zh-CN"/>
              </w:rPr>
              <w:t>A0699</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把</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15</w:t>
            </w:r>
          </w:p>
        </w:tc>
        <w:tc>
          <w:tcPr>
            <w:tcW w:w="986" w:type="dxa"/>
            <w:vAlign w:val="center"/>
          </w:tcPr>
          <w:p>
            <w:pPr>
              <w:spacing w:line="560" w:lineRule="exact"/>
              <w:jc w:val="center"/>
              <w:rPr>
                <w:rFonts w:ascii="宋体" w:hAnsi="宋体" w:eastAsia="宋体" w:cs="宋体"/>
                <w:sz w:val="21"/>
                <w:szCs w:val="21"/>
                <w:lang w:val="en-US" w:eastAsia="uk-UA" w:bidi="ar-SA"/>
              </w:rPr>
            </w:pPr>
            <w:r>
              <w:rPr>
                <w:rFonts w:hint="eastAsia" w:ascii="宋体" w:hAnsi="宋体" w:eastAsia="宋体" w:cs="宋体"/>
                <w:sz w:val="21"/>
                <w:szCs w:val="21"/>
              </w:rPr>
              <w:t>0.07</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1.05</w:t>
            </w:r>
          </w:p>
        </w:tc>
        <w:tc>
          <w:tcPr>
            <w:tcW w:w="986" w:type="dxa"/>
            <w:vAlign w:val="center"/>
          </w:tcPr>
          <w:p>
            <w:pPr>
              <w:spacing w:line="560" w:lineRule="exact"/>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1.05</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文件柜</w:t>
            </w:r>
          </w:p>
        </w:tc>
        <w:tc>
          <w:tcPr>
            <w:tcW w:w="986" w:type="dxa"/>
            <w:vAlign w:val="center"/>
          </w:tcPr>
          <w:p>
            <w:pPr>
              <w:spacing w:line="560" w:lineRule="exact"/>
              <w:rPr>
                <w:rFonts w:ascii="宋体" w:hAnsi="宋体" w:eastAsia="宋体" w:cs="宋体"/>
                <w:bCs/>
                <w:sz w:val="21"/>
                <w:szCs w:val="21"/>
                <w:lang w:val="en-US" w:eastAsia="uk-UA" w:bidi="ar-SA"/>
              </w:rPr>
            </w:pPr>
            <w:r>
              <w:rPr>
                <w:rFonts w:hint="eastAsia" w:ascii="宋体" w:hAnsi="宋体" w:eastAsia="宋体" w:cs="宋体"/>
                <w:bCs/>
                <w:sz w:val="21"/>
                <w:szCs w:val="21"/>
                <w:lang w:eastAsia="zh-CN"/>
              </w:rPr>
              <w:t>A060503</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个</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0.1</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1.5</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top"/>
          </w:tcPr>
          <w:p>
            <w:pP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lang w:eastAsia="zh-CN"/>
              </w:rPr>
              <w:t>日常公用经费</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1.2</w:t>
            </w:r>
          </w:p>
        </w:tc>
        <w:tc>
          <w:tcPr>
            <w:tcW w:w="986" w:type="dxa"/>
            <w:vAlign w:val="center"/>
          </w:tcPr>
          <w:p>
            <w:pPr>
              <w:jc w:val="center"/>
              <w:rPr>
                <w:rFonts w:ascii="宋体" w:hAnsi="宋体" w:eastAsia="宋体" w:cs="宋体"/>
                <w:color w:val="000000"/>
                <w:sz w:val="21"/>
                <w:szCs w:val="21"/>
                <w:lang w:val="en-US" w:eastAsia="uk-UA" w:bidi="ar-SA"/>
              </w:rPr>
            </w:pPr>
            <w:r>
              <w:rPr>
                <w:rFonts w:hint="eastAsia" w:ascii="宋体" w:hAnsi="宋体" w:eastAsia="宋体" w:cs="宋体"/>
                <w:color w:val="000000"/>
                <w:sz w:val="21"/>
                <w:szCs w:val="21"/>
              </w:rPr>
              <w:t>书柜</w:t>
            </w:r>
          </w:p>
        </w:tc>
        <w:tc>
          <w:tcPr>
            <w:tcW w:w="986" w:type="dxa"/>
            <w:vAlign w:val="center"/>
          </w:tcPr>
          <w:p>
            <w:pPr>
              <w:spacing w:line="560" w:lineRule="exact"/>
              <w:rPr>
                <w:rFonts w:ascii="宋体" w:hAnsi="宋体" w:eastAsia="宋体" w:cs="宋体"/>
                <w:bCs/>
                <w:sz w:val="21"/>
                <w:szCs w:val="21"/>
                <w:lang w:val="en-US" w:eastAsia="uk-UA" w:bidi="ar-SA"/>
              </w:rPr>
            </w:pPr>
            <w:r>
              <w:rPr>
                <w:rFonts w:hint="eastAsia" w:ascii="宋体" w:hAnsi="宋体" w:eastAsia="宋体" w:cs="宋体"/>
                <w:bCs/>
                <w:sz w:val="21"/>
                <w:szCs w:val="21"/>
                <w:lang w:eastAsia="zh-CN"/>
              </w:rPr>
              <w:t>A060501</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组</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10</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0.12</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1.2</w:t>
            </w:r>
          </w:p>
        </w:tc>
        <w:tc>
          <w:tcPr>
            <w:tcW w:w="986" w:type="dxa"/>
            <w:vAlign w:val="center"/>
          </w:tcPr>
          <w:p>
            <w:pPr>
              <w:spacing w:line="560" w:lineRule="exact"/>
              <w:jc w:val="center"/>
              <w:rPr>
                <w:rFonts w:ascii="宋体" w:hAnsi="宋体" w:eastAsia="宋体" w:cs="宋体"/>
                <w:bCs/>
                <w:sz w:val="21"/>
                <w:szCs w:val="21"/>
                <w:lang w:val="en-US" w:eastAsia="uk-UA" w:bidi="ar-SA"/>
              </w:rPr>
            </w:pPr>
            <w:r>
              <w:rPr>
                <w:rFonts w:hint="eastAsia" w:ascii="宋体" w:hAnsi="宋体" w:eastAsia="宋体" w:cs="宋体"/>
                <w:bCs/>
                <w:sz w:val="21"/>
                <w:szCs w:val="21"/>
              </w:rPr>
              <w:t>1.2</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line="360" w:lineRule="auto"/>
        <w:ind w:firstLine="640" w:firstLineChars="200"/>
        <w:rPr>
          <w:rFonts w:ascii="仿宋" w:hAnsi="仿宋" w:eastAsia="仿宋" w:cs="仿宋"/>
          <w:sz w:val="32"/>
          <w:szCs w:val="32"/>
        </w:rPr>
      </w:pPr>
      <w:r>
        <w:rPr>
          <w:rFonts w:ascii="仿宋" w:hAnsi="仿宋" w:eastAsia="仿宋" w:cs="仿宋_GB2312"/>
          <w:color w:val="000000" w:themeColor="text1"/>
          <w:sz w:val="32"/>
          <w:szCs w:val="32"/>
        </w:rPr>
        <w:t>截止上年末</w:t>
      </w:r>
      <w:r>
        <w:rPr>
          <w:rFonts w:hint="eastAsia" w:ascii="仿宋" w:hAnsi="仿宋" w:eastAsia="仿宋" w:cs="仿宋_GB2312"/>
          <w:color w:val="000000" w:themeColor="text1"/>
          <w:sz w:val="32"/>
          <w:szCs w:val="32"/>
          <w:lang w:eastAsia="zh-CN"/>
        </w:rPr>
        <w:t>国有</w:t>
      </w:r>
      <w:r>
        <w:rPr>
          <w:rFonts w:ascii="仿宋" w:hAnsi="仿宋" w:eastAsia="仿宋" w:cs="仿宋_GB2312"/>
          <w:color w:val="000000" w:themeColor="text1"/>
          <w:sz w:val="32"/>
          <w:szCs w:val="32"/>
        </w:rPr>
        <w:t>资产</w:t>
      </w:r>
      <w:r>
        <w:rPr>
          <w:rFonts w:hint="eastAsia" w:ascii="仿宋" w:hAnsi="仿宋" w:eastAsia="仿宋" w:cs="仿宋_GB2312"/>
          <w:color w:val="000000" w:themeColor="text1"/>
          <w:sz w:val="32"/>
          <w:szCs w:val="32"/>
          <w:lang w:eastAsia="zh-CN"/>
        </w:rPr>
        <w:t>账面</w:t>
      </w:r>
      <w:bookmarkStart w:id="20" w:name="_GoBack"/>
      <w:bookmarkEnd w:id="20"/>
      <w:r>
        <w:rPr>
          <w:rFonts w:ascii="仿宋" w:hAnsi="仿宋" w:eastAsia="仿宋" w:cs="仿宋_GB2312"/>
          <w:color w:val="000000" w:themeColor="text1"/>
          <w:sz w:val="32"/>
          <w:szCs w:val="32"/>
        </w:rPr>
        <w:t>结余</w:t>
      </w:r>
      <w:r>
        <w:rPr>
          <w:rFonts w:hint="eastAsia" w:ascii="仿宋" w:hAnsi="仿宋" w:eastAsia="仿宋" w:cs="仿宋_GB2312"/>
          <w:color w:val="000000" w:themeColor="text1"/>
          <w:sz w:val="32"/>
          <w:szCs w:val="32"/>
          <w:lang w:val="en-US" w:eastAsia="zh-CN"/>
        </w:rPr>
        <w:t>306.338155</w:t>
      </w:r>
      <w:r>
        <w:rPr>
          <w:rFonts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rPr>
        <w:t>其中：</w:t>
      </w:r>
      <w:r>
        <w:rPr>
          <w:rFonts w:hint="eastAsia" w:ascii="仿宋" w:hAnsi="仿宋" w:eastAsia="仿宋" w:cs="仿宋_GB2312"/>
          <w:color w:val="000000" w:themeColor="text1"/>
          <w:sz w:val="32"/>
          <w:szCs w:val="32"/>
          <w:lang w:eastAsia="zh-CN"/>
        </w:rPr>
        <w:t>一、固定资产</w:t>
      </w:r>
      <w:r>
        <w:rPr>
          <w:rFonts w:hint="eastAsia" w:ascii="仿宋" w:hAnsi="仿宋" w:eastAsia="仿宋" w:cs="仿宋_GB2312"/>
          <w:color w:val="000000" w:themeColor="text1"/>
          <w:sz w:val="32"/>
          <w:szCs w:val="32"/>
        </w:rPr>
        <w:t>房屋价值</w:t>
      </w:r>
      <w:r>
        <w:rPr>
          <w:rFonts w:hint="eastAsia" w:ascii="仿宋" w:hAnsi="仿宋" w:eastAsia="仿宋" w:cs="仿宋_GB2312"/>
          <w:color w:val="000000" w:themeColor="text1"/>
          <w:sz w:val="32"/>
          <w:szCs w:val="32"/>
          <w:lang w:val="en-US" w:eastAsia="zh-CN"/>
        </w:rPr>
        <w:t>84.3176</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通用设备</w:t>
      </w:r>
      <w:r>
        <w:rPr>
          <w:rFonts w:hint="eastAsia" w:ascii="仿宋" w:hAnsi="仿宋" w:eastAsia="仿宋" w:cs="仿宋_GB2312"/>
          <w:color w:val="000000" w:themeColor="text1"/>
          <w:sz w:val="32"/>
          <w:szCs w:val="32"/>
          <w:lang w:val="en-US" w:eastAsia="zh-CN"/>
        </w:rPr>
        <w:t>108.852855</w:t>
      </w:r>
      <w:r>
        <w:rPr>
          <w:rFonts w:hint="eastAsia" w:ascii="仿宋" w:hAnsi="仿宋" w:eastAsia="仿宋" w:cs="仿宋_GB2312"/>
          <w:color w:val="000000" w:themeColor="text1"/>
          <w:sz w:val="32"/>
          <w:szCs w:val="32"/>
          <w:lang w:eastAsia="zh-CN"/>
        </w:rPr>
        <w:t>万元（其中</w:t>
      </w:r>
      <w:r>
        <w:rPr>
          <w:rFonts w:hint="eastAsia" w:ascii="仿宋" w:hAnsi="仿宋" w:eastAsia="仿宋" w:cs="仿宋_GB2312"/>
          <w:color w:val="000000" w:themeColor="text1"/>
          <w:sz w:val="32"/>
          <w:szCs w:val="32"/>
        </w:rPr>
        <w:t>车辆价值</w:t>
      </w:r>
      <w:r>
        <w:rPr>
          <w:rFonts w:hint="eastAsia" w:ascii="仿宋" w:hAnsi="仿宋" w:eastAsia="仿宋" w:cs="仿宋_GB2312"/>
          <w:color w:val="000000" w:themeColor="text1"/>
          <w:sz w:val="32"/>
          <w:szCs w:val="32"/>
          <w:lang w:val="en-US" w:eastAsia="zh-CN"/>
        </w:rPr>
        <w:t>21.28</w:t>
      </w:r>
      <w:r>
        <w:rPr>
          <w:rFonts w:hint="eastAsia" w:ascii="仿宋" w:hAnsi="仿宋" w:eastAsia="仿宋" w:cs="仿宋_GB2312"/>
          <w:color w:val="000000" w:themeColor="text1"/>
          <w:sz w:val="32"/>
          <w:szCs w:val="32"/>
        </w:rPr>
        <w:t>万</w:t>
      </w:r>
      <w:r>
        <w:rPr>
          <w:rFonts w:hint="eastAsia" w:ascii="仿宋" w:hAnsi="仿宋" w:eastAsia="仿宋" w:cs="仿宋_GB2312"/>
          <w:color w:val="000000" w:themeColor="text1"/>
          <w:sz w:val="32"/>
          <w:szCs w:val="32"/>
          <w:lang w:eastAsia="zh-CN"/>
        </w:rPr>
        <w:t>元）</w:t>
      </w:r>
      <w:r>
        <w:rPr>
          <w:rFonts w:hint="eastAsia" w:ascii="仿宋" w:hAnsi="仿宋" w:eastAsia="仿宋" w:cs="仿宋_GB2312"/>
          <w:color w:val="000000" w:themeColor="text1"/>
          <w:sz w:val="32"/>
          <w:szCs w:val="32"/>
        </w:rPr>
        <w:t>，其它资产办公用电脑、办公家具、专用设备等价值</w:t>
      </w:r>
      <w:r>
        <w:rPr>
          <w:rFonts w:hint="eastAsia" w:ascii="仿宋" w:hAnsi="仿宋" w:eastAsia="仿宋" w:cs="仿宋_GB2312"/>
          <w:color w:val="000000" w:themeColor="text1"/>
          <w:sz w:val="32"/>
          <w:szCs w:val="32"/>
          <w:lang w:val="en-US" w:eastAsia="zh-CN"/>
        </w:rPr>
        <w:t>23.1677</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;二、无形资产价值90万元。202</w:t>
      </w:r>
      <w:r>
        <w:rPr>
          <w:rFonts w:hint="eastAsia" w:ascii="仿宋" w:hAnsi="仿宋" w:eastAsia="仿宋" w:cs="仿宋_GB2312"/>
          <w:color w:val="000000" w:themeColor="text1"/>
          <w:sz w:val="32"/>
          <w:szCs w:val="32"/>
          <w:lang w:val="en-US" w:eastAsia="zh-CN"/>
        </w:rPr>
        <w:t>4</w:t>
      </w:r>
      <w:r>
        <w:rPr>
          <w:rFonts w:hint="eastAsia" w:ascii="仿宋" w:hAnsi="仿宋" w:eastAsia="仿宋" w:cs="仿宋_GB2312"/>
          <w:color w:val="000000" w:themeColor="text1"/>
          <w:sz w:val="32"/>
          <w:szCs w:val="32"/>
        </w:rPr>
        <w:t>年我单位拟购置</w:t>
      </w:r>
      <w:r>
        <w:rPr>
          <w:rFonts w:hint="eastAsia" w:ascii="仿宋" w:hAnsi="仿宋" w:eastAsia="仿宋" w:cs="仿宋_GB2312"/>
          <w:color w:val="000000" w:themeColor="text1"/>
          <w:sz w:val="32"/>
          <w:szCs w:val="32"/>
          <w:lang w:val="en-US" w:eastAsia="zh-CN"/>
        </w:rPr>
        <w:t>6.75</w:t>
      </w:r>
      <w:r>
        <w:rPr>
          <w:rFonts w:hint="eastAsia" w:ascii="仿宋" w:hAnsi="仿宋" w:eastAsia="仿宋" w:cs="仿宋_GB2312"/>
          <w:color w:val="000000" w:themeColor="text1"/>
          <w:sz w:val="32"/>
          <w:szCs w:val="32"/>
        </w:rPr>
        <w:t>万元。</w:t>
      </w:r>
      <w:r>
        <w:rPr>
          <w:rFonts w:hint="eastAsia" w:ascii="仿宋" w:hAnsi="仿宋" w:eastAsia="仿宋" w:cs="仿宋"/>
          <w:color w:val="000000"/>
          <w:sz w:val="32"/>
          <w:szCs w:val="32"/>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Times New Roman"/>
                <w:color w:val="000000" w:themeColor="text1"/>
                <w:sz w:val="22"/>
                <w:szCs w:val="24"/>
                <w:lang w:val="en-US" w:eastAsia="uk-UA" w:bidi="ar-SA"/>
              </w:rPr>
            </w:pPr>
            <w:r>
              <w:rPr>
                <w:rFonts w:hint="eastAsia" w:ascii="仿宋" w:hAnsi="仿宋" w:eastAsia="仿宋" w:cs="宋体"/>
                <w:color w:val="000000" w:themeColor="text1"/>
                <w:sz w:val="22"/>
              </w:rPr>
              <w:t>资产总额</w:t>
            </w:r>
          </w:p>
        </w:tc>
        <w:tc>
          <w:tcPr>
            <w:tcW w:w="4933" w:type="dxa"/>
            <w:vAlign w:val="center"/>
          </w:tcPr>
          <w:p>
            <w:pPr>
              <w:jc w:val="center"/>
              <w:rPr>
                <w:rFonts w:ascii="仿宋" w:hAnsi="仿宋" w:eastAsia="仿宋" w:cs="宋体"/>
                <w:color w:val="000000" w:themeColor="text1"/>
                <w:sz w:val="22"/>
                <w:szCs w:val="24"/>
                <w:lang w:val="en-US" w:eastAsia="uk-UA" w:bidi="ar-SA"/>
              </w:rPr>
            </w:pPr>
            <w:r>
              <w:rPr>
                <w:rFonts w:ascii="仿宋" w:hAnsi="仿宋" w:eastAsia="仿宋" w:cs="宋体"/>
                <w:color w:val="000000" w:themeColor="text1"/>
                <w:sz w:val="22"/>
              </w:rPr>
              <w:t>——</w:t>
            </w:r>
          </w:p>
        </w:tc>
        <w:tc>
          <w:tcPr>
            <w:tcW w:w="4933" w:type="dxa"/>
            <w:vAlign w:val="center"/>
          </w:tcPr>
          <w:p>
            <w:pPr>
              <w:jc w:val="center"/>
              <w:rPr>
                <w:rFonts w:hint="default" w:ascii="仿宋" w:hAnsi="仿宋" w:eastAsia="仿宋" w:cs="宋体"/>
                <w:color w:val="000000" w:themeColor="text1"/>
                <w:sz w:val="22"/>
                <w:szCs w:val="24"/>
                <w:lang w:val="en-US" w:eastAsia="zh-CN" w:bidi="ar-SA"/>
              </w:rPr>
            </w:pPr>
            <w:r>
              <w:rPr>
                <w:rFonts w:hint="eastAsia" w:ascii="仿宋" w:hAnsi="仿宋" w:eastAsia="仿宋" w:cs="宋体"/>
                <w:color w:val="000000" w:themeColor="text1"/>
                <w:sz w:val="22"/>
                <w:lang w:val="en-US" w:eastAsia="zh-CN"/>
              </w:rPr>
              <w:t>306.338155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szCs w:val="24"/>
                <w:lang w:val="en-US" w:eastAsia="zh-CN" w:bidi="ar-SA"/>
              </w:rPr>
            </w:pPr>
            <w:r>
              <w:rPr>
                <w:rFonts w:hint="eastAsia" w:ascii="仿宋" w:hAnsi="仿宋" w:eastAsia="仿宋" w:cs="宋体"/>
                <w:color w:val="000000" w:themeColor="text1"/>
                <w:sz w:val="22"/>
                <w:lang w:eastAsia="zh-CN"/>
              </w:rPr>
              <w:t>一.固定资产</w:t>
            </w:r>
          </w:p>
        </w:tc>
        <w:tc>
          <w:tcPr>
            <w:tcW w:w="4933" w:type="dxa"/>
            <w:vAlign w:val="center"/>
          </w:tcPr>
          <w:p>
            <w:pPr>
              <w:jc w:val="center"/>
              <w:rPr>
                <w:rFonts w:ascii="仿宋" w:hAnsi="仿宋" w:eastAsia="仿宋" w:cs="Times New Roman"/>
                <w:color w:val="000000" w:themeColor="text1"/>
                <w:sz w:val="22"/>
                <w:szCs w:val="24"/>
                <w:lang w:val="en-US" w:eastAsia="zh-CN" w:bidi="ar-SA"/>
              </w:rPr>
            </w:pPr>
          </w:p>
        </w:tc>
        <w:tc>
          <w:tcPr>
            <w:tcW w:w="4933" w:type="dxa"/>
            <w:vAlign w:val="center"/>
          </w:tcPr>
          <w:p>
            <w:pPr>
              <w:ind w:firstLine="1540" w:firstLineChars="700"/>
              <w:jc w:val="both"/>
              <w:rPr>
                <w:rFonts w:hint="default"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szCs w:val="24"/>
                <w:lang w:val="en-US" w:eastAsia="zh-CN" w:bidi="ar-SA"/>
              </w:rPr>
              <w:t>216.338155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4"/>
                <w:lang w:val="en-US" w:eastAsia="uk-UA" w:bidi="ar-SA"/>
              </w:rPr>
            </w:pPr>
            <w:r>
              <w:rPr>
                <w:rFonts w:ascii="仿宋" w:hAnsi="仿宋" w:eastAsia="仿宋" w:cs="宋体"/>
                <w:color w:val="000000" w:themeColor="text1"/>
                <w:sz w:val="22"/>
              </w:rPr>
              <w:t>1</w:t>
            </w:r>
            <w:r>
              <w:rPr>
                <w:rFonts w:hint="eastAsia" w:ascii="仿宋" w:hAnsi="仿宋" w:eastAsia="仿宋" w:cs="宋体"/>
                <w:color w:val="000000" w:themeColor="text1"/>
                <w:sz w:val="22"/>
              </w:rPr>
              <w:t>、房屋（平方米）</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1030</w:t>
            </w:r>
          </w:p>
        </w:tc>
        <w:tc>
          <w:tcPr>
            <w:tcW w:w="4933" w:type="dxa"/>
            <w:vAlign w:val="center"/>
          </w:tcPr>
          <w:p>
            <w:pPr>
              <w:ind w:firstLine="1540" w:firstLineChars="700"/>
              <w:jc w:val="both"/>
              <w:rPr>
                <w:rFonts w:hint="default"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val="en-US" w:eastAsia="zh-CN"/>
              </w:rPr>
              <w:t>84.3176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4"/>
                <w:lang w:val="en-US" w:eastAsia="uk-UA" w:bidi="ar-SA"/>
              </w:rPr>
            </w:pPr>
            <w:r>
              <w:rPr>
                <w:rFonts w:hint="eastAsia" w:ascii="仿宋" w:hAnsi="仿宋" w:eastAsia="仿宋" w:cs="宋体"/>
                <w:color w:val="000000" w:themeColor="text1"/>
                <w:sz w:val="22"/>
              </w:rPr>
              <w:t>其中：办公用房（平方米）</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950</w:t>
            </w:r>
          </w:p>
        </w:tc>
        <w:tc>
          <w:tcPr>
            <w:tcW w:w="4933" w:type="dxa"/>
            <w:vAlign w:val="center"/>
          </w:tcPr>
          <w:p>
            <w:pPr>
              <w:jc w:val="center"/>
              <w:rPr>
                <w:rFonts w:ascii="仿宋" w:hAnsi="仿宋" w:eastAsia="仿宋" w:cs="Times New Roman"/>
                <w:color w:val="000000" w:themeColor="text1"/>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2、通用设备</w:t>
            </w:r>
          </w:p>
        </w:tc>
        <w:tc>
          <w:tcPr>
            <w:tcW w:w="4933" w:type="dxa"/>
            <w:vAlign w:val="center"/>
          </w:tcPr>
          <w:p>
            <w:pPr>
              <w:jc w:val="center"/>
              <w:rPr>
                <w:rFonts w:ascii="仿宋" w:hAnsi="仿宋" w:eastAsia="仿宋" w:cs="Times New Roman"/>
                <w:color w:val="000000" w:themeColor="text1"/>
                <w:sz w:val="22"/>
                <w:szCs w:val="24"/>
                <w:lang w:val="en-US" w:eastAsia="zh-CN" w:bidi="ar-SA"/>
              </w:rPr>
            </w:pPr>
          </w:p>
        </w:tc>
        <w:tc>
          <w:tcPr>
            <w:tcW w:w="4933" w:type="dxa"/>
            <w:vAlign w:val="center"/>
          </w:tcPr>
          <w:p>
            <w:pPr>
              <w:ind w:firstLine="1540" w:firstLineChars="700"/>
              <w:jc w:val="both"/>
              <w:rPr>
                <w:rFonts w:hint="default"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val="en-US" w:eastAsia="zh-CN"/>
              </w:rPr>
              <w:t>108.852855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val="en-US" w:eastAsia="zh-CN" w:bidi="ar-SA"/>
              </w:rPr>
            </w:pPr>
            <w:r>
              <w:rPr>
                <w:rFonts w:hint="eastAsia" w:ascii="仿宋" w:hAnsi="仿宋" w:eastAsia="仿宋" w:cs="宋体"/>
                <w:color w:val="000000" w:themeColor="text1"/>
                <w:sz w:val="22"/>
                <w:lang w:eastAsia="zh-CN"/>
              </w:rPr>
              <w:t>其中：</w:t>
            </w:r>
            <w:r>
              <w:rPr>
                <w:rFonts w:hint="eastAsia" w:ascii="仿宋" w:hAnsi="仿宋" w:eastAsia="仿宋" w:cs="宋体"/>
                <w:color w:val="000000" w:themeColor="text1"/>
                <w:sz w:val="22"/>
              </w:rPr>
              <w:t>车辆（台、辆）</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2</w:t>
            </w:r>
          </w:p>
        </w:tc>
        <w:tc>
          <w:tcPr>
            <w:tcW w:w="4933" w:type="dxa"/>
            <w:vAlign w:val="center"/>
          </w:tcPr>
          <w:p>
            <w:pPr>
              <w:jc w:val="center"/>
              <w:rPr>
                <w:rFonts w:hint="default" w:ascii="仿宋" w:hAnsi="仿宋" w:eastAsia="仿宋" w:cs="Times New Roman"/>
                <w:color w:val="000000" w:themeColor="text1"/>
                <w:sz w:val="22"/>
                <w:szCs w:val="24"/>
                <w:lang w:val="en-US" w:eastAsia="uk-UA" w:bidi="ar-SA"/>
              </w:rPr>
            </w:pPr>
            <w:r>
              <w:rPr>
                <w:rFonts w:hint="eastAsia" w:ascii="仿宋" w:hAnsi="仿宋" w:eastAsia="仿宋" w:cs="Times New Roman"/>
                <w:color w:val="000000" w:themeColor="text1"/>
                <w:sz w:val="22"/>
                <w:lang w:val="en-US" w:eastAsia="zh-CN"/>
              </w:rP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val="en-US" w:eastAsia="zh-CN" w:bidi="ar-SA"/>
              </w:rPr>
            </w:pPr>
            <w:r>
              <w:rPr>
                <w:rFonts w:ascii="仿宋" w:hAnsi="仿宋" w:eastAsia="仿宋" w:cs="宋体"/>
                <w:color w:val="000000" w:themeColor="text1"/>
                <w:sz w:val="22"/>
              </w:rPr>
              <w:t>3</w:t>
            </w:r>
            <w:r>
              <w:rPr>
                <w:rFonts w:hint="eastAsia" w:ascii="仿宋" w:hAnsi="仿宋" w:eastAsia="仿宋" w:cs="宋体"/>
                <w:color w:val="000000" w:themeColor="text1"/>
                <w:sz w:val="22"/>
              </w:rPr>
              <w:t>、</w:t>
            </w:r>
            <w:r>
              <w:rPr>
                <w:rFonts w:hint="eastAsia" w:ascii="仿宋" w:hAnsi="仿宋" w:eastAsia="仿宋" w:cs="仿宋_GB2312"/>
                <w:color w:val="000000" w:themeColor="text1"/>
                <w:sz w:val="21"/>
                <w:szCs w:val="21"/>
              </w:rPr>
              <w:t>其它资产办公用电脑、办公家具、专用设备</w:t>
            </w:r>
          </w:p>
        </w:tc>
        <w:tc>
          <w:tcPr>
            <w:tcW w:w="4933" w:type="dxa"/>
            <w:vAlign w:val="center"/>
          </w:tcPr>
          <w:p>
            <w:pPr>
              <w:jc w:val="center"/>
              <w:rPr>
                <w:rFonts w:ascii="仿宋" w:hAnsi="仿宋" w:eastAsia="仿宋" w:cs="Times New Roman"/>
                <w:color w:val="000000" w:themeColor="text1"/>
                <w:sz w:val="22"/>
                <w:szCs w:val="24"/>
                <w:lang w:val="en-US" w:eastAsia="zh-CN" w:bidi="ar-SA"/>
              </w:rPr>
            </w:pPr>
            <w:r>
              <w:rPr>
                <w:rFonts w:hint="eastAsia" w:ascii="仿宋" w:hAnsi="仿宋" w:eastAsia="仿宋" w:cs="Times New Roman"/>
                <w:color w:val="000000" w:themeColor="text1"/>
                <w:sz w:val="22"/>
                <w:lang w:eastAsia="zh-CN"/>
              </w:rPr>
              <w:t>4</w:t>
            </w:r>
          </w:p>
        </w:tc>
        <w:tc>
          <w:tcPr>
            <w:tcW w:w="4933" w:type="dxa"/>
            <w:vAlign w:val="center"/>
          </w:tcPr>
          <w:p>
            <w:pPr>
              <w:jc w:val="center"/>
              <w:rPr>
                <w:rFonts w:hint="default" w:ascii="仿宋" w:hAnsi="仿宋" w:eastAsia="仿宋" w:cs="Times New Roman"/>
                <w:color w:val="000000" w:themeColor="text1"/>
                <w:sz w:val="22"/>
                <w:szCs w:val="24"/>
                <w:lang w:val="en-US" w:eastAsia="zh-CN" w:bidi="ar-SA"/>
              </w:rPr>
            </w:pPr>
            <w:r>
              <w:rPr>
                <w:rFonts w:hint="eastAsia" w:ascii="仿宋" w:hAnsi="仿宋" w:eastAsia="仿宋" w:cs="宋体"/>
                <w:color w:val="000000" w:themeColor="text1"/>
                <w:sz w:val="22"/>
                <w:lang w:val="en-US" w:eastAsia="zh-CN"/>
              </w:rPr>
              <w:t>23.1677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szCs w:val="22"/>
                <w:lang w:val="en-US" w:eastAsia="zh-CN" w:bidi="ar-SA"/>
              </w:rPr>
            </w:pPr>
            <w:r>
              <w:rPr>
                <w:rFonts w:hint="eastAsia" w:ascii="仿宋" w:hAnsi="仿宋" w:eastAsia="仿宋" w:cs="宋体"/>
                <w:color w:val="000000" w:themeColor="text1"/>
                <w:sz w:val="22"/>
                <w:lang w:eastAsia="zh-CN"/>
              </w:rPr>
              <w:t>二、无形资产</w:t>
            </w:r>
          </w:p>
        </w:tc>
        <w:tc>
          <w:tcPr>
            <w:tcW w:w="4933" w:type="dxa"/>
            <w:vAlign w:val="center"/>
          </w:tcPr>
          <w:p>
            <w:pPr>
              <w:jc w:val="center"/>
              <w:rPr>
                <w:rFonts w:ascii="仿宋" w:hAnsi="仿宋" w:eastAsia="仿宋" w:cs="Times New Roman"/>
                <w:color w:val="000000" w:themeColor="text1"/>
                <w:sz w:val="22"/>
                <w:szCs w:val="22"/>
                <w:lang w:val="en-US" w:eastAsia="zh-CN" w:bidi="ar-SA"/>
              </w:rPr>
            </w:pPr>
            <w:r>
              <w:rPr>
                <w:rFonts w:hint="eastAsia" w:ascii="仿宋" w:hAnsi="仿宋" w:eastAsia="仿宋" w:cs="Times New Roman"/>
                <w:color w:val="000000" w:themeColor="text1"/>
                <w:sz w:val="22"/>
                <w:lang w:eastAsia="zh-CN"/>
              </w:rPr>
              <w:t>4500</w:t>
            </w:r>
          </w:p>
        </w:tc>
        <w:tc>
          <w:tcPr>
            <w:tcW w:w="4933" w:type="dxa"/>
            <w:vAlign w:val="center"/>
          </w:tcPr>
          <w:p>
            <w:pPr>
              <w:jc w:val="center"/>
              <w:rPr>
                <w:rFonts w:ascii="仿宋" w:hAnsi="仿宋" w:eastAsia="仿宋" w:cs="宋体"/>
                <w:color w:val="000000" w:themeColor="text1"/>
                <w:sz w:val="22"/>
                <w:szCs w:val="22"/>
                <w:lang w:val="en-US" w:eastAsia="zh-CN" w:bidi="ar-SA"/>
              </w:rPr>
            </w:pPr>
            <w:r>
              <w:rPr>
                <w:rFonts w:hint="eastAsia" w:ascii="仿宋" w:hAnsi="仿宋" w:eastAsia="仿宋" w:cs="宋体"/>
                <w:color w:val="000000" w:themeColor="text1"/>
                <w:sz w:val="22"/>
                <w:lang w:eastAsia="zh-CN"/>
              </w:rPr>
              <w:t>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5063E"/>
    <w:multiLevelType w:val="singleLevel"/>
    <w:tmpl w:val="8555063E"/>
    <w:lvl w:ilvl="0" w:tentative="0">
      <w:start w:val="8"/>
      <w:numFmt w:val="chineseCounting"/>
      <w:suff w:val="nothing"/>
      <w:lvlText w:val="（%1）"/>
      <w:lvlJc w:val="left"/>
      <w:rPr>
        <w:rFonts w:hint="eastAsia"/>
      </w:rPr>
    </w:lvl>
  </w:abstractNum>
  <w:abstractNum w:abstractNumId="1">
    <w:nsid w:val="8EF59079"/>
    <w:multiLevelType w:val="singleLevel"/>
    <w:tmpl w:val="8EF59079"/>
    <w:lvl w:ilvl="0" w:tentative="0">
      <w:start w:val="8"/>
      <w:numFmt w:val="chineseCounting"/>
      <w:suff w:val="nothing"/>
      <w:lvlText w:val="%1、"/>
      <w:lvlJc w:val="left"/>
      <w:rPr>
        <w:rFonts w:hint="eastAsia"/>
      </w:rPr>
    </w:lvl>
  </w:abstractNum>
  <w:abstractNum w:abstractNumId="2">
    <w:nsid w:val="ED2A86B5"/>
    <w:multiLevelType w:val="singleLevel"/>
    <w:tmpl w:val="ED2A86B5"/>
    <w:lvl w:ilvl="0" w:tentative="0">
      <w:start w:val="3"/>
      <w:numFmt w:val="chineseCounting"/>
      <w:suff w:val="nothing"/>
      <w:lvlText w:val="（%1）"/>
      <w:lvlJc w:val="left"/>
      <w:rPr>
        <w:rFonts w:hint="eastAsia"/>
      </w:rPr>
    </w:lvl>
  </w:abstractNum>
  <w:abstractNum w:abstractNumId="3">
    <w:nsid w:val="305882A1"/>
    <w:multiLevelType w:val="singleLevel"/>
    <w:tmpl w:val="305882A1"/>
    <w:lvl w:ilvl="0" w:tentative="0">
      <w:start w:val="2"/>
      <w:numFmt w:val="chineseCounting"/>
      <w:suff w:val="nothing"/>
      <w:lvlText w:val="（%1）"/>
      <w:lvlJc w:val="left"/>
      <w:rPr>
        <w:rFonts w:hint="eastAsia"/>
      </w:rPr>
    </w:lvl>
  </w:abstractNum>
  <w:abstractNum w:abstractNumId="4">
    <w:nsid w:val="60A4F09D"/>
    <w:multiLevelType w:val="singleLevel"/>
    <w:tmpl w:val="60A4F09D"/>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JiMjI0ODZkNGU5MDk2Nzc4Y2IxMjljZTE4YzY2MGUifQ=="/>
  </w:docVars>
  <w:rsids>
    <w:rsidRoot w:val="00000000"/>
    <w:rsid w:val="10623C73"/>
    <w:rsid w:val="11DE6289"/>
    <w:rsid w:val="125B4DD7"/>
    <w:rsid w:val="227814BB"/>
    <w:rsid w:val="3AFE62BC"/>
    <w:rsid w:val="3B5A50AF"/>
    <w:rsid w:val="625F566F"/>
    <w:rsid w:val="68D46FE4"/>
    <w:rsid w:val="6B9208E7"/>
    <w:rsid w:val="6C7051E8"/>
    <w:rsid w:val="70934C32"/>
    <w:rsid w:val="77FD4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8">
    <w:name w:val="font01"/>
    <w:basedOn w:val="8"/>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2024-02-20T17:38:00Z</dcterms:created>
  <dc:creator>Administrator</dc:creator>
  <cp:lastModifiedBy>Administrator</cp:lastModifiedBy>
  <dcterms:modified xsi:type="dcterms:W3CDTF">2024-03-21T05:44:11Z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9CE407A2B6CA40C2AE3E0485ED00BA8E_12</vt:lpwstr>
  </property>
</Properties>
</file>