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rPr>
      </w:pPr>
      <w:bookmarkStart w:id="0" w:name="_Toc15609"/>
      <w:r>
        <w:rPr>
          <w:rFonts w:hint="eastAsia" w:ascii="黑体" w:hAnsi="黑体" w:eastAsia="黑体" w:cs="黑体"/>
          <w:b/>
          <w:color w:val="000000"/>
          <w:sz w:val="44"/>
          <w:lang w:val="en-US" w:eastAsia="zh-CN"/>
        </w:rPr>
        <w:t>759001成安县看守所</w:t>
      </w:r>
      <w:r>
        <w:rPr>
          <w:rFonts w:ascii="黑体" w:hAnsi="黑体" w:eastAsia="黑体" w:cs="黑体"/>
          <w:b/>
          <w:color w:val="000000"/>
          <w:sz w:val="44"/>
        </w:rPr>
        <w:t>2024</w:t>
      </w:r>
      <w:r>
        <w:rPr>
          <w:rFonts w:hint="eastAsia" w:ascii="黑体" w:hAnsi="黑体" w:eastAsia="黑体" w:cs="黑体"/>
          <w:b/>
          <w:color w:val="000000"/>
          <w:sz w:val="44"/>
        </w:rPr>
        <w:t>年单位预算信息公开目录</w:t>
      </w:r>
      <w:bookmarkEnd w:id="0"/>
    </w:p>
    <w:p>
      <w:pPr>
        <w:jc w:val="center"/>
        <w:outlineLvl w:val="0"/>
        <w:rPr>
          <w:rFonts w:hint="eastAsia" w:ascii="黑体" w:hAnsi="黑体" w:eastAsia="黑体" w:cs="黑体"/>
          <w:b/>
          <w:color w:val="000000"/>
          <w:sz w:val="44"/>
        </w:rPr>
      </w:pPr>
      <w:bookmarkStart w:id="22" w:name="_GoBack"/>
      <w:bookmarkEnd w:id="22"/>
    </w:p>
    <w:p>
      <w:pPr>
        <w:jc w:val="center"/>
        <w:outlineLvl w:val="9"/>
        <w:rPr>
          <w:rFonts w:eastAsia="Times New Roman"/>
        </w:rPr>
      </w:pPr>
      <w:r>
        <w:rPr>
          <w:rFonts w:ascii="黑体" w:hAnsi="黑体" w:eastAsia="黑体" w:cs="黑体"/>
          <w:b/>
          <w:color w:val="000000"/>
          <w:sz w:val="30"/>
        </w:rPr>
        <w:t xml:space="preserve"> </w:t>
      </w:r>
    </w:p>
    <w:sdt>
      <w:sdtPr>
        <w:rPr>
          <w:rFonts w:hint="default" w:ascii="方正楷体_GBK" w:hAnsi="方正楷体_GBK" w:eastAsia="方正楷体_GBK" w:cs="方正楷体_GBK"/>
          <w:b/>
          <w:color w:val="000000"/>
          <w:kern w:val="0"/>
          <w:sz w:val="28"/>
          <w:szCs w:val="20"/>
          <w:lang w:val="en-US" w:eastAsia="uk-UA"/>
        </w:rPr>
        <w:id w:val="147468223"/>
        <w15:color w:val="DBDBDB"/>
        <w:docPartObj>
          <w:docPartGallery w:val="Table of Contents"/>
          <w:docPartUnique/>
        </w:docPartObj>
      </w:sdtPr>
      <w:sdtEndPr>
        <w:rPr>
          <w:rFonts w:hint="eastAsia" w:ascii="方正小标宋_GBK" w:hAnsi="方正小标宋_GBK" w:eastAsia="方正小标宋_GBK" w:cs="方正小标宋_GBK"/>
          <w:b/>
          <w:color w:val="000000"/>
          <w:kern w:val="0"/>
          <w:sz w:val="24"/>
          <w:szCs w:val="24"/>
          <w:lang w:val="en-US" w:eastAsia="uk-UA" w:bidi="ar-SA"/>
        </w:rPr>
      </w:sdtEndPr>
      <w:sdtContent>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方正楷体_GBK" w:hAnsi="方正楷体_GBK" w:eastAsia="方正楷体_GBK" w:cs="方正楷体_GBK"/>
              <w:b/>
              <w:color w:val="000000"/>
              <w:kern w:val="0"/>
              <w:sz w:val="28"/>
              <w:szCs w:val="20"/>
              <w:lang w:val="en-US" w:eastAsia="zh-CN"/>
            </w:rPr>
          </w:pPr>
          <w:bookmarkStart w:id="1" w:name="_Toc18648"/>
          <w:r>
            <w:rPr>
              <w:rFonts w:hint="eastAsia" w:ascii="方正楷体_GBK" w:hAnsi="方正楷体_GBK" w:eastAsia="方正楷体_GBK" w:cs="方正楷体_GBK"/>
              <w:b/>
              <w:color w:val="000000"/>
              <w:kern w:val="0"/>
              <w:sz w:val="28"/>
              <w:szCs w:val="20"/>
              <w:lang w:val="en-US" w:eastAsia="zh-CN"/>
            </w:rPr>
            <w:t>单位预算公开表</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TOC \o "1-1" \h \u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_Toc4092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单位预算收支总表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_Toc4092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3</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_Toc7483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单位预算收入总表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_Toc7483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5</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_Toc16728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单位预算支出总表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_Toc16728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6</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_Toc5479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单位预算财政拨款收支总表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_Toc5479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7</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_Toc11316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单位预算一般公共预算财政拨款支出表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_Toc11316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10</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_Toc29262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单位预算一般公共预算财政拨款基本支出表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_Toc29262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11</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_Toc30253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单位预算政府性基金预算财政拨款支出表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_Toc30253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12</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_Toc18174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单位预算国有资本经营预算财政拨款支出表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_Toc18174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13</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_Toc25198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单位预算财政拨款“三公”经费支出表</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_Toc25198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14</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textAlignment w:val="auto"/>
            <w:rPr>
              <w:rFonts w:hint="eastAsia" w:ascii="方正楷体_GBK" w:hAnsi="方正楷体_GBK" w:eastAsia="方正楷体_GBK" w:cs="方正楷体_GBK"/>
              <w:b/>
              <w:bCs w:val="0"/>
              <w:color w:val="000000"/>
              <w:kern w:val="0"/>
              <w:sz w:val="28"/>
              <w:szCs w:val="20"/>
              <w:lang w:val="en-US" w:eastAsia="zh-CN"/>
            </w:rPr>
          </w:pPr>
          <w:r>
            <w:rPr>
              <w:rFonts w:hint="eastAsia" w:ascii="方正楷体_GBK" w:hAnsi="方正楷体_GBK" w:eastAsia="方正楷体_GBK" w:cs="方正楷体_GBK"/>
              <w:b/>
              <w:bCs w:val="0"/>
              <w:color w:val="000000"/>
              <w:kern w:val="0"/>
              <w:sz w:val="28"/>
              <w:szCs w:val="20"/>
              <w:lang w:val="en-US" w:eastAsia="zh-CN"/>
            </w:rPr>
            <w:t>单位预算信息公开情况说明</w:t>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_Toc25560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一、单位职责及机构设置情况</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_Toc25560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15</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_Toc21989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二、单位预算安排的总体情况</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_Toc21989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16</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_Toc27973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三、机关运行经费安排情况</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_Toc27973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16</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_Toc14334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四、财政拨款“三公”经费预算情况及增减变化原因</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_Toc14334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17</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_Toc22776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五、 单位项目预算安排情况及绩效目标</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_Toc22776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17</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_Toc18555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六、政府采购预算情况</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_Toc18555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18</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_Toc15395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七、国有资产信息</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_Toc15395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19</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_Toc10357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八、名词解释</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_Toc10357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20</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pStyle w:val="22"/>
            <w:keepNext w:val="0"/>
            <w:keepLines w:val="0"/>
            <w:pageBreakBefore w:val="0"/>
            <w:widowControl/>
            <w:tabs>
              <w:tab w:val="right" w:leader="dot" w:pos="14800"/>
            </w:tabs>
            <w:kinsoku/>
            <w:wordWrap/>
            <w:overflowPunct/>
            <w:topLinePunct w:val="0"/>
            <w:autoSpaceDE/>
            <w:autoSpaceDN/>
            <w:bidi w:val="0"/>
            <w:adjustRightInd/>
            <w:snapToGrid/>
            <w:spacing w:line="360" w:lineRule="auto"/>
            <w:ind w:firstLine="560" w:firstLineChars="200"/>
            <w:textAlignment w:val="auto"/>
            <w:rPr>
              <w:rFonts w:hint="eastAsia" w:ascii="方正楷体_GBK" w:hAnsi="方正楷体_GBK" w:eastAsia="方正楷体_GBK" w:cs="方正楷体_GBK"/>
              <w:b w:val="0"/>
              <w:bCs/>
              <w:color w:val="000000"/>
              <w:kern w:val="0"/>
              <w:sz w:val="28"/>
              <w:szCs w:val="20"/>
              <w:lang w:val="en-US" w:eastAsia="zh-CN"/>
            </w:rPr>
          </w:pP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HYPERLINK \l _Toc15758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九、其他需要说明的事项</w:t>
          </w:r>
          <w:r>
            <w:rPr>
              <w:rFonts w:hint="eastAsia" w:ascii="方正楷体_GBK" w:hAnsi="方正楷体_GBK" w:eastAsia="方正楷体_GBK" w:cs="方正楷体_GBK"/>
              <w:b w:val="0"/>
              <w:bCs/>
              <w:color w:val="000000"/>
              <w:kern w:val="0"/>
              <w:sz w:val="28"/>
              <w:szCs w:val="20"/>
              <w:lang w:val="en-US" w:eastAsia="zh-CN"/>
            </w:rPr>
            <w:tab/>
          </w:r>
          <w:r>
            <w:rPr>
              <w:rFonts w:hint="eastAsia" w:ascii="方正楷体_GBK" w:hAnsi="方正楷体_GBK" w:eastAsia="方正楷体_GBK" w:cs="方正楷体_GBK"/>
              <w:b w:val="0"/>
              <w:bCs/>
              <w:color w:val="000000"/>
              <w:kern w:val="0"/>
              <w:sz w:val="28"/>
              <w:szCs w:val="20"/>
              <w:lang w:val="en-US" w:eastAsia="zh-CN"/>
            </w:rPr>
            <w:fldChar w:fldCharType="begin"/>
          </w:r>
          <w:r>
            <w:rPr>
              <w:rFonts w:hint="eastAsia" w:ascii="方正楷体_GBK" w:hAnsi="方正楷体_GBK" w:eastAsia="方正楷体_GBK" w:cs="方正楷体_GBK"/>
              <w:b w:val="0"/>
              <w:bCs/>
              <w:color w:val="000000"/>
              <w:kern w:val="0"/>
              <w:sz w:val="28"/>
              <w:szCs w:val="20"/>
              <w:lang w:val="en-US" w:eastAsia="zh-CN"/>
            </w:rPr>
            <w:instrText xml:space="preserve"> PAGEREF _Toc15758 \h </w:instrText>
          </w:r>
          <w:r>
            <w:rPr>
              <w:rFonts w:hint="eastAsia" w:ascii="方正楷体_GBK" w:hAnsi="方正楷体_GBK" w:eastAsia="方正楷体_GBK" w:cs="方正楷体_GBK"/>
              <w:b w:val="0"/>
              <w:bCs/>
              <w:color w:val="000000"/>
              <w:kern w:val="0"/>
              <w:sz w:val="28"/>
              <w:szCs w:val="20"/>
              <w:lang w:val="en-US" w:eastAsia="zh-CN"/>
            </w:rPr>
            <w:fldChar w:fldCharType="separate"/>
          </w:r>
          <w:r>
            <w:rPr>
              <w:rFonts w:hint="eastAsia" w:ascii="方正楷体_GBK" w:hAnsi="方正楷体_GBK" w:eastAsia="方正楷体_GBK" w:cs="方正楷体_GBK"/>
              <w:b w:val="0"/>
              <w:bCs/>
              <w:color w:val="000000"/>
              <w:kern w:val="0"/>
              <w:sz w:val="28"/>
              <w:szCs w:val="20"/>
              <w:lang w:val="en-US" w:eastAsia="zh-CN"/>
            </w:rPr>
            <w:t>21</w:t>
          </w:r>
          <w:r>
            <w:rPr>
              <w:rFonts w:hint="eastAsia" w:ascii="方正楷体_GBK" w:hAnsi="方正楷体_GBK" w:eastAsia="方正楷体_GBK" w:cs="方正楷体_GBK"/>
              <w:b w:val="0"/>
              <w:bCs/>
              <w:color w:val="000000"/>
              <w:kern w:val="0"/>
              <w:sz w:val="28"/>
              <w:szCs w:val="20"/>
              <w:lang w:val="en-US" w:eastAsia="zh-CN"/>
            </w:rPr>
            <w:fldChar w:fldCharType="end"/>
          </w:r>
          <w:r>
            <w:rPr>
              <w:rFonts w:hint="eastAsia" w:ascii="方正楷体_GBK" w:hAnsi="方正楷体_GBK" w:eastAsia="方正楷体_GBK" w:cs="方正楷体_GBK"/>
              <w:b w:val="0"/>
              <w:bCs/>
              <w:color w:val="000000"/>
              <w:kern w:val="0"/>
              <w:sz w:val="28"/>
              <w:szCs w:val="20"/>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center"/>
            <w:textAlignment w:val="auto"/>
            <w:outlineLvl w:val="9"/>
            <w:rPr>
              <w:rFonts w:hint="eastAsia" w:ascii="方正小标宋_GBK" w:hAnsi="方正小标宋_GBK" w:eastAsia="方正小标宋_GBK" w:cs="方正小标宋_GBK"/>
              <w:color w:val="000000"/>
              <w:sz w:val="44"/>
            </w:rPr>
          </w:pPr>
          <w:r>
            <w:rPr>
              <w:rFonts w:hint="eastAsia" w:ascii="方正楷体_GBK" w:hAnsi="方正楷体_GBK" w:eastAsia="方正楷体_GBK" w:cs="方正楷体_GBK"/>
              <w:b w:val="0"/>
              <w:bCs/>
              <w:color w:val="000000"/>
              <w:kern w:val="0"/>
              <w:sz w:val="28"/>
              <w:szCs w:val="20"/>
              <w:lang w:val="en-US" w:eastAsia="zh-CN"/>
            </w:rPr>
            <w:fldChar w:fldCharType="end"/>
          </w:r>
        </w:p>
      </w:sdtContent>
    </w:sdt>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 xml:space="preserve"> </w:t>
      </w: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color w:val="000000"/>
          <w:sz w:val="44"/>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color w:val="000000"/>
          <w:sz w:val="44"/>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color w:val="000000"/>
          <w:sz w:val="44"/>
        </w:rPr>
      </w:pPr>
    </w:p>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color w:val="000000"/>
          <w:sz w:val="44"/>
        </w:rPr>
      </w:pPr>
    </w:p>
    <w:p>
      <w:pPr>
        <w:rPr>
          <w:rFonts w:hint="eastAsia" w:ascii="方正小标宋_GBK" w:hAnsi="方正小标宋_GBK" w:eastAsia="方正小标宋_GBK" w:cs="方正小标宋_GBK"/>
          <w:color w:val="000000"/>
          <w:sz w:val="44"/>
        </w:rPr>
      </w:pPr>
    </w:p>
    <w:p>
      <w:pPr>
        <w:rPr>
          <w:rFonts w:hint="eastAsia" w:ascii="方正小标宋_GBK" w:hAnsi="方正小标宋_GBK" w:eastAsia="方正小标宋_GBK" w:cs="方正小标宋_GBK"/>
          <w:color w:val="000000"/>
          <w:sz w:val="44"/>
        </w:rPr>
      </w:pPr>
    </w:p>
    <w:p>
      <w:pPr>
        <w:rPr>
          <w:rFonts w:hint="eastAsia" w:ascii="方正小标宋_GBK" w:hAnsi="方正小标宋_GBK" w:eastAsia="方正小标宋_GBK" w:cs="方正小标宋_GBK"/>
          <w:color w:val="000000"/>
          <w:sz w:val="44"/>
        </w:rPr>
      </w:pPr>
    </w:p>
    <w:p>
      <w:pPr>
        <w:rPr>
          <w:rFonts w:hint="eastAsia" w:ascii="方正小标宋_GBK" w:hAnsi="方正小标宋_GBK" w:eastAsia="方正小标宋_GBK" w:cs="方正小标宋_GBK"/>
          <w:color w:val="000000"/>
          <w:sz w:val="44"/>
        </w:rPr>
      </w:pPr>
    </w:p>
    <w:bookmarkEnd w:id="1"/>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color w:val="000000"/>
          <w:sz w:val="36"/>
        </w:rPr>
      </w:pPr>
      <w:bookmarkStart w:id="2" w:name="_Toc4092"/>
      <w:r>
        <w:rPr>
          <w:rFonts w:hint="eastAsia" w:ascii="方正小标宋_GBK" w:hAnsi="方正小标宋_GBK" w:eastAsia="方正小标宋_GBK" w:cs="方正小标宋_GBK"/>
          <w:color w:val="000000"/>
          <w:sz w:val="36"/>
        </w:rPr>
        <w:t>单位预算收支总表</w:t>
      </w:r>
      <w:bookmarkEnd w:id="2"/>
    </w:p>
    <w:p>
      <w:pPr>
        <w:pStyle w:val="7"/>
        <w:keepNext w:val="0"/>
        <w:keepLines w:val="0"/>
        <w:pageBreakBefore w:val="0"/>
        <w:widowControl/>
        <w:kinsoku/>
        <w:wordWrap/>
        <w:overflowPunct/>
        <w:topLinePunct w:val="0"/>
        <w:bidi w:val="0"/>
        <w:snapToGrid/>
        <w:ind w:firstLine="480" w:firstLineChars="200"/>
        <w:jc w:val="both"/>
        <w:textAlignment w:val="auto"/>
        <w:outlineLvl w:val="9"/>
        <w:rPr>
          <w:rFonts w:hint="eastAsia" w:ascii="方正小标宋_GBK" w:hAnsi="方正小标宋_GBK" w:eastAsia="方正小标宋_GBK" w:cs="方正小标宋_GBK"/>
          <w:color w:val="000000"/>
          <w:sz w:val="36"/>
          <w:lang w:eastAsia="zh-CN"/>
        </w:rPr>
      </w:pPr>
      <w:r>
        <w:t>759</w:t>
      </w:r>
      <w:r>
        <w:rPr>
          <w:rFonts w:hint="eastAsia"/>
          <w:lang w:val="en-US" w:eastAsia="zh-CN"/>
        </w:rPr>
        <w:t>001</w:t>
      </w:r>
      <w:r>
        <w:t>成安县看守所</w:t>
      </w:r>
      <w:r>
        <w:rPr>
          <w:rFonts w:hint="eastAsia"/>
          <w:lang w:val="en-US" w:eastAsia="zh-CN"/>
        </w:rPr>
        <w:t xml:space="preserve">                     </w:t>
      </w:r>
      <w:r>
        <w:t>预算年度：202</w:t>
      </w:r>
      <w:r>
        <w:rPr>
          <w:rFonts w:hint="eastAsia"/>
          <w:lang w:val="en-US" w:eastAsia="zh-CN"/>
        </w:rPr>
        <w:t xml:space="preserve">4                                                     </w:t>
      </w:r>
      <w:r>
        <w:t>单位：万元</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5"/>
        <w:gridCol w:w="1"/>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6661"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收入</w:t>
            </w:r>
          </w:p>
        </w:tc>
        <w:tc>
          <w:tcPr>
            <w:tcW w:w="6662" w:type="dxa"/>
            <w:gridSpan w:val="3"/>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453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w:t>
            </w:r>
            <w:r>
              <w:t xml:space="preserve">  </w:t>
            </w:r>
            <w:r>
              <w:rPr>
                <w:rFonts w:hint="eastAsia"/>
              </w:rPr>
              <w:t>目</w:t>
            </w:r>
          </w:p>
        </w:tc>
        <w:tc>
          <w:tcPr>
            <w:tcW w:w="2126"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预算数</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w:t>
            </w:r>
            <w:r>
              <w:t xml:space="preserve">  </w:t>
            </w:r>
            <w:r>
              <w:rPr>
                <w:rFonts w:hint="eastAsia"/>
              </w:rPr>
              <w:t>目</w:t>
            </w:r>
          </w:p>
        </w:tc>
        <w:tc>
          <w:tcPr>
            <w:tcW w:w="212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4536"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2126" w:type="dxa"/>
            <w:gridSpan w:val="2"/>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2126" w:type="dxa"/>
            <w:vAlign w:val="center"/>
          </w:tcPr>
          <w:p>
            <w:pPr>
              <w:pStyle w:val="10"/>
              <w:keepNext w:val="0"/>
              <w:keepLines w:val="0"/>
              <w:pageBreakBefore w:val="0"/>
              <w:widowControl/>
              <w:kinsoku/>
              <w:wordWrap/>
              <w:overflowPunct/>
              <w:topLinePunct w:val="0"/>
              <w:bidi w:val="0"/>
              <w:snapToGrid/>
              <w:textAlignment w:val="auto"/>
              <w:outlineLvl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一、一般公共预算拨款收入</w:t>
            </w: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一、一般公共服务支出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二、政府性基金预算拨款收入</w:t>
            </w: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二、外交支出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三、国有资本经营预算拨款收入</w:t>
            </w: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三、国防支出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4</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四、财政专户管理资金收入</w:t>
            </w: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四、公共安全支出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r>
              <w:t>156.51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5</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五、单位资金</w:t>
            </w: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五、教育支出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6</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六、科学技术支出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7</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七、文化旅游体育与传媒支出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8</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八、社会保障和就业支出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9</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九、社会保险基金支出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10</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十、卫生健康支出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11</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十一、节能环保支出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12</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十二、城乡社区支出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13</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十三、农林水支出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14</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十四、交通运输支出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15</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十五、资源勘探工业信息等支出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16</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十六、商业服务业等支出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17</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十七、金融支出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18</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十八、援助其他地区支出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19</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十九、自然资源海洋气象等支出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20</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二十、住房保障支出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21</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二十一、粮油物资储备支出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22</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二十二、国有资本经营预算支出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23</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二十三、灾害防治及应急管理支出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24</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二十四、预备费</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25</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二十五、其他支出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26</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二十六、转移性支出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27</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二十七、债务还本支出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28</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二十八、债务付息支出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29</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二十九、债务发行费用支出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30</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三十、抗疫特别国债安排的支出</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31</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三十一、人行科目</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32</w:t>
            </w:r>
          </w:p>
        </w:tc>
        <w:tc>
          <w:tcPr>
            <w:tcW w:w="4536"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本年收入合计</w:t>
            </w:r>
          </w:p>
        </w:tc>
        <w:tc>
          <w:tcPr>
            <w:tcW w:w="2126" w:type="dxa"/>
            <w:gridSpan w:val="2"/>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4535"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本年支出合计</w:t>
            </w:r>
          </w:p>
        </w:tc>
        <w:tc>
          <w:tcPr>
            <w:tcW w:w="2126" w:type="dxa"/>
            <w:vAlign w:val="center"/>
          </w:tcPr>
          <w:p>
            <w:pPr>
              <w:pStyle w:val="15"/>
              <w:keepNext w:val="0"/>
              <w:keepLines w:val="0"/>
              <w:pageBreakBefore w:val="0"/>
              <w:widowControl/>
              <w:kinsoku/>
              <w:wordWrap/>
              <w:overflowPunct/>
              <w:topLinePunct w:val="0"/>
              <w:bidi w:val="0"/>
              <w:snapToGrid/>
              <w:textAlignment w:val="auto"/>
              <w:outlineLvl w:val="9"/>
            </w:pPr>
            <w:r>
              <w:t>156.51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33</w:t>
            </w:r>
          </w:p>
        </w:tc>
        <w:tc>
          <w:tcPr>
            <w:tcW w:w="4536"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上年结转结余</w:t>
            </w:r>
          </w:p>
        </w:tc>
        <w:tc>
          <w:tcPr>
            <w:tcW w:w="2126" w:type="dxa"/>
            <w:gridSpan w:val="2"/>
            <w:vAlign w:val="center"/>
          </w:tcPr>
          <w:p>
            <w:pPr>
              <w:pStyle w:val="11"/>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年终结转结余</w:t>
            </w:r>
          </w:p>
        </w:tc>
        <w:tc>
          <w:tcPr>
            <w:tcW w:w="212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34</w:t>
            </w:r>
          </w:p>
        </w:tc>
        <w:tc>
          <w:tcPr>
            <w:tcW w:w="4536"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收入总计</w:t>
            </w:r>
          </w:p>
        </w:tc>
        <w:tc>
          <w:tcPr>
            <w:tcW w:w="2126" w:type="dxa"/>
            <w:gridSpan w:val="2"/>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4535"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支出总计</w:t>
            </w:r>
          </w:p>
        </w:tc>
        <w:tc>
          <w:tcPr>
            <w:tcW w:w="2126" w:type="dxa"/>
            <w:vAlign w:val="center"/>
          </w:tcPr>
          <w:p>
            <w:pPr>
              <w:pStyle w:val="15"/>
              <w:keepNext w:val="0"/>
              <w:keepLines w:val="0"/>
              <w:pageBreakBefore w:val="0"/>
              <w:widowControl/>
              <w:kinsoku/>
              <w:wordWrap/>
              <w:overflowPunct/>
              <w:topLinePunct w:val="0"/>
              <w:bidi w:val="0"/>
              <w:snapToGrid/>
              <w:textAlignment w:val="auto"/>
              <w:outlineLvl w:val="9"/>
            </w:pPr>
            <w:r>
              <w:t>156.51</w:t>
            </w:r>
          </w:p>
        </w:tc>
      </w:tr>
    </w:tbl>
    <w:p>
      <w:pPr>
        <w:keepNext w:val="0"/>
        <w:keepLines w:val="0"/>
        <w:pageBreakBefore w:val="0"/>
        <w:widowControl/>
        <w:kinsoku/>
        <w:wordWrap/>
        <w:overflowPunct/>
        <w:topLinePunct w:val="0"/>
        <w:bidi w:val="0"/>
        <w:snapToGrid/>
        <w:textAlignment w:val="auto"/>
        <w:outlineLvl w:val="9"/>
        <w:sectPr>
          <w:footerReference r:id="rId3" w:type="default"/>
          <w:footerReference r:id="rId4" w:type="even"/>
          <w:pgSz w:w="16840" w:h="11900" w:orient="landscape"/>
          <w:pgMar w:top="1361" w:right="1020" w:bottom="1134" w:left="1020" w:header="720" w:footer="720" w:gutter="0"/>
          <w:pgNumType w:start="1"/>
          <w:cols w:space="720" w:num="1"/>
        </w:sectPr>
      </w:pP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3" w:name="_Toc7483"/>
      <w:r>
        <w:rPr>
          <w:rFonts w:hint="eastAsia" w:ascii="方正小标宋_GBK" w:hAnsi="方正小标宋_GBK" w:eastAsia="方正小标宋_GBK" w:cs="方正小标宋_GBK"/>
          <w:color w:val="000000"/>
          <w:sz w:val="36"/>
        </w:rPr>
        <w:t>单位预算收入总表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3402" w:type="dxa"/>
            <w:gridSpan w:val="3"/>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2551"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功能分类科目</w:t>
            </w:r>
          </w:p>
        </w:tc>
        <w:tc>
          <w:tcPr>
            <w:tcW w:w="1134"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9071" w:type="dxa"/>
            <w:gridSpan w:val="8"/>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本年收入</w:t>
            </w:r>
          </w:p>
        </w:tc>
        <w:tc>
          <w:tcPr>
            <w:tcW w:w="1134"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pageBreakBefore w:val="0"/>
              <w:widowControl/>
              <w:kinsoku/>
              <w:wordWrap/>
              <w:overflowPunct/>
              <w:topLinePunct w:val="0"/>
              <w:bidi w:val="0"/>
              <w:snapToGrid/>
              <w:textAlignment w:val="auto"/>
              <w:outlineLvl w:val="9"/>
            </w:pPr>
          </w:p>
        </w:tc>
        <w:tc>
          <w:tcPr>
            <w:tcW w:w="992"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w:t>
            </w:r>
            <w:r>
              <w:t xml:space="preserve">    </w:t>
            </w:r>
            <w:r>
              <w:rPr>
                <w:rFonts w:hint="eastAsia"/>
              </w:rPr>
              <w:t>编码</w:t>
            </w:r>
          </w:p>
        </w:tc>
        <w:tc>
          <w:tcPr>
            <w:tcW w:w="1559"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科目名称</w:t>
            </w:r>
          </w:p>
        </w:tc>
        <w:tc>
          <w:tcPr>
            <w:tcW w:w="1134" w:type="dxa"/>
            <w:vMerge w:val="continue"/>
          </w:tcPr>
          <w:p>
            <w:pPr>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小计</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财政拨款</w:t>
            </w:r>
            <w:r>
              <w:t xml:space="preserve"> </w:t>
            </w:r>
            <w:r>
              <w:rPr>
                <w:rFonts w:hint="eastAsia"/>
              </w:rPr>
              <w:t>收入</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财政专户</w:t>
            </w:r>
            <w:r>
              <w:t xml:space="preserve"> </w:t>
            </w:r>
            <w:r>
              <w:rPr>
                <w:rFonts w:hint="eastAsia"/>
              </w:rPr>
              <w:t>收入</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事业收入</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经营收入</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上级补助收入</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附属单位上缴收入</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其他收入</w:t>
            </w:r>
          </w:p>
        </w:tc>
        <w:tc>
          <w:tcPr>
            <w:tcW w:w="1134" w:type="dxa"/>
            <w:vMerge w:val="continue"/>
          </w:tcPr>
          <w:p>
            <w:pPr>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992"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1559"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5</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6</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7</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8</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9</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10</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11</w:t>
            </w:r>
          </w:p>
        </w:tc>
        <w:tc>
          <w:tcPr>
            <w:tcW w:w="1134" w:type="dxa"/>
            <w:vAlign w:val="center"/>
          </w:tcPr>
          <w:p>
            <w:pPr>
              <w:pStyle w:val="10"/>
              <w:keepNext w:val="0"/>
              <w:keepLines w:val="0"/>
              <w:pageBreakBefore w:val="0"/>
              <w:widowControl/>
              <w:kinsoku/>
              <w:wordWrap/>
              <w:overflowPunct/>
              <w:topLinePunct w:val="0"/>
              <w:bidi w:val="0"/>
              <w:snapToGrid/>
              <w:textAlignment w:val="auto"/>
              <w:outlineLvl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bidi w:val="0"/>
              <w:snapToGrid/>
              <w:textAlignment w:val="auto"/>
              <w:outlineLvl w:val="9"/>
            </w:pPr>
            <w:r>
              <w:t>1</w:t>
            </w:r>
          </w:p>
        </w:tc>
        <w:tc>
          <w:tcPr>
            <w:tcW w:w="992" w:type="dxa"/>
            <w:vAlign w:val="center"/>
          </w:tcPr>
          <w:p>
            <w:pPr>
              <w:pStyle w:val="16"/>
              <w:keepNext w:val="0"/>
              <w:keepLines w:val="0"/>
              <w:pageBreakBefore w:val="0"/>
              <w:widowControl/>
              <w:kinsoku/>
              <w:wordWrap/>
              <w:overflowPunct/>
              <w:topLinePunct w:val="0"/>
              <w:bidi w:val="0"/>
              <w:snapToGrid/>
              <w:textAlignment w:val="auto"/>
              <w:outlineLvl w:val="9"/>
            </w:pPr>
          </w:p>
        </w:tc>
        <w:tc>
          <w:tcPr>
            <w:tcW w:w="1559"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合计</w:t>
            </w: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5"/>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bidi w:val="0"/>
              <w:snapToGrid/>
              <w:textAlignment w:val="auto"/>
              <w:outlineLvl w:val="9"/>
            </w:pPr>
            <w:r>
              <w:t>2</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w:t>
            </w:r>
          </w:p>
        </w:tc>
        <w:tc>
          <w:tcPr>
            <w:tcW w:w="1559"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公共安全支出</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bidi w:val="0"/>
              <w:snapToGrid/>
              <w:textAlignment w:val="auto"/>
              <w:outlineLvl w:val="9"/>
            </w:pPr>
            <w:r>
              <w:t>3</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20402</w:t>
            </w:r>
          </w:p>
        </w:tc>
        <w:tc>
          <w:tcPr>
            <w:tcW w:w="1559"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公安</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bidi w:val="0"/>
              <w:snapToGrid/>
              <w:textAlignment w:val="auto"/>
              <w:outlineLvl w:val="9"/>
            </w:pPr>
            <w:r>
              <w:t>4</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2040201</w:t>
            </w:r>
          </w:p>
        </w:tc>
        <w:tc>
          <w:tcPr>
            <w:tcW w:w="1559"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行政运行</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keepNext w:val="0"/>
              <w:keepLines w:val="0"/>
              <w:pageBreakBefore w:val="0"/>
              <w:widowControl/>
              <w:kinsoku/>
              <w:wordWrap/>
              <w:overflowPunct/>
              <w:topLinePunct w:val="0"/>
              <w:bidi w:val="0"/>
              <w:snapToGrid/>
              <w:textAlignment w:val="auto"/>
              <w:outlineLvl w:val="9"/>
            </w:pPr>
            <w:r>
              <w:t>5</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2040299</w:t>
            </w:r>
          </w:p>
        </w:tc>
        <w:tc>
          <w:tcPr>
            <w:tcW w:w="1559"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其他公安支出</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c>
          <w:tcPr>
            <w:tcW w:w="1134" w:type="dxa"/>
            <w:vAlign w:val="center"/>
          </w:tcPr>
          <w:p>
            <w:pPr>
              <w:pStyle w:val="11"/>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textAlignment w:val="auto"/>
        <w:outlineLvl w:val="9"/>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4" w:name="_Toc16728"/>
      <w:r>
        <w:rPr>
          <w:rFonts w:hint="eastAsia" w:ascii="方正小标宋_GBK" w:hAnsi="方正小标宋_GBK" w:eastAsia="方正小标宋_GBK" w:cs="方正小标宋_GBK"/>
          <w:color w:val="000000"/>
          <w:sz w:val="36"/>
        </w:rPr>
        <w:t>单位预算支出总表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2721"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5528"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功能分类科目</w:t>
            </w:r>
          </w:p>
        </w:tc>
        <w:tc>
          <w:tcPr>
            <w:tcW w:w="136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136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基本支出</w:t>
            </w:r>
          </w:p>
        </w:tc>
        <w:tc>
          <w:tcPr>
            <w:tcW w:w="136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项目支出</w:t>
            </w:r>
          </w:p>
        </w:tc>
        <w:tc>
          <w:tcPr>
            <w:tcW w:w="136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经营支出</w:t>
            </w:r>
          </w:p>
        </w:tc>
        <w:tc>
          <w:tcPr>
            <w:tcW w:w="136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上解上级</w:t>
            </w:r>
            <w:r>
              <w:t xml:space="preserve">     </w:t>
            </w:r>
            <w:r>
              <w:rPr>
                <w:rFonts w:hint="eastAsia"/>
              </w:rPr>
              <w:t>支出</w:t>
            </w:r>
          </w:p>
        </w:tc>
        <w:tc>
          <w:tcPr>
            <w:tcW w:w="136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992"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w:t>
            </w:r>
            <w:r>
              <w:t xml:space="preserve">    </w:t>
            </w:r>
            <w:r>
              <w:rPr>
                <w:rFonts w:hint="eastAsia"/>
              </w:rPr>
              <w:t>编码</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科目名称</w:t>
            </w:r>
          </w:p>
        </w:tc>
        <w:tc>
          <w:tcPr>
            <w:tcW w:w="1361" w:type="dxa"/>
            <w:vMerge w:val="continue"/>
          </w:tcPr>
          <w:p>
            <w:pPr>
              <w:keepNext w:val="0"/>
              <w:keepLines w:val="0"/>
              <w:pageBreakBefore w:val="0"/>
              <w:widowControl/>
              <w:kinsoku/>
              <w:wordWrap/>
              <w:overflowPunct/>
              <w:topLinePunct w:val="0"/>
              <w:bidi w:val="0"/>
              <w:snapToGrid/>
              <w:textAlignment w:val="auto"/>
              <w:outlineLvl w:val="9"/>
            </w:pPr>
          </w:p>
        </w:tc>
        <w:tc>
          <w:tcPr>
            <w:tcW w:w="1361" w:type="dxa"/>
            <w:vMerge w:val="continue"/>
          </w:tcPr>
          <w:p>
            <w:pPr>
              <w:keepNext w:val="0"/>
              <w:keepLines w:val="0"/>
              <w:pageBreakBefore w:val="0"/>
              <w:widowControl/>
              <w:kinsoku/>
              <w:wordWrap/>
              <w:overflowPunct/>
              <w:topLinePunct w:val="0"/>
              <w:bidi w:val="0"/>
              <w:snapToGrid/>
              <w:textAlignment w:val="auto"/>
              <w:outlineLvl w:val="9"/>
            </w:pPr>
          </w:p>
        </w:tc>
        <w:tc>
          <w:tcPr>
            <w:tcW w:w="1361" w:type="dxa"/>
            <w:vMerge w:val="continue"/>
          </w:tcPr>
          <w:p>
            <w:pPr>
              <w:keepNext w:val="0"/>
              <w:keepLines w:val="0"/>
              <w:pageBreakBefore w:val="0"/>
              <w:widowControl/>
              <w:kinsoku/>
              <w:wordWrap/>
              <w:overflowPunct/>
              <w:topLinePunct w:val="0"/>
              <w:bidi w:val="0"/>
              <w:snapToGrid/>
              <w:textAlignment w:val="auto"/>
              <w:outlineLvl w:val="9"/>
            </w:pPr>
          </w:p>
        </w:tc>
        <w:tc>
          <w:tcPr>
            <w:tcW w:w="1361" w:type="dxa"/>
            <w:vMerge w:val="continue"/>
          </w:tcPr>
          <w:p>
            <w:pPr>
              <w:keepNext w:val="0"/>
              <w:keepLines w:val="0"/>
              <w:pageBreakBefore w:val="0"/>
              <w:widowControl/>
              <w:kinsoku/>
              <w:wordWrap/>
              <w:overflowPunct/>
              <w:topLinePunct w:val="0"/>
              <w:bidi w:val="0"/>
              <w:snapToGrid/>
              <w:textAlignment w:val="auto"/>
              <w:outlineLvl w:val="9"/>
            </w:pPr>
          </w:p>
        </w:tc>
        <w:tc>
          <w:tcPr>
            <w:tcW w:w="1361" w:type="dxa"/>
            <w:vMerge w:val="continue"/>
          </w:tcPr>
          <w:p>
            <w:pPr>
              <w:keepNext w:val="0"/>
              <w:keepLines w:val="0"/>
              <w:pageBreakBefore w:val="0"/>
              <w:widowControl/>
              <w:kinsoku/>
              <w:wordWrap/>
              <w:overflowPunct/>
              <w:topLinePunct w:val="0"/>
              <w:bidi w:val="0"/>
              <w:snapToGrid/>
              <w:textAlignment w:val="auto"/>
              <w:outlineLvl w:val="9"/>
            </w:pPr>
          </w:p>
        </w:tc>
        <w:tc>
          <w:tcPr>
            <w:tcW w:w="1361" w:type="dxa"/>
            <w:vMerge w:val="continue"/>
          </w:tcPr>
          <w:p>
            <w:pPr>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992"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1361"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1361"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1361" w:type="dxa"/>
            <w:vAlign w:val="center"/>
          </w:tcPr>
          <w:p>
            <w:pPr>
              <w:pStyle w:val="10"/>
              <w:keepNext w:val="0"/>
              <w:keepLines w:val="0"/>
              <w:pageBreakBefore w:val="0"/>
              <w:widowControl/>
              <w:kinsoku/>
              <w:wordWrap/>
              <w:overflowPunct/>
              <w:topLinePunct w:val="0"/>
              <w:bidi w:val="0"/>
              <w:snapToGrid/>
              <w:textAlignment w:val="auto"/>
              <w:outlineLvl w:val="9"/>
            </w:pPr>
            <w:r>
              <w:t>5</w:t>
            </w:r>
          </w:p>
        </w:tc>
        <w:tc>
          <w:tcPr>
            <w:tcW w:w="1361" w:type="dxa"/>
            <w:vAlign w:val="center"/>
          </w:tcPr>
          <w:p>
            <w:pPr>
              <w:pStyle w:val="10"/>
              <w:keepNext w:val="0"/>
              <w:keepLines w:val="0"/>
              <w:pageBreakBefore w:val="0"/>
              <w:widowControl/>
              <w:kinsoku/>
              <w:wordWrap/>
              <w:overflowPunct/>
              <w:topLinePunct w:val="0"/>
              <w:bidi w:val="0"/>
              <w:snapToGrid/>
              <w:textAlignment w:val="auto"/>
              <w:outlineLvl w:val="9"/>
            </w:pPr>
            <w:r>
              <w:t>6</w:t>
            </w:r>
          </w:p>
        </w:tc>
        <w:tc>
          <w:tcPr>
            <w:tcW w:w="1361" w:type="dxa"/>
            <w:vAlign w:val="center"/>
          </w:tcPr>
          <w:p>
            <w:pPr>
              <w:pStyle w:val="10"/>
              <w:keepNext w:val="0"/>
              <w:keepLines w:val="0"/>
              <w:pageBreakBefore w:val="0"/>
              <w:widowControl/>
              <w:kinsoku/>
              <w:wordWrap/>
              <w:overflowPunct/>
              <w:topLinePunct w:val="0"/>
              <w:bidi w:val="0"/>
              <w:snapToGrid/>
              <w:textAlignment w:val="auto"/>
              <w:outlineLvl w:val="9"/>
            </w:pPr>
            <w:r>
              <w:t>7</w:t>
            </w:r>
          </w:p>
        </w:tc>
        <w:tc>
          <w:tcPr>
            <w:tcW w:w="1361" w:type="dxa"/>
            <w:vAlign w:val="center"/>
          </w:tcPr>
          <w:p>
            <w:pPr>
              <w:pStyle w:val="10"/>
              <w:keepNext w:val="0"/>
              <w:keepLines w:val="0"/>
              <w:pageBreakBefore w:val="0"/>
              <w:widowControl/>
              <w:kinsoku/>
              <w:wordWrap/>
              <w:overflowPunct/>
              <w:topLinePunct w:val="0"/>
              <w:bidi w:val="0"/>
              <w:snapToGrid/>
              <w:textAlignment w:val="auto"/>
              <w:outlineLvl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w:t>
            </w:r>
          </w:p>
        </w:tc>
        <w:tc>
          <w:tcPr>
            <w:tcW w:w="992" w:type="dxa"/>
            <w:vAlign w:val="center"/>
          </w:tcPr>
          <w:p>
            <w:pPr>
              <w:pStyle w:val="16"/>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合计</w:t>
            </w:r>
          </w:p>
        </w:tc>
        <w:tc>
          <w:tcPr>
            <w:tcW w:w="1361"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361" w:type="dxa"/>
            <w:vAlign w:val="center"/>
          </w:tcPr>
          <w:p>
            <w:pPr>
              <w:pStyle w:val="15"/>
              <w:keepNext w:val="0"/>
              <w:keepLines w:val="0"/>
              <w:pageBreakBefore w:val="0"/>
              <w:widowControl/>
              <w:kinsoku/>
              <w:wordWrap/>
              <w:overflowPunct/>
              <w:topLinePunct w:val="0"/>
              <w:bidi w:val="0"/>
              <w:snapToGrid/>
              <w:textAlignment w:val="auto"/>
              <w:outlineLvl w:val="9"/>
            </w:pPr>
            <w:r>
              <w:t>38.75</w:t>
            </w:r>
          </w:p>
        </w:tc>
        <w:tc>
          <w:tcPr>
            <w:tcW w:w="1361" w:type="dxa"/>
            <w:vAlign w:val="center"/>
          </w:tcPr>
          <w:p>
            <w:pPr>
              <w:pStyle w:val="15"/>
              <w:keepNext w:val="0"/>
              <w:keepLines w:val="0"/>
              <w:pageBreakBefore w:val="0"/>
              <w:widowControl/>
              <w:kinsoku/>
              <w:wordWrap/>
              <w:overflowPunct/>
              <w:topLinePunct w:val="0"/>
              <w:bidi w:val="0"/>
              <w:snapToGrid/>
              <w:textAlignment w:val="auto"/>
              <w:outlineLvl w:val="9"/>
            </w:pPr>
            <w:r>
              <w:t>117.76</w:t>
            </w:r>
          </w:p>
        </w:tc>
        <w:tc>
          <w:tcPr>
            <w:tcW w:w="1361" w:type="dxa"/>
            <w:vAlign w:val="center"/>
          </w:tcPr>
          <w:p>
            <w:pPr>
              <w:pStyle w:val="15"/>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5"/>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5"/>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公共安全支出</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20402</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公安</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4</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2040201</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行政运行</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5</w:t>
            </w:r>
          </w:p>
        </w:tc>
        <w:tc>
          <w:tcPr>
            <w:tcW w:w="992" w:type="dxa"/>
            <w:vAlign w:val="center"/>
          </w:tcPr>
          <w:p>
            <w:pPr>
              <w:pStyle w:val="12"/>
              <w:keepNext w:val="0"/>
              <w:keepLines w:val="0"/>
              <w:pageBreakBefore w:val="0"/>
              <w:widowControl/>
              <w:kinsoku/>
              <w:wordWrap/>
              <w:overflowPunct/>
              <w:topLinePunct w:val="0"/>
              <w:bidi w:val="0"/>
              <w:snapToGrid/>
              <w:textAlignment w:val="auto"/>
              <w:outlineLvl w:val="9"/>
            </w:pPr>
            <w:r>
              <w:t>2040299</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其他公安支出</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c>
          <w:tcPr>
            <w:tcW w:w="1361" w:type="dxa"/>
            <w:vAlign w:val="center"/>
          </w:tcPr>
          <w:p>
            <w:pPr>
              <w:pStyle w:val="11"/>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textAlignment w:val="auto"/>
        <w:outlineLvl w:val="9"/>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5" w:name="_Toc5479"/>
      <w:r>
        <w:rPr>
          <w:rFonts w:hint="eastAsia" w:ascii="方正小标宋_GBK" w:hAnsi="方正小标宋_GBK" w:eastAsia="方正小标宋_GBK" w:cs="方正小标宋_GBK"/>
          <w:color w:val="000000"/>
          <w:sz w:val="36"/>
        </w:rPr>
        <w:t>单位预算财政拨款收支总表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3402"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4876"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收入</w:t>
            </w:r>
          </w:p>
        </w:tc>
        <w:tc>
          <w:tcPr>
            <w:tcW w:w="9298" w:type="dxa"/>
            <w:gridSpan w:val="5"/>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w:t>
            </w:r>
            <w:r>
              <w:t xml:space="preserve">  </w:t>
            </w:r>
            <w:r>
              <w:rPr>
                <w:rFonts w:hint="eastAsia"/>
              </w:rPr>
              <w:t>目</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金额</w:t>
            </w:r>
          </w:p>
        </w:tc>
        <w:tc>
          <w:tcPr>
            <w:tcW w:w="3402"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w:t>
            </w:r>
            <w:r>
              <w:t xml:space="preserve">  </w:t>
            </w:r>
            <w:r>
              <w:rPr>
                <w:rFonts w:hint="eastAsia"/>
              </w:rPr>
              <w:t>目</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一般公共预算财政拨款</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政府性基金预算财政</w:t>
            </w:r>
            <w:r>
              <w:t xml:space="preserve">    </w:t>
            </w:r>
            <w:r>
              <w:rPr>
                <w:rFonts w:hint="eastAsia"/>
              </w:rPr>
              <w:t>拨款</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3402"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3402"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t>5</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t>6</w:t>
            </w:r>
          </w:p>
        </w:tc>
        <w:tc>
          <w:tcPr>
            <w:tcW w:w="1474" w:type="dxa"/>
            <w:vAlign w:val="center"/>
          </w:tcPr>
          <w:p>
            <w:pPr>
              <w:pStyle w:val="10"/>
              <w:keepNext w:val="0"/>
              <w:keepLines w:val="0"/>
              <w:pageBreakBefore w:val="0"/>
              <w:widowControl/>
              <w:kinsoku/>
              <w:wordWrap/>
              <w:overflowPunct/>
              <w:topLinePunct w:val="0"/>
              <w:bidi w:val="0"/>
              <w:snapToGrid/>
              <w:textAlignment w:val="auto"/>
              <w:outlineLvl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一、一般公共预算拨款</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一、一般公共服务支出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二、政府性基金预算拨款</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二、外交支出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三、国有资本经营预算拨款</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三、国防支出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4</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四、公共安全支出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5</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五、教育支出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6</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六、科学技术支出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7</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七、文化旅游体育与传媒支出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8</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八、社会保障和就业支出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9</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九、社会保险基金支出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10</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十、卫生健康支出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11</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十一、节能环保支出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12</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十二、城乡社区支出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13</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十三、农林水支出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14</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十四、交通运输支出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15</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十五、资源勘探工业信息等支出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16</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十六、商业服务业等支出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17</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十七、金融支出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18</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十八、援助其他地区支出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19</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十九、自然资源海洋气象等支出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20</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二十、住房保障支出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21</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二十一、粮油物资储备支出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22</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二十二、国有资本经营预算支出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23</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二十三、灾害防治及应急管理支出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24</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二十四、预备费</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25</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二十五、其他支出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26</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二十六、转移性支出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27</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二十七、债务还本支出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28</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二十八、债务付息支出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29</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二十九、债务发行费用支出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30</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三十、抗疫特别国债安排的支出</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31</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三十一、人行科目</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32</w:t>
            </w:r>
          </w:p>
        </w:tc>
        <w:tc>
          <w:tcPr>
            <w:tcW w:w="3402"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本年收入合计</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3402"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本年支出合计</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33</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年初财政拨款结转和结余</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年末财政拨款结转和结余</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34</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一、一般公共预算拨款</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35</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二、政府性基金预算拨款</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36</w:t>
            </w: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三、国有资本经营预算拨款</w:t>
            </w: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3402" w:type="dxa"/>
            <w:vAlign w:val="center"/>
          </w:tcPr>
          <w:p>
            <w:pPr>
              <w:pStyle w:val="12"/>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37</w:t>
            </w:r>
          </w:p>
        </w:tc>
        <w:tc>
          <w:tcPr>
            <w:tcW w:w="3402"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收入总计</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3402"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支出总计</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p>
        </w:tc>
        <w:tc>
          <w:tcPr>
            <w:tcW w:w="1474" w:type="dxa"/>
            <w:vAlign w:val="center"/>
          </w:tcPr>
          <w:p>
            <w:pPr>
              <w:pStyle w:val="15"/>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textAlignment w:val="auto"/>
        <w:outlineLvl w:val="9"/>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6" w:name="_Toc11316"/>
      <w:r>
        <w:rPr>
          <w:rFonts w:hint="eastAsia" w:ascii="方正小标宋_GBK" w:hAnsi="方正小标宋_GBK" w:eastAsia="方正小标宋_GBK" w:cs="方正小标宋_GBK"/>
          <w:color w:val="000000"/>
          <w:sz w:val="36"/>
        </w:rPr>
        <w:t>单位预算一般公共预算财政拨款支出表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5726"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功能分类科目</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基本支出</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科目编码</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科目名称</w:t>
            </w:r>
          </w:p>
        </w:tc>
        <w:tc>
          <w:tcPr>
            <w:tcW w:w="2551" w:type="dxa"/>
            <w:vMerge w:val="continue"/>
          </w:tcPr>
          <w:p>
            <w:pPr>
              <w:keepNext w:val="0"/>
              <w:keepLines w:val="0"/>
              <w:pageBreakBefore w:val="0"/>
              <w:widowControl/>
              <w:kinsoku/>
              <w:wordWrap/>
              <w:overflowPunct/>
              <w:topLinePunct w:val="0"/>
              <w:bidi w:val="0"/>
              <w:snapToGrid/>
              <w:textAlignment w:val="auto"/>
              <w:outlineLvl w:val="9"/>
            </w:pPr>
          </w:p>
        </w:tc>
        <w:tc>
          <w:tcPr>
            <w:tcW w:w="2551" w:type="dxa"/>
            <w:vMerge w:val="continue"/>
          </w:tcPr>
          <w:p>
            <w:pPr>
              <w:keepNext w:val="0"/>
              <w:keepLines w:val="0"/>
              <w:pageBreakBefore w:val="0"/>
              <w:widowControl/>
              <w:kinsoku/>
              <w:wordWrap/>
              <w:overflowPunct/>
              <w:topLinePunct w:val="0"/>
              <w:bidi w:val="0"/>
              <w:snapToGrid/>
              <w:textAlignment w:val="auto"/>
              <w:outlineLvl w:val="9"/>
            </w:pPr>
          </w:p>
        </w:tc>
        <w:tc>
          <w:tcPr>
            <w:tcW w:w="2551" w:type="dxa"/>
            <w:vMerge w:val="continue"/>
          </w:tcPr>
          <w:p>
            <w:pPr>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w:t>
            </w:r>
          </w:p>
        </w:tc>
        <w:tc>
          <w:tcPr>
            <w:tcW w:w="1191" w:type="dxa"/>
            <w:vAlign w:val="center"/>
          </w:tcPr>
          <w:p>
            <w:pPr>
              <w:pStyle w:val="16"/>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合计</w:t>
            </w:r>
          </w:p>
        </w:tc>
        <w:tc>
          <w:tcPr>
            <w:tcW w:w="2551" w:type="dxa"/>
            <w:vAlign w:val="center"/>
          </w:tcPr>
          <w:p>
            <w:pPr>
              <w:pStyle w:val="15"/>
              <w:keepNext w:val="0"/>
              <w:keepLines w:val="0"/>
              <w:pageBreakBefore w:val="0"/>
              <w:widowControl/>
              <w:kinsoku/>
              <w:wordWrap/>
              <w:overflowPunct/>
              <w:topLinePunct w:val="0"/>
              <w:bidi w:val="0"/>
              <w:snapToGrid/>
              <w:textAlignment w:val="auto"/>
              <w:outlineLvl w:val="9"/>
            </w:pPr>
            <w:r>
              <w:t>156.51</w:t>
            </w:r>
          </w:p>
        </w:tc>
        <w:tc>
          <w:tcPr>
            <w:tcW w:w="2551" w:type="dxa"/>
            <w:vAlign w:val="center"/>
          </w:tcPr>
          <w:p>
            <w:pPr>
              <w:pStyle w:val="15"/>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5"/>
              <w:keepNext w:val="0"/>
              <w:keepLines w:val="0"/>
              <w:pageBreakBefore w:val="0"/>
              <w:widowControl/>
              <w:kinsoku/>
              <w:wordWrap/>
              <w:overflowPunct/>
              <w:topLinePunct w:val="0"/>
              <w:bidi w:val="0"/>
              <w:snapToGrid/>
              <w:textAlignment w:val="auto"/>
              <w:outlineLvl w:val="9"/>
            </w:pPr>
            <w:r>
              <w:t>117.76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204</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公共安全支出</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20402</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公安</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156.51</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117.76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4</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2040201</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行政运行</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5</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2040299</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其他公安支出</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117.76</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117.76</w:t>
            </w:r>
          </w:p>
        </w:tc>
      </w:tr>
    </w:tbl>
    <w:p>
      <w:pPr>
        <w:keepNext w:val="0"/>
        <w:keepLines w:val="0"/>
        <w:pageBreakBefore w:val="0"/>
        <w:widowControl/>
        <w:kinsoku/>
        <w:wordWrap/>
        <w:overflowPunct/>
        <w:topLinePunct w:val="0"/>
        <w:bidi w:val="0"/>
        <w:snapToGrid/>
        <w:textAlignment w:val="auto"/>
        <w:outlineLvl w:val="9"/>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7" w:name="_Toc29262"/>
      <w:r>
        <w:rPr>
          <w:rFonts w:hint="eastAsia" w:ascii="方正小标宋_GBK" w:hAnsi="方正小标宋_GBK" w:eastAsia="方正小标宋_GBK" w:cs="方正小标宋_GBK"/>
          <w:color w:val="000000"/>
          <w:sz w:val="36"/>
        </w:rPr>
        <w:t>单位预算一般公共预算财政拨款基本支出表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5726"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支出部门经济分类科目</w:t>
            </w:r>
          </w:p>
        </w:tc>
        <w:tc>
          <w:tcPr>
            <w:tcW w:w="7654" w:type="dxa"/>
            <w:gridSpan w:val="3"/>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科目编码</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科目名称</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人员经费</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1</w:t>
            </w:r>
          </w:p>
        </w:tc>
        <w:tc>
          <w:tcPr>
            <w:tcW w:w="1191" w:type="dxa"/>
            <w:vAlign w:val="center"/>
          </w:tcPr>
          <w:p>
            <w:pPr>
              <w:pStyle w:val="16"/>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4"/>
              <w:keepNext w:val="0"/>
              <w:keepLines w:val="0"/>
              <w:pageBreakBefore w:val="0"/>
              <w:widowControl/>
              <w:kinsoku/>
              <w:wordWrap/>
              <w:overflowPunct/>
              <w:topLinePunct w:val="0"/>
              <w:bidi w:val="0"/>
              <w:snapToGrid/>
              <w:textAlignment w:val="auto"/>
              <w:outlineLvl w:val="9"/>
            </w:pPr>
            <w:r>
              <w:rPr>
                <w:rFonts w:hint="eastAsia"/>
              </w:rPr>
              <w:t>合计</w:t>
            </w:r>
          </w:p>
        </w:tc>
        <w:tc>
          <w:tcPr>
            <w:tcW w:w="2551" w:type="dxa"/>
            <w:vAlign w:val="center"/>
          </w:tcPr>
          <w:p>
            <w:pPr>
              <w:pStyle w:val="15"/>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5"/>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5"/>
              <w:keepNext w:val="0"/>
              <w:keepLines w:val="0"/>
              <w:pageBreakBefore w:val="0"/>
              <w:widowControl/>
              <w:kinsoku/>
              <w:wordWrap/>
              <w:overflowPunct/>
              <w:topLinePunct w:val="0"/>
              <w:bidi w:val="0"/>
              <w:snapToGrid/>
              <w:textAlignment w:val="auto"/>
              <w:outlineLvl w:val="9"/>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2</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302</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商品和服务支出</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38.75</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3</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30201</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办公费</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5.00</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4</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30206</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电费</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2.00</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5</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30208</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取暖费</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19.55</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6</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30211</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差旅费</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0.20</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r>
              <w:t>7</w:t>
            </w: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r>
              <w:t>30299</w:t>
            </w: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其他商品和服务支出</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12.00</w:t>
            </w: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r>
              <w:t>12.00</w:t>
            </w:r>
          </w:p>
        </w:tc>
      </w:tr>
    </w:tbl>
    <w:p>
      <w:pPr>
        <w:keepNext w:val="0"/>
        <w:keepLines w:val="0"/>
        <w:pageBreakBefore w:val="0"/>
        <w:widowControl/>
        <w:kinsoku/>
        <w:wordWrap/>
        <w:overflowPunct/>
        <w:topLinePunct w:val="0"/>
        <w:bidi w:val="0"/>
        <w:snapToGrid/>
        <w:textAlignment w:val="auto"/>
        <w:outlineLvl w:val="9"/>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8" w:name="_Toc30253"/>
      <w:r>
        <w:rPr>
          <w:rFonts w:hint="eastAsia" w:ascii="方正小标宋_GBK" w:hAnsi="方正小标宋_GBK" w:eastAsia="方正小标宋_GBK" w:cs="方正小标宋_GBK"/>
          <w:color w:val="000000"/>
          <w:sz w:val="36"/>
        </w:rPr>
        <w:t>单位预算政府性基金预算财政拨款支出表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5726"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功能分类科目</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基本支出</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科目编码</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科目名称</w:t>
            </w:r>
          </w:p>
        </w:tc>
        <w:tc>
          <w:tcPr>
            <w:tcW w:w="2551" w:type="dxa"/>
            <w:vMerge w:val="continue"/>
          </w:tcPr>
          <w:p>
            <w:pPr>
              <w:keepNext w:val="0"/>
              <w:keepLines w:val="0"/>
              <w:pageBreakBefore w:val="0"/>
              <w:widowControl/>
              <w:kinsoku/>
              <w:wordWrap/>
              <w:overflowPunct/>
              <w:topLinePunct w:val="0"/>
              <w:bidi w:val="0"/>
              <w:snapToGrid/>
              <w:textAlignment w:val="auto"/>
              <w:outlineLvl w:val="9"/>
            </w:pPr>
          </w:p>
        </w:tc>
        <w:tc>
          <w:tcPr>
            <w:tcW w:w="2551" w:type="dxa"/>
            <w:vMerge w:val="continue"/>
          </w:tcPr>
          <w:p>
            <w:pPr>
              <w:keepNext w:val="0"/>
              <w:keepLines w:val="0"/>
              <w:pageBreakBefore w:val="0"/>
              <w:widowControl/>
              <w:kinsoku/>
              <w:wordWrap/>
              <w:overflowPunct/>
              <w:topLinePunct w:val="0"/>
              <w:bidi w:val="0"/>
              <w:snapToGrid/>
              <w:textAlignment w:val="auto"/>
              <w:outlineLvl w:val="9"/>
            </w:pPr>
          </w:p>
        </w:tc>
        <w:tc>
          <w:tcPr>
            <w:tcW w:w="2551" w:type="dxa"/>
            <w:vMerge w:val="continue"/>
          </w:tcPr>
          <w:p>
            <w:pPr>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ind w:firstLine="420"/>
        <w:textAlignment w:val="auto"/>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9" w:name="_Toc18174"/>
      <w:r>
        <w:rPr>
          <w:rFonts w:hint="eastAsia" w:ascii="方正小标宋_GBK" w:hAnsi="方正小标宋_GBK" w:eastAsia="方正小标宋_GBK" w:cs="方正小标宋_GBK"/>
          <w:color w:val="000000"/>
          <w:sz w:val="36"/>
        </w:rPr>
        <w:t>单位预算国有资本经营预算财政拨款支出表</w:t>
      </w:r>
      <w:bookmarkEnd w:id="9"/>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255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5726"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功能分类科目</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基本支出</w:t>
            </w:r>
          </w:p>
        </w:tc>
        <w:tc>
          <w:tcPr>
            <w:tcW w:w="2551"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科目编码</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科目名称</w:t>
            </w:r>
          </w:p>
        </w:tc>
        <w:tc>
          <w:tcPr>
            <w:tcW w:w="2551" w:type="dxa"/>
            <w:vMerge w:val="continue"/>
          </w:tcPr>
          <w:p>
            <w:pPr>
              <w:keepNext w:val="0"/>
              <w:keepLines w:val="0"/>
              <w:pageBreakBefore w:val="0"/>
              <w:widowControl/>
              <w:kinsoku/>
              <w:wordWrap/>
              <w:overflowPunct/>
              <w:topLinePunct w:val="0"/>
              <w:bidi w:val="0"/>
              <w:snapToGrid/>
              <w:textAlignment w:val="auto"/>
              <w:outlineLvl w:val="9"/>
            </w:pPr>
          </w:p>
        </w:tc>
        <w:tc>
          <w:tcPr>
            <w:tcW w:w="2551" w:type="dxa"/>
            <w:vMerge w:val="continue"/>
          </w:tcPr>
          <w:p>
            <w:pPr>
              <w:keepNext w:val="0"/>
              <w:keepLines w:val="0"/>
              <w:pageBreakBefore w:val="0"/>
              <w:widowControl/>
              <w:kinsoku/>
              <w:wordWrap/>
              <w:overflowPunct/>
              <w:topLinePunct w:val="0"/>
              <w:bidi w:val="0"/>
              <w:snapToGrid/>
              <w:textAlignment w:val="auto"/>
              <w:outlineLvl w:val="9"/>
            </w:pPr>
          </w:p>
        </w:tc>
        <w:tc>
          <w:tcPr>
            <w:tcW w:w="2551" w:type="dxa"/>
            <w:vMerge w:val="continue"/>
          </w:tcPr>
          <w:p>
            <w:pPr>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1191"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4535"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2551" w:type="dxa"/>
            <w:vAlign w:val="center"/>
          </w:tcPr>
          <w:p>
            <w:pPr>
              <w:pStyle w:val="10"/>
              <w:keepNext w:val="0"/>
              <w:keepLines w:val="0"/>
              <w:pageBreakBefore w:val="0"/>
              <w:widowControl/>
              <w:kinsoku/>
              <w:wordWrap/>
              <w:overflowPunct/>
              <w:topLinePunct w:val="0"/>
              <w:bidi w:val="0"/>
              <w:snapToGrid/>
              <w:textAlignment w:val="auto"/>
              <w:outlineLvl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p>
        </w:tc>
        <w:tc>
          <w:tcPr>
            <w:tcW w:w="1191" w:type="dxa"/>
            <w:vAlign w:val="center"/>
          </w:tcPr>
          <w:p>
            <w:pPr>
              <w:pStyle w:val="12"/>
              <w:keepNext w:val="0"/>
              <w:keepLines w:val="0"/>
              <w:pageBreakBefore w:val="0"/>
              <w:widowControl/>
              <w:kinsoku/>
              <w:wordWrap/>
              <w:overflowPunct/>
              <w:topLinePunct w:val="0"/>
              <w:bidi w:val="0"/>
              <w:snapToGrid/>
              <w:textAlignment w:val="auto"/>
              <w:outlineLvl w:val="9"/>
            </w:pPr>
          </w:p>
        </w:tc>
        <w:tc>
          <w:tcPr>
            <w:tcW w:w="4535" w:type="dxa"/>
            <w:vAlign w:val="center"/>
          </w:tcPr>
          <w:p>
            <w:pPr>
              <w:pStyle w:val="12"/>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c>
          <w:tcPr>
            <w:tcW w:w="2551" w:type="dxa"/>
            <w:vAlign w:val="center"/>
          </w:tcPr>
          <w:p>
            <w:pPr>
              <w:pStyle w:val="11"/>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ind w:firstLine="420"/>
        <w:textAlignment w:val="auto"/>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10" w:name="_Toc25198"/>
      <w:r>
        <w:rPr>
          <w:rFonts w:hint="eastAsia" w:ascii="方正小标宋_GBK" w:hAnsi="方正小标宋_GBK" w:eastAsia="方正小标宋_GBK" w:cs="方正小标宋_GBK"/>
          <w:color w:val="000000"/>
          <w:sz w:val="36"/>
        </w:rPr>
        <w:t>单位预算财政拨款“三公”经费支出表</w:t>
      </w:r>
      <w:bookmarkEnd w:id="1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2381" w:type="dxa"/>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bidi w:val="0"/>
              <w:snapToGrid/>
              <w:textAlignment w:val="auto"/>
              <w:outlineLvl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序号</w:t>
            </w:r>
          </w:p>
        </w:tc>
        <w:tc>
          <w:tcPr>
            <w:tcW w:w="3798"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w:t>
            </w:r>
            <w:r>
              <w:t xml:space="preserve">  </w:t>
            </w:r>
            <w:r>
              <w:rPr>
                <w:rFonts w:hint="eastAsia"/>
              </w:rPr>
              <w:t>目</w:t>
            </w:r>
          </w:p>
        </w:tc>
        <w:tc>
          <w:tcPr>
            <w:tcW w:w="9524" w:type="dxa"/>
            <w:gridSpan w:val="4"/>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pageBreakBefore w:val="0"/>
              <w:widowControl/>
              <w:kinsoku/>
              <w:wordWrap/>
              <w:overflowPunct/>
              <w:topLinePunct w:val="0"/>
              <w:bidi w:val="0"/>
              <w:snapToGrid/>
              <w:textAlignment w:val="auto"/>
              <w:outlineLvl w:val="9"/>
            </w:pPr>
          </w:p>
        </w:tc>
        <w:tc>
          <w:tcPr>
            <w:tcW w:w="3798" w:type="dxa"/>
            <w:vMerge w:val="continue"/>
          </w:tcPr>
          <w:p>
            <w:pPr>
              <w:keepNext w:val="0"/>
              <w:keepLines w:val="0"/>
              <w:pageBreakBefore w:val="0"/>
              <w:widowControl/>
              <w:kinsoku/>
              <w:wordWrap/>
              <w:overflowPunct/>
              <w:topLinePunct w:val="0"/>
              <w:bidi w:val="0"/>
              <w:snapToGrid/>
              <w:textAlignment w:val="auto"/>
              <w:outlineLvl w:val="9"/>
            </w:pP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一般公共预算</w:t>
            </w:r>
            <w:r>
              <w:t xml:space="preserve">              </w:t>
            </w:r>
            <w:r>
              <w:rPr>
                <w:rFonts w:hint="eastAsia"/>
              </w:rPr>
              <w:t>财政拨款</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政府性基金</w:t>
            </w:r>
            <w:r>
              <w:t xml:space="preserve">                  </w:t>
            </w:r>
            <w:r>
              <w:rPr>
                <w:rFonts w:hint="eastAsia"/>
              </w:rPr>
              <w:t>预算拨款</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栏次</w:t>
            </w:r>
          </w:p>
        </w:tc>
        <w:tc>
          <w:tcPr>
            <w:tcW w:w="3798" w:type="dxa"/>
            <w:vAlign w:val="center"/>
          </w:tcPr>
          <w:p>
            <w:pPr>
              <w:pStyle w:val="10"/>
              <w:keepNext w:val="0"/>
              <w:keepLines w:val="0"/>
              <w:pageBreakBefore w:val="0"/>
              <w:widowControl/>
              <w:kinsoku/>
              <w:wordWrap/>
              <w:overflowPunct/>
              <w:topLinePunct w:val="0"/>
              <w:bidi w:val="0"/>
              <w:snapToGrid/>
              <w:textAlignment w:val="auto"/>
              <w:outlineLvl w:val="9"/>
            </w:pPr>
            <w:r>
              <w:t>1</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t>2</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t>3</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t>4</w:t>
            </w:r>
          </w:p>
        </w:tc>
        <w:tc>
          <w:tcPr>
            <w:tcW w:w="2381" w:type="dxa"/>
            <w:vAlign w:val="center"/>
          </w:tcPr>
          <w:p>
            <w:pPr>
              <w:pStyle w:val="10"/>
              <w:keepNext w:val="0"/>
              <w:keepLines w:val="0"/>
              <w:pageBreakBefore w:val="0"/>
              <w:widowControl/>
              <w:kinsoku/>
              <w:wordWrap/>
              <w:overflowPunct/>
              <w:topLinePunct w:val="0"/>
              <w:bidi w:val="0"/>
              <w:snapToGrid/>
              <w:textAlignment w:val="auto"/>
              <w:outlineLvl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keepNext w:val="0"/>
              <w:keepLines w:val="0"/>
              <w:pageBreakBefore w:val="0"/>
              <w:widowControl/>
              <w:kinsoku/>
              <w:wordWrap/>
              <w:overflowPunct/>
              <w:topLinePunct w:val="0"/>
              <w:bidi w:val="0"/>
              <w:snapToGrid/>
              <w:textAlignment w:val="auto"/>
              <w:outlineLvl w:val="9"/>
            </w:pPr>
          </w:p>
        </w:tc>
        <w:tc>
          <w:tcPr>
            <w:tcW w:w="3798" w:type="dxa"/>
            <w:vAlign w:val="center"/>
          </w:tcPr>
          <w:p>
            <w:pPr>
              <w:pStyle w:val="12"/>
              <w:keepNext w:val="0"/>
              <w:keepLines w:val="0"/>
              <w:pageBreakBefore w:val="0"/>
              <w:widowControl/>
              <w:kinsoku/>
              <w:wordWrap/>
              <w:overflowPunct/>
              <w:topLinePunct w:val="0"/>
              <w:bidi w:val="0"/>
              <w:snapToGrid/>
              <w:textAlignment w:val="auto"/>
              <w:outlineLvl w:val="9"/>
            </w:pPr>
          </w:p>
        </w:tc>
        <w:tc>
          <w:tcPr>
            <w:tcW w:w="2381" w:type="dxa"/>
            <w:vAlign w:val="center"/>
          </w:tcPr>
          <w:p>
            <w:pPr>
              <w:pStyle w:val="11"/>
              <w:keepNext w:val="0"/>
              <w:keepLines w:val="0"/>
              <w:pageBreakBefore w:val="0"/>
              <w:widowControl/>
              <w:kinsoku/>
              <w:wordWrap/>
              <w:overflowPunct/>
              <w:topLinePunct w:val="0"/>
              <w:bidi w:val="0"/>
              <w:snapToGrid/>
              <w:textAlignment w:val="auto"/>
              <w:outlineLvl w:val="9"/>
            </w:pPr>
          </w:p>
        </w:tc>
        <w:tc>
          <w:tcPr>
            <w:tcW w:w="2381" w:type="dxa"/>
            <w:vAlign w:val="center"/>
          </w:tcPr>
          <w:p>
            <w:pPr>
              <w:pStyle w:val="11"/>
              <w:keepNext w:val="0"/>
              <w:keepLines w:val="0"/>
              <w:pageBreakBefore w:val="0"/>
              <w:widowControl/>
              <w:kinsoku/>
              <w:wordWrap/>
              <w:overflowPunct/>
              <w:topLinePunct w:val="0"/>
              <w:bidi w:val="0"/>
              <w:snapToGrid/>
              <w:textAlignment w:val="auto"/>
              <w:outlineLvl w:val="9"/>
            </w:pPr>
          </w:p>
        </w:tc>
        <w:tc>
          <w:tcPr>
            <w:tcW w:w="2381" w:type="dxa"/>
            <w:vAlign w:val="center"/>
          </w:tcPr>
          <w:p>
            <w:pPr>
              <w:pStyle w:val="11"/>
              <w:keepNext w:val="0"/>
              <w:keepLines w:val="0"/>
              <w:pageBreakBefore w:val="0"/>
              <w:widowControl/>
              <w:kinsoku/>
              <w:wordWrap/>
              <w:overflowPunct/>
              <w:topLinePunct w:val="0"/>
              <w:bidi w:val="0"/>
              <w:snapToGrid/>
              <w:textAlignment w:val="auto"/>
              <w:outlineLvl w:val="9"/>
            </w:pPr>
          </w:p>
        </w:tc>
        <w:tc>
          <w:tcPr>
            <w:tcW w:w="2381" w:type="dxa"/>
            <w:vAlign w:val="center"/>
          </w:tcPr>
          <w:p>
            <w:pPr>
              <w:pStyle w:val="11"/>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ind w:firstLine="420"/>
        <w:textAlignment w:val="auto"/>
        <w:outlineLvl w:val="9"/>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jc w:val="center"/>
        <w:textAlignment w:val="auto"/>
        <w:outlineLvl w:val="0"/>
      </w:pPr>
      <w:bookmarkStart w:id="11" w:name="_Toc15590"/>
      <w:r>
        <w:rPr>
          <w:rFonts w:hint="eastAsia" w:ascii="方正小标宋_GBK" w:hAnsi="方正小标宋_GBK" w:eastAsia="方正小标宋_GBK" w:cs="方正小标宋_GBK"/>
          <w:color w:val="000000"/>
          <w:sz w:val="44"/>
        </w:rPr>
        <w:t>成安县看守所机关本级</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年单位预算信息公开情况说明</w:t>
      </w:r>
      <w:bookmarkEnd w:id="11"/>
    </w:p>
    <w:p>
      <w:pPr>
        <w:keepNext w:val="0"/>
        <w:keepLines w:val="0"/>
        <w:pageBreakBefore w:val="0"/>
        <w:widowControl/>
        <w:kinsoku/>
        <w:wordWrap/>
        <w:overflowPunct/>
        <w:topLinePunct w:val="0"/>
        <w:autoSpaceDE/>
        <w:autoSpaceDN/>
        <w:bidi w:val="0"/>
        <w:adjustRightInd/>
        <w:snapToGrid/>
        <w:spacing w:line="360" w:lineRule="auto"/>
        <w:ind w:firstLine="560"/>
        <w:textAlignment w:val="auto"/>
        <w:outlineLvl w:val="9"/>
      </w:pPr>
      <w:r>
        <w:rPr>
          <w:rFonts w:hint="eastAsia" w:eastAsia="方正仿宋_GBK"/>
          <w:color w:val="000000"/>
          <w:sz w:val="28"/>
        </w:rPr>
        <w:t>按照《中华人民共和国预算法》、《地方预决算公开操作规程》和《关于进一步推进预算公开工作的实施意见》规定，现将成安县看守所机关本级</w:t>
      </w:r>
      <w:r>
        <w:rPr>
          <w:rFonts w:eastAsia="方正仿宋_GBK"/>
          <w:color w:val="000000"/>
          <w:sz w:val="28"/>
        </w:rPr>
        <w:t>2024</w:t>
      </w:r>
      <w:r>
        <w:rPr>
          <w:rFonts w:hint="eastAsia" w:eastAsia="方正仿宋_GBK"/>
          <w:color w:val="000000"/>
          <w:sz w:val="28"/>
        </w:rPr>
        <w:t>年单位预算公开如下：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1"/>
        <w:textAlignment w:val="auto"/>
        <w:outlineLvl w:val="0"/>
      </w:pPr>
      <w:bookmarkStart w:id="12" w:name="_Toc25560"/>
      <w:r>
        <w:rPr>
          <w:rFonts w:hint="eastAsia" w:ascii="黑体" w:hAnsi="黑体" w:eastAsia="黑体" w:cs="黑体"/>
          <w:color w:val="000000"/>
          <w:sz w:val="32"/>
        </w:rPr>
        <w:t>一、单位职责及机构设置情况</w:t>
      </w:r>
      <w:bookmarkEnd w:id="12"/>
    </w:p>
    <w:p>
      <w:pPr>
        <w:keepNext w:val="0"/>
        <w:keepLines w:val="0"/>
        <w:pageBreakBefore w:val="0"/>
        <w:widowControl/>
        <w:kinsoku/>
        <w:wordWrap/>
        <w:overflowPunct/>
        <w:topLinePunct w:val="0"/>
        <w:autoSpaceDE/>
        <w:autoSpaceDN/>
        <w:bidi w:val="0"/>
        <w:adjustRightInd/>
        <w:snapToGrid/>
        <w:spacing w:line="360" w:lineRule="auto"/>
        <w:ind w:firstLine="640"/>
        <w:textAlignment w:val="auto"/>
        <w:outlineLvl w:val="9"/>
      </w:pPr>
      <w:r>
        <w:rPr>
          <w:rFonts w:hint="eastAsia"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ascii="仿宋" w:hAnsi="仿宋" w:eastAsia="仿宋"/>
          <w:sz w:val="32"/>
        </w:rPr>
      </w:pPr>
      <w:r>
        <w:rPr>
          <w:rFonts w:hint="eastAsia" w:ascii="仿宋" w:hAnsi="仿宋" w:eastAsia="仿宋"/>
          <w:sz w:val="32"/>
        </w:rPr>
        <w:t>看守所是羁押被依法逮捕、刑事拘留的</w:t>
      </w:r>
      <w:r>
        <w:rPr>
          <w:rFonts w:hint="eastAsia" w:ascii="仿宋" w:hAnsi="仿宋" w:eastAsia="仿宋"/>
          <w:sz w:val="32"/>
          <w:lang w:eastAsia="zh-CN"/>
        </w:rPr>
        <w:t>犯罪嫌疑人</w:t>
      </w:r>
      <w:r>
        <w:rPr>
          <w:rFonts w:hint="eastAsia" w:ascii="仿宋" w:hAnsi="仿宋" w:eastAsia="仿宋"/>
          <w:sz w:val="32"/>
        </w:rPr>
        <w:t>、被告人的机关。被判处有期徒刑一年以下，或者余刑在一年以下，不便送往劳动改造场所执行的罪犯，也可以由看守所监管。此外看守所因工作需要，经主管公安局、处长批准，并经人民检察院同意，对个别余刑在一年以上的已决犯，可以留在看守所执行。</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仿宋" w:hAnsi="仿宋" w:eastAsia="仿宋"/>
          <w:sz w:val="32"/>
        </w:rPr>
      </w:pPr>
      <w:r>
        <w:rPr>
          <w:rFonts w:hint="eastAsia" w:ascii="仿宋" w:hAnsi="仿宋" w:eastAsia="仿宋"/>
          <w:sz w:val="32"/>
        </w:rPr>
        <w:t>看守所的任务是依据国家法律对在押人员实行武装看守，保障安全；对在押人员进行教育；管理在押人员的生活和卫生；保障侦查、起诉和审判工作的顺利进行。</w:t>
      </w:r>
      <w:r>
        <w:rPr>
          <w:rFonts w:hint="eastAsia" w:ascii="仿宋" w:hAnsi="仿宋" w:eastAsia="仿宋"/>
          <w:sz w:val="32"/>
        </w:rPr>
        <w:br w:type="textWrapping"/>
      </w:r>
      <w:r>
        <w:rPr>
          <w:rFonts w:hint="eastAsia" w:ascii="仿宋" w:hAnsi="仿宋" w:eastAsia="仿宋"/>
          <w:sz w:val="32"/>
        </w:rPr>
        <w:t xml:space="preserve">   看守所监管在押人员，必须坚持严密警戒看管与教育相结合的方针，坚持依法管理、严格管理、科学管理和文明管理，保障在押人员的合法权益。严禁打骂、体罚、虐待在押人员。 </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仿宋" w:hAnsi="仿宋" w:eastAsia="仿宋"/>
          <w:sz w:val="32"/>
        </w:rPr>
      </w:pPr>
      <w:r>
        <w:rPr>
          <w:rFonts w:hint="eastAsia" w:ascii="仿宋" w:hAnsi="仿宋" w:eastAsia="仿宋"/>
          <w:sz w:val="32"/>
        </w:rPr>
        <w:t>成安县看守所，单位预算编码759</w:t>
      </w:r>
      <w:r>
        <w:rPr>
          <w:rFonts w:hint="eastAsia" w:ascii="仿宋" w:hAnsi="仿宋" w:eastAsia="仿宋"/>
          <w:sz w:val="32"/>
          <w:lang w:val="en-US" w:eastAsia="zh-CN"/>
        </w:rPr>
        <w:t>001</w:t>
      </w:r>
      <w:r>
        <w:rPr>
          <w:rFonts w:hint="eastAsia" w:ascii="仿宋" w:hAnsi="仿宋" w:eastAsia="仿宋"/>
          <w:sz w:val="32"/>
        </w:rPr>
        <w:t>，包含1个二级预算单位：759002成安县看守所机关。</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仿宋" w:hAnsi="仿宋" w:eastAsia="仿宋"/>
          <w:sz w:val="32"/>
        </w:rPr>
      </w:pPr>
      <w:r>
        <w:rPr>
          <w:rFonts w:hint="eastAsia" w:ascii="仿宋" w:hAnsi="仿宋" w:eastAsia="仿宋"/>
          <w:sz w:val="32"/>
        </w:rPr>
        <w:t>成安县看守所人事情况在县公安局管理。</w:t>
      </w:r>
    </w:p>
    <w:p>
      <w:pPr>
        <w:pStyle w:val="17"/>
        <w:keepNext w:val="0"/>
        <w:keepLines w:val="0"/>
        <w:pageBreakBefore w:val="0"/>
        <w:widowControl/>
        <w:kinsoku/>
        <w:wordWrap/>
        <w:overflowPunct/>
        <w:topLinePunct w:val="0"/>
        <w:bidi w:val="0"/>
        <w:snapToGrid/>
        <w:ind w:left="0" w:leftChars="0" w:firstLine="0" w:firstLineChars="0"/>
        <w:textAlignment w:val="auto"/>
        <w:outlineLvl w:val="9"/>
      </w:pPr>
    </w:p>
    <w:p>
      <w:pPr>
        <w:keepNext w:val="0"/>
        <w:keepLines w:val="0"/>
        <w:pageBreakBefore w:val="0"/>
        <w:widowControl/>
        <w:kinsoku/>
        <w:wordWrap/>
        <w:overflowPunct/>
        <w:topLinePunct w:val="0"/>
        <w:bidi w:val="0"/>
        <w:snapToGrid/>
        <w:ind w:firstLine="640"/>
        <w:textAlignment w:val="auto"/>
        <w:outlineLvl w:val="9"/>
      </w:pPr>
      <w:r>
        <w:rPr>
          <w:rFonts w:hint="eastAsia"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bidi w:val="0"/>
        <w:snapToGrid/>
        <w:jc w:val="center"/>
        <w:textAlignment w:val="auto"/>
        <w:outlineLvl w:val="9"/>
      </w:pPr>
      <w:r>
        <w:rPr>
          <w:rFonts w:hint="eastAsia"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单位名称</w:t>
            </w:r>
          </w:p>
        </w:tc>
        <w:tc>
          <w:tcPr>
            <w:tcW w:w="1843"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单位性质</w:t>
            </w:r>
          </w:p>
        </w:tc>
        <w:tc>
          <w:tcPr>
            <w:tcW w:w="212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单位规格</w:t>
            </w:r>
          </w:p>
        </w:tc>
        <w:tc>
          <w:tcPr>
            <w:tcW w:w="3827"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bidi w:val="0"/>
              <w:snapToGrid/>
              <w:textAlignment w:val="auto"/>
              <w:outlineLvl w:val="9"/>
            </w:pPr>
            <w:r>
              <w:rPr>
                <w:rFonts w:hint="eastAsia"/>
              </w:rPr>
              <w:t>成安县看守所机关本级</w:t>
            </w:r>
          </w:p>
        </w:tc>
        <w:tc>
          <w:tcPr>
            <w:tcW w:w="1843" w:type="dxa"/>
            <w:vAlign w:val="center"/>
          </w:tcPr>
          <w:p>
            <w:pPr>
              <w:pStyle w:val="13"/>
              <w:keepNext w:val="0"/>
              <w:keepLines w:val="0"/>
              <w:pageBreakBefore w:val="0"/>
              <w:widowControl/>
              <w:kinsoku/>
              <w:wordWrap/>
              <w:overflowPunct/>
              <w:topLinePunct w:val="0"/>
              <w:bidi w:val="0"/>
              <w:snapToGrid/>
              <w:textAlignment w:val="auto"/>
              <w:outlineLvl w:val="9"/>
            </w:pPr>
            <w:r>
              <w:rPr>
                <w:rFonts w:hint="eastAsia"/>
              </w:rPr>
              <w:t>行政</w:t>
            </w:r>
          </w:p>
        </w:tc>
        <w:tc>
          <w:tcPr>
            <w:tcW w:w="2126" w:type="dxa"/>
            <w:vAlign w:val="center"/>
          </w:tcPr>
          <w:p>
            <w:pPr>
              <w:pStyle w:val="13"/>
              <w:keepNext w:val="0"/>
              <w:keepLines w:val="0"/>
              <w:pageBreakBefore w:val="0"/>
              <w:widowControl/>
              <w:kinsoku/>
              <w:wordWrap/>
              <w:overflowPunct/>
              <w:topLinePunct w:val="0"/>
              <w:bidi w:val="0"/>
              <w:snapToGrid/>
              <w:textAlignment w:val="auto"/>
              <w:outlineLvl w:val="9"/>
            </w:pPr>
            <w:r>
              <w:rPr>
                <w:rFonts w:hint="eastAsia"/>
              </w:rPr>
              <w:t>副科级</w:t>
            </w:r>
          </w:p>
        </w:tc>
        <w:tc>
          <w:tcPr>
            <w:tcW w:w="3827" w:type="dxa"/>
            <w:vAlign w:val="center"/>
          </w:tcPr>
          <w:p>
            <w:pPr>
              <w:pStyle w:val="13"/>
              <w:keepNext w:val="0"/>
              <w:keepLines w:val="0"/>
              <w:pageBreakBefore w:val="0"/>
              <w:widowControl/>
              <w:kinsoku/>
              <w:wordWrap/>
              <w:overflowPunct/>
              <w:topLinePunct w:val="0"/>
              <w:bidi w:val="0"/>
              <w:snapToGrid/>
              <w:textAlignment w:val="auto"/>
              <w:outlineLvl w:val="9"/>
            </w:pPr>
            <w:r>
              <w:rPr>
                <w:rFonts w:hint="eastAsia"/>
              </w:rPr>
              <w:t>财政拨款</w:t>
            </w:r>
          </w:p>
        </w:tc>
      </w:tr>
    </w:tbl>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bookmarkStart w:id="13" w:name="_Toc21989"/>
      <w:r>
        <w:rPr>
          <w:rFonts w:hint="eastAsia" w:ascii="黑体" w:hAnsi="黑体" w:eastAsia="黑体" w:cs="黑体"/>
          <w:color w:val="000000"/>
          <w:sz w:val="32"/>
        </w:rPr>
        <w:t>二、单位预算安排的总体情况</w:t>
      </w:r>
      <w:bookmarkEnd w:id="13"/>
    </w:p>
    <w:p>
      <w:pPr>
        <w:keepNext w:val="0"/>
        <w:keepLines w:val="0"/>
        <w:pageBreakBefore w:val="0"/>
        <w:widowControl/>
        <w:kinsoku/>
        <w:wordWrap/>
        <w:overflowPunct/>
        <w:topLinePunct w:val="0"/>
        <w:bidi w:val="0"/>
        <w:snapToGrid/>
        <w:spacing w:line="500" w:lineRule="exact"/>
        <w:ind w:firstLine="560"/>
        <w:textAlignment w:val="auto"/>
        <w:outlineLvl w:val="9"/>
        <w:rPr>
          <w:color w:val="000000"/>
          <w:sz w:val="28"/>
        </w:rPr>
      </w:pPr>
      <w:r>
        <w:rPr>
          <w:rFonts w:eastAsia="方正仿宋_GBK"/>
          <w:color w:val="000000"/>
          <w:sz w:val="28"/>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bidi w:val="0"/>
        <w:snapToGrid/>
        <w:spacing w:line="360" w:lineRule="auto"/>
        <w:ind w:firstLine="588" w:firstLineChars="196"/>
        <w:textAlignment w:val="auto"/>
        <w:outlineLvl w:val="1"/>
        <w:rPr>
          <w:rFonts w:ascii="仿宋" w:hAnsi="仿宋" w:eastAsia="仿宋" w:cs="仿宋_GB2312"/>
          <w:sz w:val="30"/>
          <w:szCs w:val="30"/>
        </w:rPr>
      </w:pPr>
      <w:r>
        <w:rPr>
          <w:rFonts w:hint="eastAsia" w:ascii="仿宋" w:hAnsi="仿宋" w:eastAsia="仿宋" w:cs="仿宋_GB2312"/>
          <w:sz w:val="30"/>
          <w:szCs w:val="30"/>
        </w:rPr>
        <w:t>1、收入说明</w:t>
      </w:r>
    </w:p>
    <w:p>
      <w:pPr>
        <w:keepNext w:val="0"/>
        <w:keepLines w:val="0"/>
        <w:pageBreakBefore w:val="0"/>
        <w:widowControl/>
        <w:kinsoku/>
        <w:wordWrap/>
        <w:overflowPunct/>
        <w:topLinePunct w:val="0"/>
        <w:bidi w:val="0"/>
        <w:snapToGrid/>
        <w:spacing w:line="360" w:lineRule="auto"/>
        <w:ind w:firstLine="588" w:firstLineChars="196"/>
        <w:textAlignment w:val="auto"/>
        <w:outlineLvl w:val="9"/>
        <w:rPr>
          <w:rFonts w:ascii="仿宋" w:hAnsi="仿宋" w:eastAsia="仿宋" w:cs="仿宋_GB2312"/>
          <w:sz w:val="30"/>
          <w:szCs w:val="30"/>
        </w:rPr>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年预算收入为156.51万元，其中：一般公共预算收入156.51万元，政府性基金预算财政拨款0万元，国有资本经营预算财政拨款0万元。</w:t>
      </w:r>
    </w:p>
    <w:p>
      <w:pPr>
        <w:keepNext w:val="0"/>
        <w:keepLines w:val="0"/>
        <w:pageBreakBefore w:val="0"/>
        <w:widowControl/>
        <w:kinsoku/>
        <w:wordWrap/>
        <w:overflowPunct/>
        <w:topLinePunct w:val="0"/>
        <w:bidi w:val="0"/>
        <w:snapToGrid/>
        <w:spacing w:line="360" w:lineRule="auto"/>
        <w:ind w:firstLine="588" w:firstLineChars="196"/>
        <w:textAlignment w:val="auto"/>
        <w:outlineLvl w:val="1"/>
        <w:rPr>
          <w:rFonts w:ascii="仿宋" w:hAnsi="仿宋" w:eastAsia="仿宋" w:cs="仿宋_GB2312"/>
          <w:sz w:val="30"/>
          <w:szCs w:val="30"/>
        </w:rPr>
      </w:pPr>
      <w:r>
        <w:rPr>
          <w:rFonts w:hint="eastAsia" w:ascii="仿宋" w:hAnsi="仿宋" w:eastAsia="仿宋" w:cs="仿宋_GB2312"/>
          <w:sz w:val="30"/>
          <w:szCs w:val="30"/>
        </w:rPr>
        <w:t>2、支出说明</w:t>
      </w:r>
    </w:p>
    <w:p>
      <w:pPr>
        <w:keepNext w:val="0"/>
        <w:keepLines w:val="0"/>
        <w:pageBreakBefore w:val="0"/>
        <w:widowControl/>
        <w:kinsoku/>
        <w:wordWrap/>
        <w:overflowPunct/>
        <w:topLinePunct w:val="0"/>
        <w:bidi w:val="0"/>
        <w:snapToGrid/>
        <w:spacing w:line="360" w:lineRule="auto"/>
        <w:ind w:firstLine="588" w:firstLineChars="196"/>
        <w:textAlignment w:val="auto"/>
        <w:outlineLvl w:val="9"/>
        <w:rPr>
          <w:rFonts w:ascii="仿宋" w:hAnsi="仿宋" w:eastAsia="仿宋" w:cs="仿宋_GB2312"/>
          <w:sz w:val="30"/>
          <w:szCs w:val="30"/>
        </w:rPr>
      </w:pPr>
      <w:r>
        <w:rPr>
          <w:rFonts w:hint="eastAsia" w:ascii="仿宋" w:hAnsi="仿宋" w:eastAsia="仿宋" w:cs="仿宋_GB2312"/>
          <w:sz w:val="30"/>
          <w:szCs w:val="30"/>
        </w:rPr>
        <w:t>20</w:t>
      </w:r>
      <w:r>
        <w:rPr>
          <w:rFonts w:hint="eastAsia" w:ascii="仿宋" w:hAnsi="仿宋" w:eastAsia="仿宋" w:cs="仿宋_GB2312"/>
          <w:sz w:val="30"/>
          <w:szCs w:val="30"/>
          <w:lang w:val="en-US" w:eastAsia="zh-CN"/>
        </w:rPr>
        <w:t>24</w:t>
      </w:r>
      <w:r>
        <w:rPr>
          <w:rFonts w:hint="eastAsia" w:ascii="仿宋" w:hAnsi="仿宋" w:eastAsia="仿宋" w:cs="仿宋_GB2312"/>
          <w:sz w:val="30"/>
          <w:szCs w:val="30"/>
        </w:rPr>
        <w:t>年支出预算为156.51万元，其中基本支出156.51万元，和日常公用经费7.2万元，主要为一般公共服务支出和纪检监察事务等。</w:t>
      </w:r>
    </w:p>
    <w:p>
      <w:pPr>
        <w:keepNext w:val="0"/>
        <w:keepLines w:val="0"/>
        <w:pageBreakBefore w:val="0"/>
        <w:widowControl/>
        <w:kinsoku/>
        <w:wordWrap/>
        <w:overflowPunct/>
        <w:topLinePunct w:val="0"/>
        <w:bidi w:val="0"/>
        <w:snapToGrid/>
        <w:spacing w:line="360" w:lineRule="auto"/>
        <w:ind w:firstLine="588" w:firstLineChars="196"/>
        <w:textAlignment w:val="auto"/>
        <w:outlineLvl w:val="1"/>
        <w:rPr>
          <w:rFonts w:ascii="仿宋" w:hAnsi="仿宋" w:eastAsia="仿宋" w:cs="仿宋_GB2312"/>
          <w:sz w:val="30"/>
          <w:szCs w:val="30"/>
        </w:rPr>
      </w:pPr>
      <w:r>
        <w:rPr>
          <w:rFonts w:hint="eastAsia" w:ascii="仿宋" w:hAnsi="仿宋" w:eastAsia="仿宋" w:cs="仿宋_GB2312"/>
          <w:sz w:val="30"/>
          <w:szCs w:val="30"/>
        </w:rPr>
        <w:t>3、比上年增减变化情况</w:t>
      </w:r>
    </w:p>
    <w:p>
      <w:pPr>
        <w:keepNext w:val="0"/>
        <w:keepLines w:val="0"/>
        <w:pageBreakBefore w:val="0"/>
        <w:widowControl/>
        <w:kinsoku/>
        <w:wordWrap/>
        <w:overflowPunct/>
        <w:topLinePunct w:val="0"/>
        <w:bidi w:val="0"/>
        <w:snapToGrid/>
        <w:spacing w:line="360" w:lineRule="auto"/>
        <w:ind w:firstLine="600" w:firstLineChars="200"/>
        <w:textAlignment w:val="auto"/>
        <w:outlineLvl w:val="9"/>
      </w:pPr>
      <w:r>
        <w:rPr>
          <w:rFonts w:hint="eastAsia" w:ascii="仿宋" w:hAnsi="仿宋" w:eastAsia="仿宋" w:cs="仿宋_GB2312"/>
          <w:sz w:val="30"/>
          <w:szCs w:val="30"/>
        </w:rPr>
        <w:t>202</w:t>
      </w:r>
      <w:r>
        <w:rPr>
          <w:rFonts w:hint="eastAsia" w:ascii="仿宋" w:hAnsi="仿宋" w:eastAsia="仿宋" w:cs="仿宋_GB2312"/>
          <w:sz w:val="30"/>
          <w:szCs w:val="30"/>
          <w:lang w:val="en-US" w:eastAsia="zh-CN"/>
        </w:rPr>
        <w:t>4</w:t>
      </w:r>
      <w:r>
        <w:rPr>
          <w:rFonts w:hint="eastAsia" w:ascii="仿宋" w:hAnsi="仿宋" w:eastAsia="仿宋" w:cs="仿宋_GB2312"/>
          <w:sz w:val="30"/>
          <w:szCs w:val="30"/>
        </w:rPr>
        <w:t>年预算收支安排156.51万元，较202</w:t>
      </w:r>
      <w:r>
        <w:rPr>
          <w:rFonts w:hint="eastAsia" w:ascii="仿宋" w:hAnsi="仿宋" w:eastAsia="仿宋" w:cs="仿宋_GB2312"/>
          <w:sz w:val="30"/>
          <w:szCs w:val="30"/>
          <w:lang w:val="en-US" w:eastAsia="zh-CN"/>
        </w:rPr>
        <w:t>3</w:t>
      </w:r>
      <w:r>
        <w:rPr>
          <w:rFonts w:hint="eastAsia" w:ascii="仿宋" w:hAnsi="仿宋" w:eastAsia="仿宋" w:cs="仿宋_GB2312"/>
          <w:sz w:val="30"/>
          <w:szCs w:val="30"/>
        </w:rPr>
        <w:t>年预算</w:t>
      </w:r>
      <w:r>
        <w:rPr>
          <w:rFonts w:hint="eastAsia" w:ascii="仿宋" w:hAnsi="仿宋" w:eastAsia="仿宋" w:cs="仿宋_GB2312"/>
          <w:sz w:val="30"/>
          <w:szCs w:val="30"/>
          <w:lang w:val="en-US" w:eastAsia="zh-CN"/>
        </w:rPr>
        <w:t>230.65</w:t>
      </w:r>
      <w:r>
        <w:rPr>
          <w:rFonts w:hint="eastAsia" w:ascii="仿宋" w:hAnsi="仿宋" w:eastAsia="仿宋" w:cs="仿宋_GB2312"/>
          <w:sz w:val="30"/>
          <w:szCs w:val="30"/>
        </w:rPr>
        <w:t>万元</w:t>
      </w:r>
      <w:r>
        <w:rPr>
          <w:rFonts w:hint="eastAsia" w:ascii="仿宋" w:hAnsi="仿宋" w:eastAsia="仿宋" w:cs="仿宋_GB2312"/>
          <w:sz w:val="30"/>
          <w:szCs w:val="30"/>
          <w:lang w:val="en-US" w:eastAsia="zh-CN"/>
        </w:rPr>
        <w:t>减少</w:t>
      </w:r>
      <w:r>
        <w:rPr>
          <w:rFonts w:hint="eastAsia" w:ascii="仿宋" w:hAnsi="仿宋" w:eastAsia="仿宋" w:cs="仿宋_GB2312"/>
          <w:sz w:val="30"/>
          <w:szCs w:val="30"/>
        </w:rPr>
        <w:t>。</w:t>
      </w:r>
    </w:p>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bookmarkStart w:id="14" w:name="_Toc27973"/>
      <w:r>
        <w:rPr>
          <w:rFonts w:hint="eastAsia" w:ascii="黑体" w:hAnsi="黑体" w:eastAsia="黑体" w:cs="黑体"/>
          <w:color w:val="000000"/>
          <w:sz w:val="32"/>
        </w:rPr>
        <w:t>三、机关运行经费安排情况</w:t>
      </w:r>
      <w:bookmarkEnd w:id="14"/>
    </w:p>
    <w:p>
      <w:pPr>
        <w:keepNext w:val="0"/>
        <w:keepLines w:val="0"/>
        <w:pageBreakBefore w:val="0"/>
        <w:widowControl/>
        <w:tabs>
          <w:tab w:val="left" w:pos="0"/>
          <w:tab w:val="right" w:pos="284"/>
          <w:tab w:val="right" w:pos="426"/>
        </w:tabs>
        <w:kinsoku/>
        <w:wordWrap/>
        <w:overflowPunct/>
        <w:topLinePunct w:val="0"/>
        <w:bidi w:val="0"/>
        <w:snapToGrid/>
        <w:spacing w:line="360" w:lineRule="auto"/>
        <w:ind w:left="641" w:firstLine="640" w:firstLineChars="200"/>
        <w:textAlignment w:val="auto"/>
        <w:outlineLvl w:val="9"/>
        <w:rPr>
          <w:rFonts w:ascii="仿宋" w:hAnsi="仿宋" w:eastAsia="仿宋"/>
          <w:sz w:val="32"/>
          <w:szCs w:val="32"/>
        </w:rPr>
      </w:pPr>
      <w:r>
        <w:rPr>
          <w:rFonts w:hint="eastAsia" w:ascii="仿宋" w:hAnsi="仿宋" w:eastAsia="仿宋" w:cs="仿宋"/>
          <w:sz w:val="32"/>
          <w:szCs w:val="32"/>
        </w:rPr>
        <w:t>机关运行经费共计安排7.2万元，主要用于在押人员伙食费、医疗费，公用经费，日常维修，电费等日常运行支出。</w:t>
      </w:r>
    </w:p>
    <w:p>
      <w:pPr>
        <w:pStyle w:val="19"/>
        <w:keepNext w:val="0"/>
        <w:keepLines w:val="0"/>
        <w:pageBreakBefore w:val="0"/>
        <w:widowControl/>
        <w:kinsoku/>
        <w:wordWrap/>
        <w:overflowPunct/>
        <w:topLinePunct w:val="0"/>
        <w:bidi w:val="0"/>
        <w:snapToGrid/>
        <w:ind w:left="0" w:leftChars="0" w:firstLine="0" w:firstLineChars="0"/>
        <w:textAlignment w:val="auto"/>
        <w:outlineLvl w:val="9"/>
      </w:pPr>
    </w:p>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bookmarkStart w:id="15" w:name="_Toc14334"/>
      <w:r>
        <w:rPr>
          <w:rFonts w:hint="eastAsia" w:ascii="黑体" w:hAnsi="黑体" w:eastAsia="黑体" w:cs="黑体"/>
          <w:color w:val="000000"/>
          <w:sz w:val="32"/>
        </w:rPr>
        <w:t>四、财政拨款“三公”经费预算情况及增减变化原因</w:t>
      </w:r>
      <w:bookmarkEnd w:id="15"/>
    </w:p>
    <w:p>
      <w:pPr>
        <w:keepNext w:val="0"/>
        <w:keepLines w:val="0"/>
        <w:pageBreakBefore w:val="0"/>
        <w:widowControl/>
        <w:kinsoku/>
        <w:wordWrap/>
        <w:overflowPunct/>
        <w:topLinePunct w:val="0"/>
        <w:autoSpaceDE w:val="0"/>
        <w:autoSpaceDN w:val="0"/>
        <w:bidi w:val="0"/>
        <w:adjustRightInd w:val="0"/>
        <w:snapToGrid/>
        <w:spacing w:line="560" w:lineRule="exact"/>
        <w:ind w:left="226" w:leftChars="94" w:firstLine="960" w:firstLineChars="300"/>
        <w:textAlignment w:val="auto"/>
        <w:outlineLvl w:val="9"/>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万元；警务用车购置及运维费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万元（其中：警务用车购置费为</w:t>
      </w:r>
      <w:r>
        <w:rPr>
          <w:rFonts w:ascii="仿宋" w:hAnsi="仿宋" w:eastAsia="仿宋" w:cs="仿宋"/>
          <w:sz w:val="32"/>
          <w:szCs w:val="32"/>
        </w:rPr>
        <w:t>0</w:t>
      </w:r>
      <w:r>
        <w:rPr>
          <w:rFonts w:hint="eastAsia" w:ascii="仿宋" w:hAnsi="仿宋" w:eastAsia="仿宋" w:cs="仿宋"/>
          <w:sz w:val="32"/>
          <w:szCs w:val="32"/>
        </w:rPr>
        <w:t>万元，警务用车运行费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w:t>
      </w:r>
    </w:p>
    <w:p>
      <w:pPr>
        <w:keepNext w:val="0"/>
        <w:keepLines w:val="0"/>
        <w:pageBreakBefore w:val="0"/>
        <w:widowControl/>
        <w:numPr>
          <w:ilvl w:val="0"/>
          <w:numId w:val="1"/>
        </w:numPr>
        <w:kinsoku/>
        <w:wordWrap/>
        <w:overflowPunct/>
        <w:topLinePunct w:val="0"/>
        <w:autoSpaceDE/>
        <w:autoSpaceDN/>
        <w:bidi w:val="0"/>
        <w:adjustRightInd/>
        <w:snapToGrid/>
        <w:spacing w:before="10" w:after="10"/>
        <w:ind w:firstLine="641"/>
        <w:textAlignment w:val="auto"/>
        <w:outlineLvl w:val="0"/>
        <w:rPr>
          <w:rFonts w:hint="eastAsia" w:ascii="黑体" w:hAnsi="黑体" w:eastAsia="黑体" w:cs="黑体"/>
          <w:color w:val="000000"/>
          <w:sz w:val="32"/>
        </w:rPr>
      </w:pPr>
      <w:bookmarkStart w:id="16" w:name="_Toc22776"/>
      <w:r>
        <w:rPr>
          <w:rFonts w:hint="eastAsia" w:ascii="黑体" w:hAnsi="黑体" w:eastAsia="黑体" w:cs="黑体"/>
          <w:color w:val="000000"/>
          <w:sz w:val="32"/>
        </w:rPr>
        <w:t>单位项目预算安排情况及绩效目标</w:t>
      </w:r>
      <w:bookmarkEnd w:id="16"/>
    </w:p>
    <w:p>
      <w:pPr>
        <w:keepNext w:val="0"/>
        <w:keepLines w:val="0"/>
        <w:pageBreakBefore w:val="0"/>
        <w:widowControl/>
        <w:numPr>
          <w:ilvl w:val="0"/>
          <w:numId w:val="0"/>
        </w:numPr>
        <w:kinsoku/>
        <w:wordWrap/>
        <w:overflowPunct/>
        <w:topLinePunct w:val="0"/>
        <w:bidi w:val="0"/>
        <w:snapToGrid/>
        <w:ind w:left="1712" w:leftChars="0" w:hanging="720" w:firstLineChars="0"/>
        <w:textAlignment w:val="auto"/>
        <w:outlineLvl w:val="1"/>
        <w:rPr>
          <w:rFonts w:ascii="仿宋" w:hAnsi="仿宋" w:eastAsia="仿宋" w:cs="宋体"/>
          <w:sz w:val="30"/>
          <w:szCs w:val="30"/>
        </w:rPr>
      </w:pPr>
      <w:r>
        <w:rPr>
          <w:rFonts w:hint="default" w:ascii="仿宋" w:hAnsi="仿宋" w:eastAsia="仿宋" w:cs="宋体"/>
          <w:kern w:val="0"/>
          <w:sz w:val="30"/>
          <w:szCs w:val="30"/>
          <w:lang w:val="en-US" w:eastAsia="uk-UA" w:bidi="ar-SA"/>
        </w:rPr>
        <w:t>1、</w:t>
      </w:r>
      <w:r>
        <w:rPr>
          <w:rFonts w:hint="eastAsia" w:ascii="仿宋" w:hAnsi="仿宋" w:eastAsia="仿宋" w:cs="宋体"/>
          <w:b/>
          <w:bCs/>
          <w:sz w:val="30"/>
          <w:szCs w:val="30"/>
        </w:rPr>
        <w:t>总体绩效目标</w:t>
      </w:r>
    </w:p>
    <w:p>
      <w:pPr>
        <w:keepNext w:val="0"/>
        <w:keepLines w:val="0"/>
        <w:pageBreakBefore w:val="0"/>
        <w:widowControl/>
        <w:kinsoku/>
        <w:wordWrap/>
        <w:overflowPunct/>
        <w:topLinePunct w:val="0"/>
        <w:bidi w:val="0"/>
        <w:snapToGrid/>
        <w:ind w:firstLine="900" w:firstLineChars="300"/>
        <w:textAlignment w:val="auto"/>
        <w:outlineLvl w:val="9"/>
        <w:rPr>
          <w:rFonts w:ascii="仿宋" w:hAnsi="仿宋" w:eastAsia="仿宋" w:cs="宋体"/>
          <w:sz w:val="30"/>
          <w:szCs w:val="30"/>
        </w:rPr>
      </w:pPr>
      <w:r>
        <w:rPr>
          <w:rFonts w:hint="eastAsia" w:ascii="仿宋" w:hAnsi="仿宋" w:eastAsia="仿宋" w:cs="宋体"/>
          <w:sz w:val="30"/>
          <w:szCs w:val="30"/>
        </w:rPr>
        <w:t>确保监所安全、保障侦查、起诉和审判工作顺利进行。</w:t>
      </w:r>
    </w:p>
    <w:p>
      <w:pPr>
        <w:keepNext w:val="0"/>
        <w:keepLines w:val="0"/>
        <w:pageBreakBefore w:val="0"/>
        <w:widowControl/>
        <w:numPr>
          <w:ilvl w:val="0"/>
          <w:numId w:val="0"/>
        </w:numPr>
        <w:kinsoku/>
        <w:wordWrap/>
        <w:overflowPunct/>
        <w:topLinePunct w:val="0"/>
        <w:bidi w:val="0"/>
        <w:snapToGrid/>
        <w:ind w:left="1712" w:leftChars="0" w:hanging="720" w:firstLineChars="0"/>
        <w:textAlignment w:val="auto"/>
        <w:outlineLvl w:val="1"/>
        <w:rPr>
          <w:rFonts w:hint="eastAsia" w:ascii="仿宋" w:hAnsi="仿宋" w:eastAsia="仿宋" w:cs="宋体"/>
          <w:sz w:val="30"/>
          <w:szCs w:val="30"/>
        </w:rPr>
      </w:pPr>
      <w:r>
        <w:rPr>
          <w:rFonts w:hint="default" w:ascii="仿宋" w:hAnsi="仿宋" w:eastAsia="仿宋" w:cs="宋体"/>
          <w:kern w:val="0"/>
          <w:sz w:val="30"/>
          <w:szCs w:val="30"/>
          <w:lang w:val="en-US" w:eastAsia="uk-UA" w:bidi="ar-SA"/>
        </w:rPr>
        <w:t>2、</w:t>
      </w:r>
      <w:r>
        <w:rPr>
          <w:rFonts w:hint="eastAsia" w:ascii="仿宋" w:hAnsi="仿宋" w:eastAsia="仿宋" w:cs="宋体"/>
          <w:b/>
          <w:sz w:val="30"/>
          <w:szCs w:val="30"/>
        </w:rPr>
        <w:t>分项绩效目标：</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outlineLvl w:val="1"/>
        <w:rPr>
          <w:rFonts w:hint="eastAsia" w:ascii="仿宋" w:hAnsi="仿宋" w:eastAsia="仿宋" w:cs="宋体"/>
          <w:sz w:val="30"/>
          <w:szCs w:val="30"/>
        </w:rPr>
      </w:pPr>
      <w:r>
        <w:rPr>
          <w:rFonts w:hint="eastAsia" w:ascii="仿宋" w:hAnsi="仿宋" w:eastAsia="仿宋" w:cs="宋体"/>
          <w:kern w:val="0"/>
          <w:sz w:val="30"/>
          <w:szCs w:val="30"/>
          <w:lang w:val="en-US" w:eastAsia="uk-UA" w:bidi="ar-SA"/>
        </w:rPr>
        <w:t>（1）</w:t>
      </w:r>
      <w:r>
        <w:rPr>
          <w:rFonts w:hint="eastAsia" w:ascii="仿宋" w:hAnsi="仿宋" w:eastAsia="仿宋" w:cs="宋体"/>
          <w:sz w:val="30"/>
          <w:szCs w:val="30"/>
        </w:rPr>
        <w:t>负责全县刑事拘留和逮捕的成年男性及未成年男性犯罪嫌疑人、被告人武装警械看守工作;对在押人</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outlineLvl w:val="1"/>
        <w:rPr>
          <w:rFonts w:hint="eastAsia" w:ascii="仿宋" w:hAnsi="仿宋" w:eastAsia="仿宋" w:cs="宋体"/>
          <w:sz w:val="30"/>
          <w:szCs w:val="30"/>
        </w:rPr>
      </w:pPr>
      <w:r>
        <w:rPr>
          <w:rFonts w:hint="eastAsia" w:ascii="仿宋" w:hAnsi="仿宋" w:eastAsia="仿宋" w:cs="宋体"/>
          <w:sz w:val="30"/>
          <w:szCs w:val="30"/>
        </w:rPr>
        <w:t>犯进行教育，对已决犯押送劳改;负责被判处有期徒刑余刑三个月以下已决犯、拘役犯及其它留所服役人员的劳动改造。</w:t>
      </w:r>
    </w:p>
    <w:p>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outlineLvl w:val="1"/>
        <w:rPr>
          <w:rFonts w:ascii="仿宋" w:hAnsi="仿宋" w:eastAsia="仿宋" w:cs="宋体"/>
          <w:sz w:val="30"/>
          <w:szCs w:val="30"/>
        </w:rPr>
      </w:pPr>
      <w:r>
        <w:rPr>
          <w:rFonts w:hint="eastAsia" w:ascii="仿宋" w:hAnsi="仿宋" w:eastAsia="仿宋" w:cs="宋体"/>
          <w:sz w:val="30"/>
          <w:szCs w:val="30"/>
        </w:rPr>
        <w:t>（2）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100%，正确率100%。</w:t>
      </w:r>
    </w:p>
    <w:p>
      <w:pPr>
        <w:keepNext w:val="0"/>
        <w:keepLines w:val="0"/>
        <w:pageBreakBefore w:val="0"/>
        <w:widowControl/>
        <w:kinsoku/>
        <w:wordWrap/>
        <w:overflowPunct/>
        <w:topLinePunct w:val="0"/>
        <w:bidi w:val="0"/>
        <w:snapToGrid/>
        <w:ind w:firstLine="602" w:firstLineChars="200"/>
        <w:textAlignment w:val="auto"/>
        <w:outlineLvl w:val="1"/>
        <w:rPr>
          <w:rFonts w:ascii="仿宋" w:hAnsi="仿宋" w:eastAsia="仿宋" w:cs="宋体"/>
          <w:b/>
          <w:bCs/>
          <w:sz w:val="30"/>
          <w:szCs w:val="30"/>
        </w:rPr>
      </w:pPr>
      <w:r>
        <w:rPr>
          <w:rFonts w:hint="eastAsia" w:ascii="仿宋" w:hAnsi="仿宋" w:eastAsia="仿宋" w:cs="宋体"/>
          <w:b/>
          <w:bCs/>
          <w:sz w:val="30"/>
          <w:szCs w:val="30"/>
        </w:rPr>
        <w:t xml:space="preserve"> 3、工作保障措施</w:t>
      </w:r>
    </w:p>
    <w:p>
      <w:pPr>
        <w:keepNext w:val="0"/>
        <w:keepLines w:val="0"/>
        <w:pageBreakBefore w:val="0"/>
        <w:widowControl/>
        <w:kinsoku/>
        <w:wordWrap/>
        <w:overflowPunct/>
        <w:topLinePunct w:val="0"/>
        <w:bidi w:val="0"/>
        <w:snapToGrid/>
        <w:ind w:firstLine="560"/>
        <w:textAlignment w:val="auto"/>
        <w:outlineLvl w:val="9"/>
        <w:rPr>
          <w:rFonts w:ascii="仿宋" w:hAnsi="仿宋" w:eastAsia="仿宋" w:cs="宋体"/>
          <w:sz w:val="30"/>
          <w:szCs w:val="30"/>
        </w:rPr>
      </w:pPr>
      <w:r>
        <w:rPr>
          <w:rFonts w:hint="eastAsia" w:ascii="仿宋" w:hAnsi="仿宋" w:eastAsia="仿宋" w:cs="宋体"/>
          <w:sz w:val="30"/>
          <w:szCs w:val="30"/>
        </w:rPr>
        <w:t xml:space="preserve"> 本年度发展规划目标保障措施：</w:t>
      </w:r>
    </w:p>
    <w:p>
      <w:pPr>
        <w:keepNext w:val="0"/>
        <w:keepLines w:val="0"/>
        <w:pageBreakBefore w:val="0"/>
        <w:widowControl/>
        <w:numPr>
          <w:ilvl w:val="0"/>
          <w:numId w:val="0"/>
        </w:numPr>
        <w:kinsoku/>
        <w:wordWrap/>
        <w:overflowPunct/>
        <w:topLinePunct w:val="0"/>
        <w:bidi w:val="0"/>
        <w:snapToGrid/>
        <w:spacing w:before="10" w:after="10"/>
        <w:textAlignment w:val="auto"/>
        <w:outlineLvl w:val="9"/>
        <w:rPr>
          <w:rFonts w:hint="eastAsia"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仿宋" w:hAnsi="仿宋" w:eastAsia="仿宋" w:cs="宋体"/>
          <w:sz w:val="30"/>
          <w:szCs w:val="30"/>
        </w:rPr>
        <w:t xml:space="preserve">    积极配合县公安局警务保障处，做好建设配套建设后期事项，严看死守，确保监所安全，为全县的社会稳定做出新贡献</w:t>
      </w:r>
    </w:p>
    <w:p>
      <w:pPr>
        <w:keepNext w:val="0"/>
        <w:keepLines w:val="0"/>
        <w:pageBreakBefore w:val="0"/>
        <w:widowControl/>
        <w:kinsoku/>
        <w:wordWrap/>
        <w:overflowPunct/>
        <w:topLinePunct w:val="0"/>
        <w:bidi w:val="0"/>
        <w:snapToGrid/>
        <w:ind w:firstLine="560"/>
        <w:textAlignment w:val="auto"/>
        <w:outlineLvl w:val="0"/>
        <w:rPr>
          <w:b w:val="0"/>
          <w:bCs/>
        </w:rPr>
      </w:pPr>
      <w:bookmarkStart w:id="17" w:name="_Toc6027"/>
      <w:r>
        <w:rPr>
          <w:rFonts w:ascii="方正仿宋_GBK" w:hAnsi="方正仿宋_GBK" w:eastAsia="方正仿宋_GBK" w:cs="方正仿宋_GBK"/>
          <w:b w:val="0"/>
          <w:bCs/>
          <w:color w:val="000000"/>
          <w:sz w:val="28"/>
        </w:rPr>
        <w:t>1</w:t>
      </w:r>
      <w:r>
        <w:rPr>
          <w:rFonts w:hint="eastAsia" w:ascii="方正仿宋_GBK" w:hAnsi="方正仿宋_GBK" w:eastAsia="方正仿宋_GBK" w:cs="方正仿宋_GBK"/>
          <w:b w:val="0"/>
          <w:bCs/>
          <w:color w:val="000000"/>
          <w:sz w:val="28"/>
        </w:rPr>
        <w:t>、</w:t>
      </w:r>
      <w:r>
        <w:rPr>
          <w:rFonts w:ascii="方正仿宋_GBK" w:hAnsi="方正仿宋_GBK" w:eastAsia="方正仿宋_GBK" w:cs="方正仿宋_GBK"/>
          <w:b w:val="0"/>
          <w:bCs/>
          <w:color w:val="000000"/>
          <w:sz w:val="28"/>
        </w:rPr>
        <w:t>2024</w:t>
      </w:r>
      <w:r>
        <w:rPr>
          <w:rFonts w:hint="eastAsia" w:ascii="方正仿宋_GBK" w:hAnsi="方正仿宋_GBK" w:eastAsia="方正仿宋_GBK" w:cs="方正仿宋_GBK"/>
          <w:b w:val="0"/>
          <w:bCs/>
          <w:color w:val="000000"/>
          <w:sz w:val="28"/>
        </w:rPr>
        <w:t>年看守所包干费绩效目标表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bookmarkStart w:id="18" w:name="_Toc18555"/>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rPr>
                <w:rFonts w:hint="eastAsia"/>
              </w:rPr>
              <w:t>项目编码</w:t>
            </w:r>
          </w:p>
        </w:tc>
        <w:tc>
          <w:tcPr>
            <w:tcW w:w="5102" w:type="dxa"/>
            <w:gridSpan w:val="2"/>
            <w:vAlign w:val="center"/>
          </w:tcPr>
          <w:p>
            <w:pPr>
              <w:pStyle w:val="12"/>
            </w:pPr>
            <w:r>
              <w:t>13042424P001PDR10236X</w:t>
            </w:r>
          </w:p>
        </w:tc>
        <w:tc>
          <w:tcPr>
            <w:tcW w:w="2835" w:type="dxa"/>
            <w:vAlign w:val="center"/>
          </w:tcPr>
          <w:p>
            <w:pPr>
              <w:pStyle w:val="10"/>
            </w:pPr>
            <w:r>
              <w:rPr>
                <w:rFonts w:hint="eastAsia"/>
              </w:rPr>
              <w:t>项目名称</w:t>
            </w:r>
          </w:p>
        </w:tc>
        <w:tc>
          <w:tcPr>
            <w:tcW w:w="6094" w:type="dxa"/>
            <w:gridSpan w:val="3"/>
            <w:vAlign w:val="center"/>
          </w:tcPr>
          <w:p>
            <w:pPr>
              <w:pStyle w:val="12"/>
            </w:pPr>
            <w:r>
              <w:t>2024</w:t>
            </w:r>
            <w:r>
              <w:rPr>
                <w:rFonts w:hint="eastAsia"/>
              </w:rPr>
              <w:t>年看守所包干费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预算规模及资金用途</w:t>
            </w:r>
          </w:p>
        </w:tc>
        <w:tc>
          <w:tcPr>
            <w:tcW w:w="2268" w:type="dxa"/>
            <w:vAlign w:val="center"/>
          </w:tcPr>
          <w:p>
            <w:pPr>
              <w:pStyle w:val="10"/>
            </w:pPr>
            <w:r>
              <w:rPr>
                <w:rFonts w:hint="eastAsia"/>
              </w:rPr>
              <w:t>预算数</w:t>
            </w:r>
          </w:p>
        </w:tc>
        <w:tc>
          <w:tcPr>
            <w:tcW w:w="2835" w:type="dxa"/>
            <w:vAlign w:val="center"/>
          </w:tcPr>
          <w:p>
            <w:pPr>
              <w:pStyle w:val="12"/>
            </w:pPr>
            <w:r>
              <w:t>117.76</w:t>
            </w:r>
          </w:p>
        </w:tc>
        <w:tc>
          <w:tcPr>
            <w:tcW w:w="2835" w:type="dxa"/>
            <w:vAlign w:val="center"/>
          </w:tcPr>
          <w:p>
            <w:pPr>
              <w:pStyle w:val="10"/>
            </w:pPr>
            <w:r>
              <w:rPr>
                <w:rFonts w:hint="eastAsia"/>
              </w:rPr>
              <w:t>其中：财政</w:t>
            </w:r>
            <w:r>
              <w:t xml:space="preserve">    </w:t>
            </w:r>
            <w:r>
              <w:rPr>
                <w:rFonts w:hint="eastAsia"/>
              </w:rPr>
              <w:t>资金</w:t>
            </w:r>
          </w:p>
        </w:tc>
        <w:tc>
          <w:tcPr>
            <w:tcW w:w="2551" w:type="dxa"/>
            <w:vAlign w:val="center"/>
          </w:tcPr>
          <w:p>
            <w:pPr>
              <w:pStyle w:val="12"/>
            </w:pPr>
            <w:r>
              <w:t>117.76</w:t>
            </w:r>
          </w:p>
        </w:tc>
        <w:tc>
          <w:tcPr>
            <w:tcW w:w="2268" w:type="dxa"/>
            <w:vAlign w:val="center"/>
          </w:tcPr>
          <w:p>
            <w:pPr>
              <w:pStyle w:val="10"/>
            </w:pPr>
            <w:r>
              <w:rPr>
                <w:rFonts w:hint="eastAsia"/>
              </w:rP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w:t>
            </w:r>
            <w:r>
              <w:rPr>
                <w:rFonts w:hint="eastAsia"/>
              </w:rPr>
              <w:t>年看守所报刊费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rPr>
                <w:rFonts w:hint="eastAsia"/>
              </w:rPr>
              <w:t>资金支出计划（</w:t>
            </w:r>
            <w:r>
              <w:t>%</w:t>
            </w:r>
            <w:r>
              <w:rPr>
                <w:rFonts w:hint="eastAsia"/>
              </w:rPr>
              <w:t>）</w:t>
            </w:r>
          </w:p>
        </w:tc>
        <w:tc>
          <w:tcPr>
            <w:tcW w:w="5102" w:type="dxa"/>
            <w:gridSpan w:val="2"/>
            <w:vAlign w:val="center"/>
          </w:tcPr>
          <w:p>
            <w:pPr>
              <w:pStyle w:val="10"/>
            </w:pPr>
            <w:r>
              <w:t>3</w:t>
            </w:r>
            <w:r>
              <w:rPr>
                <w:rFonts w:hint="eastAsia"/>
              </w:rPr>
              <w:t>月底</w:t>
            </w:r>
          </w:p>
        </w:tc>
        <w:tc>
          <w:tcPr>
            <w:tcW w:w="2835" w:type="dxa"/>
            <w:vAlign w:val="center"/>
          </w:tcPr>
          <w:p>
            <w:pPr>
              <w:pStyle w:val="10"/>
            </w:pPr>
            <w:r>
              <w:t>6</w:t>
            </w:r>
            <w:r>
              <w:rPr>
                <w:rFonts w:hint="eastAsia"/>
              </w:rPr>
              <w:t>月底</w:t>
            </w:r>
          </w:p>
        </w:tc>
        <w:tc>
          <w:tcPr>
            <w:tcW w:w="2551" w:type="dxa"/>
            <w:vAlign w:val="center"/>
          </w:tcPr>
          <w:p>
            <w:pPr>
              <w:pStyle w:val="10"/>
            </w:pPr>
            <w:r>
              <w:t>10</w:t>
            </w:r>
            <w:r>
              <w:rPr>
                <w:rFonts w:hint="eastAsia"/>
              </w:rPr>
              <w:t>月底</w:t>
            </w:r>
          </w:p>
        </w:tc>
        <w:tc>
          <w:tcPr>
            <w:tcW w:w="3543" w:type="dxa"/>
            <w:gridSpan w:val="2"/>
            <w:vAlign w:val="center"/>
          </w:tcPr>
          <w:p>
            <w:pPr>
              <w:pStyle w:val="10"/>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29.44</w:t>
            </w:r>
          </w:p>
        </w:tc>
        <w:tc>
          <w:tcPr>
            <w:tcW w:w="2835" w:type="dxa"/>
            <w:vAlign w:val="center"/>
          </w:tcPr>
          <w:p>
            <w:pPr>
              <w:pStyle w:val="13"/>
            </w:pPr>
            <w:r>
              <w:t>58.88</w:t>
            </w:r>
          </w:p>
        </w:tc>
        <w:tc>
          <w:tcPr>
            <w:tcW w:w="2551" w:type="dxa"/>
            <w:vAlign w:val="center"/>
          </w:tcPr>
          <w:p>
            <w:pPr>
              <w:pStyle w:val="13"/>
            </w:pPr>
            <w:r>
              <w:t>88.32</w:t>
            </w:r>
          </w:p>
        </w:tc>
        <w:tc>
          <w:tcPr>
            <w:tcW w:w="3543" w:type="dxa"/>
            <w:gridSpan w:val="2"/>
            <w:vAlign w:val="center"/>
          </w:tcPr>
          <w:p>
            <w:pPr>
              <w:pStyle w:val="13"/>
            </w:pPr>
            <w:r>
              <w:t>117.76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0"/>
            </w:pPr>
            <w:r>
              <w:rPr>
                <w:rFonts w:hint="eastAsia"/>
              </w:rPr>
              <w:t>绩效目标</w:t>
            </w:r>
          </w:p>
        </w:tc>
        <w:tc>
          <w:tcPr>
            <w:tcW w:w="14031" w:type="dxa"/>
            <w:gridSpan w:val="6"/>
            <w:tcBorders>
              <w:bottom w:val="single" w:color="FFFFFF" w:sz="6" w:space="0"/>
            </w:tcBorders>
            <w:vAlign w:val="center"/>
          </w:tcPr>
          <w:p>
            <w:pPr>
              <w:pStyle w:val="12"/>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rPr>
                <w:rFonts w:hint="eastAsia"/>
              </w:rPr>
              <w:t>一级指标</w:t>
            </w:r>
          </w:p>
        </w:tc>
        <w:tc>
          <w:tcPr>
            <w:tcW w:w="2268" w:type="dxa"/>
            <w:vAlign w:val="center"/>
          </w:tcPr>
          <w:p>
            <w:pPr>
              <w:pStyle w:val="10"/>
            </w:pPr>
            <w:r>
              <w:rPr>
                <w:rFonts w:hint="eastAsia"/>
              </w:rPr>
              <w:t>二级指标</w:t>
            </w:r>
          </w:p>
        </w:tc>
        <w:tc>
          <w:tcPr>
            <w:tcW w:w="2835" w:type="dxa"/>
            <w:vAlign w:val="center"/>
          </w:tcPr>
          <w:p>
            <w:pPr>
              <w:pStyle w:val="10"/>
            </w:pPr>
            <w:r>
              <w:rPr>
                <w:rFonts w:hint="eastAsia"/>
              </w:rPr>
              <w:t>三级指标</w:t>
            </w:r>
          </w:p>
        </w:tc>
        <w:tc>
          <w:tcPr>
            <w:tcW w:w="5386" w:type="dxa"/>
            <w:vAlign w:val="center"/>
          </w:tcPr>
          <w:p>
            <w:pPr>
              <w:pStyle w:val="10"/>
            </w:pPr>
            <w:r>
              <w:rPr>
                <w:rFonts w:hint="eastAsia"/>
              </w:rPr>
              <w:t>绩效指标描述</w:t>
            </w:r>
          </w:p>
        </w:tc>
        <w:tc>
          <w:tcPr>
            <w:tcW w:w="2268" w:type="dxa"/>
            <w:vAlign w:val="center"/>
          </w:tcPr>
          <w:p>
            <w:pPr>
              <w:pStyle w:val="10"/>
            </w:pPr>
            <w:r>
              <w:rPr>
                <w:rFonts w:hint="eastAsia"/>
              </w:rPr>
              <w:t>指标值</w:t>
            </w:r>
          </w:p>
        </w:tc>
        <w:tc>
          <w:tcPr>
            <w:tcW w:w="1276" w:type="dxa"/>
            <w:vAlign w:val="center"/>
          </w:tcPr>
          <w:p>
            <w:pPr>
              <w:pStyle w:val="10"/>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产出指标</w:t>
            </w:r>
          </w:p>
        </w:tc>
        <w:tc>
          <w:tcPr>
            <w:tcW w:w="2268" w:type="dxa"/>
            <w:vAlign w:val="center"/>
          </w:tcPr>
          <w:p>
            <w:pPr>
              <w:pStyle w:val="12"/>
            </w:pPr>
            <w:r>
              <w:rPr>
                <w:rFonts w:hint="eastAsia"/>
              </w:rPr>
              <w:t>数量指标</w:t>
            </w:r>
          </w:p>
        </w:tc>
        <w:tc>
          <w:tcPr>
            <w:tcW w:w="2835" w:type="dxa"/>
            <w:vAlign w:val="center"/>
          </w:tcPr>
          <w:p>
            <w:pPr>
              <w:pStyle w:val="12"/>
            </w:pPr>
            <w:r>
              <w:rPr>
                <w:rFonts w:hint="eastAsia"/>
              </w:rPr>
              <w:t>执行标的到位率</w:t>
            </w:r>
            <w:r>
              <w:t>(%)</w:t>
            </w:r>
          </w:p>
        </w:tc>
        <w:tc>
          <w:tcPr>
            <w:tcW w:w="5386" w:type="dxa"/>
            <w:vAlign w:val="center"/>
          </w:tcPr>
          <w:p>
            <w:pPr>
              <w:pStyle w:val="12"/>
            </w:pPr>
            <w:r>
              <w:rPr>
                <w:rFonts w:hint="eastAsia"/>
              </w:rPr>
              <w:t>每月执行在押人员伙食人数</w:t>
            </w:r>
          </w:p>
        </w:tc>
        <w:tc>
          <w:tcPr>
            <w:tcW w:w="2268" w:type="dxa"/>
            <w:vAlign w:val="center"/>
          </w:tcPr>
          <w:p>
            <w:pPr>
              <w:pStyle w:val="12"/>
            </w:pPr>
            <w:r>
              <w:rPr>
                <w:rFonts w:hint="eastAsia"/>
              </w:rPr>
              <w:t>≥</w:t>
            </w:r>
            <w:r>
              <w:t>200</w:t>
            </w:r>
            <w:r>
              <w:rPr>
                <w:rFonts w:hint="eastAsia"/>
              </w:rPr>
              <w:t>人</w:t>
            </w:r>
          </w:p>
        </w:tc>
        <w:tc>
          <w:tcPr>
            <w:tcW w:w="1276" w:type="dxa"/>
            <w:vAlign w:val="center"/>
          </w:tcPr>
          <w:p>
            <w:pPr>
              <w:pStyle w:val="12"/>
            </w:pPr>
            <w:r>
              <w:rPr>
                <w:rFonts w:hint="eastAsia"/>
              </w:rPr>
              <w:t>上级监管部门及看守所内部管理规定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质量指标</w:t>
            </w:r>
          </w:p>
        </w:tc>
        <w:tc>
          <w:tcPr>
            <w:tcW w:w="2835" w:type="dxa"/>
            <w:vAlign w:val="center"/>
          </w:tcPr>
          <w:p>
            <w:pPr>
              <w:pStyle w:val="12"/>
            </w:pPr>
            <w:r>
              <w:rPr>
                <w:rFonts w:hint="eastAsia"/>
              </w:rPr>
              <w:t>合格率</w:t>
            </w:r>
          </w:p>
        </w:tc>
        <w:tc>
          <w:tcPr>
            <w:tcW w:w="5386" w:type="dxa"/>
            <w:vAlign w:val="center"/>
          </w:tcPr>
          <w:p>
            <w:pPr>
              <w:pStyle w:val="12"/>
            </w:pPr>
            <w:r>
              <w:rPr>
                <w:rFonts w:hint="eastAsia"/>
              </w:rPr>
              <w:t>在押人员伙食合格率</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看守所内部管理规定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时效指标</w:t>
            </w:r>
          </w:p>
        </w:tc>
        <w:tc>
          <w:tcPr>
            <w:tcW w:w="2835" w:type="dxa"/>
            <w:vAlign w:val="center"/>
          </w:tcPr>
          <w:p>
            <w:pPr>
              <w:pStyle w:val="12"/>
            </w:pPr>
            <w:r>
              <w:rPr>
                <w:rFonts w:hint="eastAsia"/>
              </w:rPr>
              <w:t>在押人员伙食</w:t>
            </w:r>
          </w:p>
        </w:tc>
        <w:tc>
          <w:tcPr>
            <w:tcW w:w="5386" w:type="dxa"/>
            <w:vAlign w:val="center"/>
          </w:tcPr>
          <w:p>
            <w:pPr>
              <w:pStyle w:val="12"/>
            </w:pPr>
            <w:r>
              <w:rPr>
                <w:rFonts w:hint="eastAsia"/>
              </w:rPr>
              <w:t>在押人员伙食期限</w:t>
            </w:r>
          </w:p>
        </w:tc>
        <w:tc>
          <w:tcPr>
            <w:tcW w:w="2268" w:type="dxa"/>
            <w:vAlign w:val="center"/>
          </w:tcPr>
          <w:p>
            <w:pPr>
              <w:pStyle w:val="12"/>
            </w:pPr>
            <w:r>
              <w:t>12</w:t>
            </w:r>
            <w:r>
              <w:rPr>
                <w:rFonts w:hint="eastAsia"/>
              </w:rPr>
              <w:t>月</w:t>
            </w:r>
          </w:p>
        </w:tc>
        <w:tc>
          <w:tcPr>
            <w:tcW w:w="1276" w:type="dxa"/>
            <w:vAlign w:val="center"/>
          </w:tcPr>
          <w:p>
            <w:pPr>
              <w:pStyle w:val="12"/>
            </w:pPr>
            <w:r>
              <w:rPr>
                <w:rFonts w:hint="eastAsia"/>
              </w:rPr>
              <w:t>看守所内部管理规定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成本指标</w:t>
            </w:r>
          </w:p>
        </w:tc>
        <w:tc>
          <w:tcPr>
            <w:tcW w:w="2835" w:type="dxa"/>
            <w:vAlign w:val="center"/>
          </w:tcPr>
          <w:p>
            <w:pPr>
              <w:pStyle w:val="12"/>
            </w:pPr>
            <w:r>
              <w:rPr>
                <w:rFonts w:hint="eastAsia"/>
              </w:rPr>
              <w:t>伙食成本控制</w:t>
            </w:r>
          </w:p>
        </w:tc>
        <w:tc>
          <w:tcPr>
            <w:tcW w:w="5386" w:type="dxa"/>
            <w:vAlign w:val="center"/>
          </w:tcPr>
          <w:p>
            <w:pPr>
              <w:pStyle w:val="12"/>
            </w:pPr>
            <w:r>
              <w:rPr>
                <w:rFonts w:hint="eastAsia"/>
              </w:rPr>
              <w:t>在押人员每人每月伙食费</w:t>
            </w:r>
          </w:p>
        </w:tc>
        <w:tc>
          <w:tcPr>
            <w:tcW w:w="2268" w:type="dxa"/>
            <w:vAlign w:val="center"/>
          </w:tcPr>
          <w:p>
            <w:pPr>
              <w:pStyle w:val="12"/>
            </w:pPr>
            <w:r>
              <w:t>260</w:t>
            </w:r>
            <w:r>
              <w:rPr>
                <w:rFonts w:hint="eastAsia"/>
              </w:rPr>
              <w:t>元</w:t>
            </w:r>
          </w:p>
        </w:tc>
        <w:tc>
          <w:tcPr>
            <w:tcW w:w="1276" w:type="dxa"/>
            <w:vAlign w:val="center"/>
          </w:tcPr>
          <w:p>
            <w:pPr>
              <w:pStyle w:val="12"/>
            </w:pPr>
            <w:r>
              <w:rPr>
                <w:rFonts w:hint="eastAsia"/>
              </w:rPr>
              <w:t>看守所内部管理规定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rPr>
                <w:rFonts w:hint="eastAsia"/>
              </w:rPr>
              <w:t>效益指标</w:t>
            </w:r>
          </w:p>
        </w:tc>
        <w:tc>
          <w:tcPr>
            <w:tcW w:w="2268" w:type="dxa"/>
            <w:vAlign w:val="center"/>
          </w:tcPr>
          <w:p>
            <w:pPr>
              <w:pStyle w:val="12"/>
            </w:pPr>
            <w:r>
              <w:rPr>
                <w:rFonts w:hint="eastAsia"/>
              </w:rPr>
              <w:t>经济效益指标</w:t>
            </w:r>
          </w:p>
        </w:tc>
        <w:tc>
          <w:tcPr>
            <w:tcW w:w="2835" w:type="dxa"/>
            <w:vAlign w:val="center"/>
          </w:tcPr>
          <w:p>
            <w:pPr>
              <w:pStyle w:val="12"/>
            </w:pPr>
            <w:r>
              <w:rPr>
                <w:rFonts w:hint="eastAsia"/>
              </w:rPr>
              <w:t>保障监区办公区日常开支</w:t>
            </w:r>
          </w:p>
        </w:tc>
        <w:tc>
          <w:tcPr>
            <w:tcW w:w="5386" w:type="dxa"/>
            <w:vAlign w:val="center"/>
          </w:tcPr>
          <w:p>
            <w:pPr>
              <w:pStyle w:val="12"/>
            </w:pPr>
            <w:r>
              <w:rPr>
                <w:rFonts w:hint="eastAsia"/>
              </w:rPr>
              <w:t>监区办公区维修维护及设备购置</w:t>
            </w:r>
          </w:p>
        </w:tc>
        <w:tc>
          <w:tcPr>
            <w:tcW w:w="2268" w:type="dxa"/>
            <w:vAlign w:val="center"/>
          </w:tcPr>
          <w:p>
            <w:pPr>
              <w:pStyle w:val="12"/>
            </w:pPr>
            <w:r>
              <w:rPr>
                <w:rFonts w:hint="eastAsia"/>
              </w:rPr>
              <w:t>保障监区办公区日常开支</w:t>
            </w:r>
          </w:p>
        </w:tc>
        <w:tc>
          <w:tcPr>
            <w:tcW w:w="1276" w:type="dxa"/>
            <w:vAlign w:val="center"/>
          </w:tcPr>
          <w:p>
            <w:pPr>
              <w:pStyle w:val="12"/>
            </w:pPr>
            <w:r>
              <w:rPr>
                <w:rFonts w:hint="eastAsia"/>
              </w:rPr>
              <w:t>看守所内部管理规定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社会效益指标</w:t>
            </w:r>
          </w:p>
        </w:tc>
        <w:tc>
          <w:tcPr>
            <w:tcW w:w="2835" w:type="dxa"/>
            <w:vAlign w:val="center"/>
          </w:tcPr>
          <w:p>
            <w:pPr>
              <w:pStyle w:val="12"/>
            </w:pPr>
            <w:r>
              <w:rPr>
                <w:rFonts w:hint="eastAsia"/>
              </w:rPr>
              <w:t>日常办公用品</w:t>
            </w:r>
          </w:p>
        </w:tc>
        <w:tc>
          <w:tcPr>
            <w:tcW w:w="5386" w:type="dxa"/>
            <w:vAlign w:val="center"/>
          </w:tcPr>
          <w:p>
            <w:pPr>
              <w:pStyle w:val="12"/>
            </w:pPr>
            <w:r>
              <w:rPr>
                <w:rFonts w:hint="eastAsia"/>
              </w:rPr>
              <w:t>保障全所日常办公所需品的开支</w:t>
            </w:r>
          </w:p>
        </w:tc>
        <w:tc>
          <w:tcPr>
            <w:tcW w:w="2268" w:type="dxa"/>
            <w:vAlign w:val="center"/>
          </w:tcPr>
          <w:p>
            <w:pPr>
              <w:pStyle w:val="12"/>
            </w:pPr>
            <w:r>
              <w:rPr>
                <w:rFonts w:hint="eastAsia"/>
              </w:rPr>
              <w:t>保障看守所日常办公所需</w:t>
            </w:r>
          </w:p>
        </w:tc>
        <w:tc>
          <w:tcPr>
            <w:tcW w:w="1276" w:type="dxa"/>
            <w:vAlign w:val="center"/>
          </w:tcPr>
          <w:p>
            <w:pPr>
              <w:pStyle w:val="12"/>
            </w:pPr>
            <w:r>
              <w:rPr>
                <w:rFonts w:hint="eastAsia"/>
              </w:rPr>
              <w:t>看守所内部管理规定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生态效益指标</w:t>
            </w:r>
          </w:p>
        </w:tc>
        <w:tc>
          <w:tcPr>
            <w:tcW w:w="2835" w:type="dxa"/>
            <w:vAlign w:val="center"/>
          </w:tcPr>
          <w:p>
            <w:pPr>
              <w:pStyle w:val="12"/>
            </w:pPr>
            <w:r>
              <w:rPr>
                <w:rFonts w:hint="eastAsia"/>
              </w:rPr>
              <w:t>不涉及</w:t>
            </w:r>
          </w:p>
        </w:tc>
        <w:tc>
          <w:tcPr>
            <w:tcW w:w="5386" w:type="dxa"/>
            <w:vAlign w:val="center"/>
          </w:tcPr>
          <w:p>
            <w:pPr>
              <w:pStyle w:val="12"/>
            </w:pPr>
            <w:r>
              <w:rPr>
                <w:rFonts w:hint="eastAsia"/>
              </w:rPr>
              <w:t>不涉及</w:t>
            </w:r>
          </w:p>
        </w:tc>
        <w:tc>
          <w:tcPr>
            <w:tcW w:w="2268" w:type="dxa"/>
            <w:vAlign w:val="center"/>
          </w:tcPr>
          <w:p>
            <w:pPr>
              <w:pStyle w:val="12"/>
            </w:pPr>
            <w:r>
              <w:rPr>
                <w:rFonts w:hint="eastAsia"/>
              </w:rPr>
              <w:t>不涉及</w:t>
            </w:r>
          </w:p>
        </w:tc>
        <w:tc>
          <w:tcPr>
            <w:tcW w:w="1276" w:type="dxa"/>
            <w:vAlign w:val="center"/>
          </w:tcPr>
          <w:p>
            <w:pPr>
              <w:pStyle w:val="12"/>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rPr>
                <w:rFonts w:hint="eastAsia"/>
              </w:rPr>
              <w:t>可持续影响指标</w:t>
            </w:r>
          </w:p>
        </w:tc>
        <w:tc>
          <w:tcPr>
            <w:tcW w:w="2835" w:type="dxa"/>
            <w:vAlign w:val="center"/>
          </w:tcPr>
          <w:p>
            <w:pPr>
              <w:pStyle w:val="12"/>
            </w:pPr>
            <w:r>
              <w:rPr>
                <w:rFonts w:hint="eastAsia"/>
              </w:rPr>
              <w:t>不涉及</w:t>
            </w:r>
          </w:p>
        </w:tc>
        <w:tc>
          <w:tcPr>
            <w:tcW w:w="5386" w:type="dxa"/>
            <w:vAlign w:val="center"/>
          </w:tcPr>
          <w:p>
            <w:pPr>
              <w:pStyle w:val="12"/>
            </w:pPr>
            <w:r>
              <w:rPr>
                <w:rFonts w:hint="eastAsia"/>
              </w:rPr>
              <w:t>不涉及</w:t>
            </w:r>
          </w:p>
        </w:tc>
        <w:tc>
          <w:tcPr>
            <w:tcW w:w="2268" w:type="dxa"/>
            <w:vAlign w:val="center"/>
          </w:tcPr>
          <w:p>
            <w:pPr>
              <w:pStyle w:val="12"/>
            </w:pPr>
            <w:r>
              <w:rPr>
                <w:rFonts w:hint="eastAsia"/>
              </w:rPr>
              <w:t>不涉及</w:t>
            </w:r>
          </w:p>
        </w:tc>
        <w:tc>
          <w:tcPr>
            <w:tcW w:w="1276" w:type="dxa"/>
            <w:vAlign w:val="center"/>
          </w:tcPr>
          <w:p>
            <w:pPr>
              <w:pStyle w:val="12"/>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rPr>
                <w:rFonts w:hint="eastAsia"/>
              </w:rPr>
              <w:t>满意度指标</w:t>
            </w:r>
          </w:p>
        </w:tc>
        <w:tc>
          <w:tcPr>
            <w:tcW w:w="2268" w:type="dxa"/>
            <w:vAlign w:val="center"/>
          </w:tcPr>
          <w:p>
            <w:pPr>
              <w:pStyle w:val="12"/>
            </w:pPr>
            <w:r>
              <w:rPr>
                <w:rFonts w:hint="eastAsia"/>
              </w:rPr>
              <w:t>服务对象满意度指标</w:t>
            </w:r>
          </w:p>
        </w:tc>
        <w:tc>
          <w:tcPr>
            <w:tcW w:w="2835" w:type="dxa"/>
            <w:vAlign w:val="center"/>
          </w:tcPr>
          <w:p>
            <w:pPr>
              <w:pStyle w:val="12"/>
            </w:pPr>
            <w:r>
              <w:rPr>
                <w:rFonts w:hint="eastAsia"/>
              </w:rPr>
              <w:t>对在押人员</w:t>
            </w:r>
          </w:p>
        </w:tc>
        <w:tc>
          <w:tcPr>
            <w:tcW w:w="5386" w:type="dxa"/>
            <w:vAlign w:val="center"/>
          </w:tcPr>
          <w:p>
            <w:pPr>
              <w:pStyle w:val="12"/>
            </w:pPr>
            <w:r>
              <w:rPr>
                <w:rFonts w:hint="eastAsia"/>
              </w:rPr>
              <w:t>在押人员了解满意度标准</w:t>
            </w:r>
          </w:p>
        </w:tc>
        <w:tc>
          <w:tcPr>
            <w:tcW w:w="2268" w:type="dxa"/>
            <w:vAlign w:val="center"/>
          </w:tcPr>
          <w:p>
            <w:pPr>
              <w:pStyle w:val="12"/>
            </w:pPr>
            <w:r>
              <w:rPr>
                <w:rFonts w:hint="eastAsia"/>
              </w:rPr>
              <w:t>≥</w:t>
            </w:r>
            <w:r>
              <w:t>95%</w:t>
            </w:r>
          </w:p>
        </w:tc>
        <w:tc>
          <w:tcPr>
            <w:tcW w:w="1276" w:type="dxa"/>
            <w:vAlign w:val="center"/>
          </w:tcPr>
          <w:p>
            <w:pPr>
              <w:pStyle w:val="12"/>
            </w:pPr>
            <w:r>
              <w:rPr>
                <w:rFonts w:hint="eastAsia"/>
              </w:rPr>
              <w:t>调查问卷方式</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r>
        <w:rPr>
          <w:rFonts w:hint="eastAsia" w:ascii="黑体" w:hAnsi="黑体" w:eastAsia="黑体" w:cs="黑体"/>
          <w:color w:val="000000"/>
          <w:sz w:val="32"/>
        </w:rPr>
        <w:t>六、政府采购预算情况</w:t>
      </w:r>
      <w:bookmarkEnd w:id="18"/>
    </w:p>
    <w:p>
      <w:pPr>
        <w:keepNext w:val="0"/>
        <w:keepLines w:val="0"/>
        <w:pageBreakBefore w:val="0"/>
        <w:widowControl/>
        <w:kinsoku/>
        <w:wordWrap/>
        <w:overflowPunct/>
        <w:topLinePunct w:val="0"/>
        <w:bidi w:val="0"/>
        <w:snapToGrid/>
        <w:jc w:val="center"/>
        <w:textAlignment w:val="auto"/>
        <w:outlineLvl w:val="9"/>
      </w:pPr>
      <w:r>
        <w:rPr>
          <w:rFonts w:hint="eastAsia"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7888" w:type="dxa"/>
            <w:gridSpan w:val="8"/>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bidi w:val="0"/>
              <w:snapToGrid/>
              <w:textAlignment w:val="auto"/>
              <w:outlineLvl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政府采购项目来源</w:t>
            </w:r>
          </w:p>
        </w:tc>
        <w:tc>
          <w:tcPr>
            <w:tcW w:w="986"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采购物品名称</w:t>
            </w:r>
          </w:p>
        </w:tc>
        <w:tc>
          <w:tcPr>
            <w:tcW w:w="986"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政府采购目录序号</w:t>
            </w:r>
          </w:p>
        </w:tc>
        <w:tc>
          <w:tcPr>
            <w:tcW w:w="986"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计量</w:t>
            </w:r>
            <w:r>
              <w:t xml:space="preserve">  </w:t>
            </w:r>
            <w:r>
              <w:rPr>
                <w:rFonts w:hint="eastAsia"/>
              </w:rPr>
              <w:t>单位</w:t>
            </w:r>
          </w:p>
        </w:tc>
        <w:tc>
          <w:tcPr>
            <w:tcW w:w="986"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数量</w:t>
            </w:r>
          </w:p>
        </w:tc>
        <w:tc>
          <w:tcPr>
            <w:tcW w:w="986" w:type="dxa"/>
            <w:vMerge w:val="restart"/>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单价</w:t>
            </w:r>
          </w:p>
        </w:tc>
        <w:tc>
          <w:tcPr>
            <w:tcW w:w="6902" w:type="dxa"/>
            <w:gridSpan w:val="7"/>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政府采购金额（当年部门预算安排资金）</w:t>
            </w:r>
          </w:p>
        </w:tc>
        <w:tc>
          <w:tcPr>
            <w:tcW w:w="986" w:type="dxa"/>
            <w:vMerge w:val="restart"/>
            <w:vAlign w:val="center"/>
          </w:tcPr>
          <w:p>
            <w:pPr>
              <w:pStyle w:val="10"/>
              <w:keepNext w:val="0"/>
              <w:keepLines w:val="0"/>
              <w:pageBreakBefore w:val="0"/>
              <w:widowControl/>
              <w:kinsoku/>
              <w:wordWrap/>
              <w:overflowPunct/>
              <w:topLinePunct w:val="0"/>
              <w:bidi w:val="0"/>
              <w:snapToGrid/>
              <w:textAlignment w:val="auto"/>
              <w:outlineLvl w:val="9"/>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项目名称</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预算</w:t>
            </w:r>
            <w:r>
              <w:t xml:space="preserve">    </w:t>
            </w:r>
            <w:r>
              <w:rPr>
                <w:rFonts w:hint="eastAsia"/>
              </w:rPr>
              <w:t>资金</w:t>
            </w:r>
          </w:p>
        </w:tc>
        <w:tc>
          <w:tcPr>
            <w:tcW w:w="986" w:type="dxa"/>
            <w:vMerge w:val="continue"/>
          </w:tcPr>
          <w:p>
            <w:pPr>
              <w:keepNext w:val="0"/>
              <w:keepLines w:val="0"/>
              <w:pageBreakBefore w:val="0"/>
              <w:widowControl/>
              <w:kinsoku/>
              <w:wordWrap/>
              <w:overflowPunct/>
              <w:topLinePunct w:val="0"/>
              <w:bidi w:val="0"/>
              <w:snapToGrid/>
              <w:textAlignment w:val="auto"/>
              <w:outlineLvl w:val="9"/>
            </w:pPr>
          </w:p>
        </w:tc>
        <w:tc>
          <w:tcPr>
            <w:tcW w:w="986" w:type="dxa"/>
            <w:vMerge w:val="continue"/>
          </w:tcPr>
          <w:p>
            <w:pPr>
              <w:keepNext w:val="0"/>
              <w:keepLines w:val="0"/>
              <w:pageBreakBefore w:val="0"/>
              <w:widowControl/>
              <w:kinsoku/>
              <w:wordWrap/>
              <w:overflowPunct/>
              <w:topLinePunct w:val="0"/>
              <w:bidi w:val="0"/>
              <w:snapToGrid/>
              <w:textAlignment w:val="auto"/>
              <w:outlineLvl w:val="9"/>
            </w:pPr>
          </w:p>
        </w:tc>
        <w:tc>
          <w:tcPr>
            <w:tcW w:w="986" w:type="dxa"/>
            <w:vMerge w:val="continue"/>
          </w:tcPr>
          <w:p>
            <w:pPr>
              <w:keepNext w:val="0"/>
              <w:keepLines w:val="0"/>
              <w:pageBreakBefore w:val="0"/>
              <w:widowControl/>
              <w:kinsoku/>
              <w:wordWrap/>
              <w:overflowPunct/>
              <w:topLinePunct w:val="0"/>
              <w:bidi w:val="0"/>
              <w:snapToGrid/>
              <w:textAlignment w:val="auto"/>
              <w:outlineLvl w:val="9"/>
            </w:pPr>
          </w:p>
        </w:tc>
        <w:tc>
          <w:tcPr>
            <w:tcW w:w="986" w:type="dxa"/>
            <w:vMerge w:val="continue"/>
          </w:tcPr>
          <w:p>
            <w:pPr>
              <w:keepNext w:val="0"/>
              <w:keepLines w:val="0"/>
              <w:pageBreakBefore w:val="0"/>
              <w:widowControl/>
              <w:kinsoku/>
              <w:wordWrap/>
              <w:overflowPunct/>
              <w:topLinePunct w:val="0"/>
              <w:bidi w:val="0"/>
              <w:snapToGrid/>
              <w:textAlignment w:val="auto"/>
              <w:outlineLvl w:val="9"/>
            </w:pPr>
          </w:p>
        </w:tc>
        <w:tc>
          <w:tcPr>
            <w:tcW w:w="986" w:type="dxa"/>
            <w:vMerge w:val="continue"/>
          </w:tcPr>
          <w:p>
            <w:pPr>
              <w:keepNext w:val="0"/>
              <w:keepLines w:val="0"/>
              <w:pageBreakBefore w:val="0"/>
              <w:widowControl/>
              <w:kinsoku/>
              <w:wordWrap/>
              <w:overflowPunct/>
              <w:topLinePunct w:val="0"/>
              <w:bidi w:val="0"/>
              <w:snapToGrid/>
              <w:textAlignment w:val="auto"/>
              <w:outlineLvl w:val="9"/>
            </w:pP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合计</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一般公共预算拨款</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基金预算拨款</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国有资本经营预算拨款</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财政专户核拨</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单位</w:t>
            </w:r>
            <w:r>
              <w:t xml:space="preserve">    </w:t>
            </w:r>
            <w:r>
              <w:rPr>
                <w:rFonts w:hint="eastAsia"/>
              </w:rPr>
              <w:t>资金</w:t>
            </w:r>
          </w:p>
        </w:tc>
        <w:tc>
          <w:tcPr>
            <w:tcW w:w="986"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上年结转结余</w:t>
            </w:r>
          </w:p>
        </w:tc>
        <w:tc>
          <w:tcPr>
            <w:tcW w:w="986" w:type="dxa"/>
            <w:vMerge w:val="continue"/>
          </w:tcPr>
          <w:p>
            <w:pPr>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keepNext w:val="0"/>
              <w:keepLines w:val="0"/>
              <w:pageBreakBefore w:val="0"/>
              <w:widowControl/>
              <w:kinsoku/>
              <w:wordWrap/>
              <w:overflowPunct/>
              <w:topLinePunct w:val="0"/>
              <w:bidi w:val="0"/>
              <w:snapToGrid/>
              <w:textAlignment w:val="auto"/>
              <w:outlineLvl w:val="9"/>
              <w:rPr>
                <w:rFonts w:hint="eastAsia" w:eastAsia="方正书宋_GBK"/>
                <w:lang w:val="en-US" w:eastAsia="zh-CN"/>
              </w:rPr>
            </w:pPr>
            <w:r>
              <w:rPr>
                <w:rFonts w:hint="eastAsia"/>
                <w:lang w:val="en-US" w:eastAsia="zh-CN"/>
              </w:rPr>
              <w:t>合计</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2.795</w:t>
            </w:r>
          </w:p>
        </w:tc>
        <w:tc>
          <w:tcPr>
            <w:tcW w:w="986" w:type="dxa"/>
            <w:vAlign w:val="center"/>
          </w:tcPr>
          <w:p>
            <w:pPr>
              <w:pStyle w:val="12"/>
              <w:keepNext w:val="0"/>
              <w:keepLines w:val="0"/>
              <w:pageBreakBefore w:val="0"/>
              <w:widowControl/>
              <w:kinsoku/>
              <w:wordWrap/>
              <w:overflowPunct/>
              <w:topLinePunct w:val="0"/>
              <w:bidi w:val="0"/>
              <w:snapToGrid/>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eastAsia="zh-CN"/>
              </w:rPr>
              <w:t>电视机</w:t>
            </w:r>
          </w:p>
        </w:tc>
        <w:tc>
          <w:tcPr>
            <w:tcW w:w="986" w:type="dxa"/>
            <w:vAlign w:val="center"/>
          </w:tcPr>
          <w:p>
            <w:pPr>
              <w:pStyle w:val="12"/>
              <w:keepNext w:val="0"/>
              <w:keepLines w:val="0"/>
              <w:pageBreakBefore w:val="0"/>
              <w:widowControl/>
              <w:kinsoku/>
              <w:wordWrap/>
              <w:overflowPunct/>
              <w:topLinePunct w:val="0"/>
              <w:bidi w:val="0"/>
              <w:snapToGrid/>
              <w:ind w:firstLine="407" w:firstLineChars="0"/>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1</w:t>
            </w:r>
          </w:p>
        </w:tc>
        <w:tc>
          <w:tcPr>
            <w:tcW w:w="986" w:type="dxa"/>
            <w:vAlign w:val="center"/>
          </w:tcPr>
          <w:p>
            <w:pPr>
              <w:pStyle w:val="13"/>
              <w:keepNext w:val="0"/>
              <w:keepLines w:val="0"/>
              <w:pageBreakBefore w:val="0"/>
              <w:widowControl/>
              <w:kinsoku/>
              <w:wordWrap/>
              <w:overflowPunct/>
              <w:topLinePunct w:val="0"/>
              <w:bidi w:val="0"/>
              <w:snapToGrid/>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台</w:t>
            </w:r>
          </w:p>
        </w:tc>
        <w:tc>
          <w:tcPr>
            <w:tcW w:w="986" w:type="dxa"/>
            <w:vAlign w:val="center"/>
          </w:tcPr>
          <w:p>
            <w:pPr>
              <w:pStyle w:val="11"/>
              <w:keepNext w:val="0"/>
              <w:keepLines w:val="0"/>
              <w:pageBreakBefore w:val="0"/>
              <w:widowControl/>
              <w:tabs>
                <w:tab w:val="left" w:pos="340"/>
              </w:tabs>
              <w:kinsoku/>
              <w:wordWrap/>
              <w:overflowPunct/>
              <w:topLinePunct w:val="0"/>
              <w:bidi w:val="0"/>
              <w:snapToGrid/>
              <w:jc w:val="left"/>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ab/>
            </w:r>
            <w:r>
              <w:rPr>
                <w:rFonts w:hint="eastAsia"/>
                <w:lang w:val="en-US" w:eastAsia="zh-CN"/>
              </w:rPr>
              <w:t>13</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0.215</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2.795</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rPr>
                <w:rFonts w:hint="eastAsia" w:ascii="方正书宋_GBK" w:hAnsi="方正书宋_GBK" w:eastAsia="方正书宋_GBK" w:cs="方正书宋_GBK"/>
                <w:kern w:val="0"/>
                <w:sz w:val="21"/>
                <w:szCs w:val="24"/>
                <w:lang w:val="en-US" w:eastAsia="zh-CN" w:bidi="ar-SA"/>
              </w:rPr>
            </w:pPr>
            <w:r>
              <w:rPr>
                <w:rFonts w:hint="eastAsia"/>
                <w:lang w:val="en-US" w:eastAsia="zh-CN"/>
              </w:rPr>
              <w:t>2.795</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keepNext w:val="0"/>
              <w:keepLines w:val="0"/>
              <w:pageBreakBefore w:val="0"/>
              <w:widowControl/>
              <w:kinsoku/>
              <w:wordWrap/>
              <w:overflowPunct/>
              <w:topLinePunct w:val="0"/>
              <w:bidi w:val="0"/>
              <w:snapToGrid/>
              <w:textAlignment w:val="auto"/>
              <w:outlineLvl w:val="9"/>
              <w:rPr>
                <w:rFonts w:hint="eastAsia" w:eastAsia="方正书宋_GBK"/>
                <w:lang w:eastAsia="zh-CN"/>
              </w:rPr>
            </w:pPr>
            <w:r>
              <w:rPr>
                <w:rFonts w:hint="eastAsia"/>
                <w:lang w:eastAsia="zh-CN"/>
              </w:rPr>
              <w:t>电视机</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r>
              <w:rPr>
                <w:rFonts w:hint="eastAsia"/>
                <w:lang w:val="en-US" w:eastAsia="zh-CN"/>
              </w:rPr>
              <w:t>2.795</w:t>
            </w:r>
          </w:p>
        </w:tc>
        <w:tc>
          <w:tcPr>
            <w:tcW w:w="986" w:type="dxa"/>
            <w:vAlign w:val="center"/>
          </w:tcPr>
          <w:p>
            <w:pPr>
              <w:pStyle w:val="12"/>
              <w:keepNext w:val="0"/>
              <w:keepLines w:val="0"/>
              <w:pageBreakBefore w:val="0"/>
              <w:widowControl/>
              <w:kinsoku/>
              <w:wordWrap/>
              <w:overflowPunct/>
              <w:topLinePunct w:val="0"/>
              <w:bidi w:val="0"/>
              <w:snapToGrid/>
              <w:textAlignment w:val="auto"/>
              <w:outlineLvl w:val="9"/>
              <w:rPr>
                <w:rFonts w:hint="eastAsia" w:eastAsia="方正书宋_GBK"/>
                <w:lang w:eastAsia="zh-CN"/>
              </w:rPr>
            </w:pPr>
            <w:r>
              <w:rPr>
                <w:rFonts w:hint="eastAsia"/>
                <w:lang w:eastAsia="zh-CN"/>
              </w:rPr>
              <w:t>电视机</w:t>
            </w:r>
          </w:p>
        </w:tc>
        <w:tc>
          <w:tcPr>
            <w:tcW w:w="986" w:type="dxa"/>
            <w:vAlign w:val="center"/>
          </w:tcPr>
          <w:p>
            <w:pPr>
              <w:pStyle w:val="12"/>
              <w:keepNext w:val="0"/>
              <w:keepLines w:val="0"/>
              <w:pageBreakBefore w:val="0"/>
              <w:widowControl/>
              <w:kinsoku/>
              <w:wordWrap/>
              <w:overflowPunct/>
              <w:topLinePunct w:val="0"/>
              <w:bidi w:val="0"/>
              <w:snapToGrid/>
              <w:ind w:firstLine="407" w:firstLineChars="0"/>
              <w:textAlignment w:val="auto"/>
              <w:outlineLvl w:val="9"/>
              <w:rPr>
                <w:rFonts w:hint="default" w:eastAsia="方正书宋_GBK"/>
                <w:lang w:val="en-US" w:eastAsia="zh-CN"/>
              </w:rPr>
            </w:pPr>
            <w:r>
              <w:rPr>
                <w:rFonts w:hint="eastAsia"/>
                <w:lang w:val="en-US" w:eastAsia="zh-CN"/>
              </w:rPr>
              <w:t>1</w:t>
            </w:r>
          </w:p>
        </w:tc>
        <w:tc>
          <w:tcPr>
            <w:tcW w:w="986" w:type="dxa"/>
            <w:vAlign w:val="center"/>
          </w:tcPr>
          <w:p>
            <w:pPr>
              <w:pStyle w:val="13"/>
              <w:keepNext w:val="0"/>
              <w:keepLines w:val="0"/>
              <w:pageBreakBefore w:val="0"/>
              <w:widowControl/>
              <w:kinsoku/>
              <w:wordWrap/>
              <w:overflowPunct/>
              <w:topLinePunct w:val="0"/>
              <w:bidi w:val="0"/>
              <w:snapToGrid/>
              <w:textAlignment w:val="auto"/>
              <w:outlineLvl w:val="9"/>
              <w:rPr>
                <w:rFonts w:hint="default" w:eastAsia="方正书宋_GBK"/>
                <w:lang w:val="en-US" w:eastAsia="zh-CN"/>
              </w:rPr>
            </w:pPr>
            <w:r>
              <w:rPr>
                <w:rFonts w:hint="eastAsia"/>
                <w:lang w:val="en-US" w:eastAsia="zh-CN"/>
              </w:rPr>
              <w:t>台</w:t>
            </w:r>
          </w:p>
        </w:tc>
        <w:tc>
          <w:tcPr>
            <w:tcW w:w="986" w:type="dxa"/>
            <w:vAlign w:val="center"/>
          </w:tcPr>
          <w:p>
            <w:pPr>
              <w:pStyle w:val="11"/>
              <w:keepNext w:val="0"/>
              <w:keepLines w:val="0"/>
              <w:pageBreakBefore w:val="0"/>
              <w:widowControl/>
              <w:tabs>
                <w:tab w:val="left" w:pos="340"/>
              </w:tabs>
              <w:kinsoku/>
              <w:wordWrap/>
              <w:overflowPunct/>
              <w:topLinePunct w:val="0"/>
              <w:bidi w:val="0"/>
              <w:snapToGrid/>
              <w:jc w:val="left"/>
              <w:textAlignment w:val="auto"/>
              <w:outlineLvl w:val="9"/>
              <w:rPr>
                <w:rFonts w:hint="default" w:eastAsia="方正书宋_GBK"/>
                <w:lang w:val="en-US" w:eastAsia="zh-CN"/>
              </w:rPr>
            </w:pPr>
            <w:r>
              <w:rPr>
                <w:rFonts w:hint="eastAsia"/>
                <w:lang w:val="en-US" w:eastAsia="zh-CN"/>
              </w:rPr>
              <w:tab/>
            </w:r>
            <w:r>
              <w:rPr>
                <w:rFonts w:hint="eastAsia"/>
                <w:lang w:val="en-US" w:eastAsia="zh-CN"/>
              </w:rPr>
              <w:t>13</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r>
              <w:rPr>
                <w:rFonts w:hint="eastAsia"/>
                <w:lang w:val="en-US" w:eastAsia="zh-CN"/>
              </w:rPr>
              <w:t>0.215</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r>
              <w:rPr>
                <w:rFonts w:hint="eastAsia"/>
                <w:lang w:val="en-US" w:eastAsia="zh-CN"/>
              </w:rPr>
              <w:t>2.795</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r>
              <w:rPr>
                <w:rFonts w:hint="eastAsia"/>
                <w:lang w:val="en-US" w:eastAsia="zh-CN"/>
              </w:rPr>
              <w:t>2.795</w:t>
            </w: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c>
          <w:tcPr>
            <w:tcW w:w="986" w:type="dxa"/>
            <w:vAlign w:val="center"/>
          </w:tcPr>
          <w:p>
            <w:pPr>
              <w:pStyle w:val="11"/>
              <w:keepNext w:val="0"/>
              <w:keepLines w:val="0"/>
              <w:pageBreakBefore w:val="0"/>
              <w:widowControl/>
              <w:kinsoku/>
              <w:wordWrap/>
              <w:overflowPunct/>
              <w:topLinePunct w:val="0"/>
              <w:bidi w:val="0"/>
              <w:snapToGrid/>
              <w:textAlignment w:val="auto"/>
              <w:outlineLvl w:val="9"/>
            </w:pPr>
          </w:p>
        </w:tc>
      </w:tr>
    </w:tbl>
    <w:p>
      <w:pPr>
        <w:keepNext w:val="0"/>
        <w:keepLines w:val="0"/>
        <w:pageBreakBefore w:val="0"/>
        <w:widowControl/>
        <w:kinsoku/>
        <w:wordWrap/>
        <w:overflowPunct/>
        <w:topLinePunct w:val="0"/>
        <w:bidi w:val="0"/>
        <w:snapToGrid/>
        <w:spacing w:line="500" w:lineRule="exact"/>
        <w:ind w:firstLine="420"/>
        <w:textAlignment w:val="auto"/>
        <w:outlineLvl w:val="9"/>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bidi w:val="0"/>
        <w:snapToGrid/>
        <w:ind w:firstLine="640"/>
        <w:textAlignment w:val="auto"/>
        <w:outlineLvl w:val="9"/>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bookmarkStart w:id="19" w:name="_Toc15395"/>
      <w:r>
        <w:rPr>
          <w:rFonts w:hint="eastAsia" w:ascii="黑体" w:hAnsi="黑体" w:eastAsia="黑体" w:cs="黑体"/>
          <w:color w:val="000000"/>
          <w:sz w:val="32"/>
        </w:rPr>
        <w:t>七、国有资产信息</w:t>
      </w:r>
      <w:bookmarkEnd w:id="19"/>
    </w:p>
    <w:p>
      <w:pPr>
        <w:keepNext w:val="0"/>
        <w:keepLines w:val="0"/>
        <w:pageBreakBefore w:val="0"/>
        <w:widowControl/>
        <w:kinsoku/>
        <w:wordWrap/>
        <w:overflowPunct/>
        <w:topLinePunct w:val="0"/>
        <w:bidi w:val="0"/>
        <w:snapToGrid/>
        <w:spacing w:line="500" w:lineRule="exact"/>
        <w:ind w:firstLine="560"/>
        <w:textAlignment w:val="auto"/>
        <w:outlineLvl w:val="9"/>
      </w:pPr>
      <w:r>
        <w:rPr>
          <w:rFonts w:hint="eastAsia" w:eastAsia="方正仿宋_GBK"/>
          <w:color w:val="000000"/>
          <w:sz w:val="28"/>
        </w:rPr>
        <w:t>成安县看守所机关本级上年末固定资产金额为</w:t>
      </w:r>
      <w:r>
        <w:rPr>
          <w:rFonts w:hint="eastAsia" w:eastAsia="方正仿宋_GBK"/>
          <w:color w:val="000000"/>
          <w:sz w:val="28"/>
          <w:lang w:val="en-US" w:eastAsia="zh-CN"/>
        </w:rPr>
        <w:t>1136.2</w:t>
      </w:r>
      <w:r>
        <w:rPr>
          <w:rFonts w:hint="eastAsia"/>
          <w:sz w:val="27"/>
          <w:szCs w:val="27"/>
        </w:rPr>
        <w:t>万元</w:t>
      </w:r>
      <w:r>
        <w:rPr>
          <w:rFonts w:hint="eastAsia" w:eastAsia="方正仿宋_GBK"/>
          <w:color w:val="000000"/>
          <w:sz w:val="28"/>
        </w:rPr>
        <w:t>（详见下表）。本年度拟购置固定资产总额为</w:t>
      </w:r>
      <w:r>
        <w:rPr>
          <w:rFonts w:hint="eastAsia" w:eastAsia="方正仿宋_GBK"/>
          <w:color w:val="000000"/>
          <w:sz w:val="28"/>
          <w:lang w:val="en-US" w:eastAsia="zh-CN"/>
        </w:rPr>
        <w:t>2.795</w:t>
      </w:r>
      <w:r>
        <w:rPr>
          <w:rFonts w:hint="eastAsia"/>
          <w:sz w:val="27"/>
          <w:szCs w:val="27"/>
        </w:rPr>
        <w:t>万元</w:t>
      </w:r>
      <w:r>
        <w:rPr>
          <w:rFonts w:hint="eastAsia" w:eastAsia="方正仿宋_GBK"/>
          <w:color w:val="000000"/>
          <w:sz w:val="28"/>
        </w:rPr>
        <w:t>，已按要求列入政府采购预算，详见政府采购预算表。</w:t>
      </w:r>
    </w:p>
    <w:p>
      <w:pPr>
        <w:keepNext w:val="0"/>
        <w:keepLines w:val="0"/>
        <w:pageBreakBefore w:val="0"/>
        <w:widowControl/>
        <w:kinsoku/>
        <w:wordWrap/>
        <w:overflowPunct/>
        <w:topLinePunct w:val="0"/>
        <w:bidi w:val="0"/>
        <w:snapToGrid/>
        <w:jc w:val="center"/>
        <w:textAlignment w:val="auto"/>
        <w:outlineLvl w:val="1"/>
      </w:pPr>
      <w:r>
        <w:rPr>
          <w:rFonts w:hint="eastAsia"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bidi w:val="0"/>
              <w:snapToGrid/>
              <w:textAlignment w:val="auto"/>
              <w:outlineLvl w:val="9"/>
            </w:pPr>
            <w:r>
              <w:t>759001</w:t>
            </w:r>
            <w:r>
              <w:rPr>
                <w:rFonts w:hint="eastAsia"/>
              </w:rPr>
              <w:t>成安县看守所机关本级</w:t>
            </w:r>
          </w:p>
        </w:tc>
        <w:tc>
          <w:tcPr>
            <w:tcW w:w="9866" w:type="dxa"/>
            <w:gridSpan w:val="2"/>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bidi w:val="0"/>
              <w:snapToGrid/>
              <w:textAlignment w:val="auto"/>
              <w:outlineLvl w:val="9"/>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项</w:t>
            </w:r>
            <w:r>
              <w:t xml:space="preserve">   </w:t>
            </w:r>
            <w:r>
              <w:rPr>
                <w:rFonts w:hint="eastAsia"/>
              </w:rPr>
              <w:t>目</w:t>
            </w:r>
          </w:p>
        </w:tc>
        <w:tc>
          <w:tcPr>
            <w:tcW w:w="4933"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数量</w:t>
            </w:r>
          </w:p>
        </w:tc>
        <w:tc>
          <w:tcPr>
            <w:tcW w:w="4933" w:type="dxa"/>
            <w:vAlign w:val="center"/>
          </w:tcPr>
          <w:p>
            <w:pPr>
              <w:pStyle w:val="10"/>
              <w:keepNext w:val="0"/>
              <w:keepLines w:val="0"/>
              <w:pageBreakBefore w:val="0"/>
              <w:widowControl/>
              <w:kinsoku/>
              <w:wordWrap/>
              <w:overflowPunct/>
              <w:topLinePunct w:val="0"/>
              <w:bidi w:val="0"/>
              <w:snapToGrid/>
              <w:textAlignment w:val="auto"/>
              <w:outlineLvl w:val="9"/>
            </w:pPr>
            <w:r>
              <w:rPr>
                <w:rFonts w:hint="eastAsia"/>
              </w:rPr>
              <w:t>价值（金额单位：</w:t>
            </w:r>
            <w:r>
              <w:rPr>
                <w:rFonts w:hint="eastAsia"/>
                <w:lang w:val="en-US" w:eastAsia="zh-CN"/>
              </w:rPr>
              <w:t>万</w:t>
            </w:r>
            <w:r>
              <w:rPr>
                <w:rFonts w:hint="eastAsia"/>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keepNext w:val="0"/>
              <w:keepLines w:val="0"/>
              <w:pageBreakBefore w:val="0"/>
              <w:widowControl/>
              <w:kinsoku/>
              <w:wordWrap/>
              <w:overflowPunct/>
              <w:topLinePunct w:val="0"/>
              <w:bidi w:val="0"/>
              <w:snapToGrid/>
              <w:textAlignment w:val="auto"/>
              <w:outlineLvl w:val="9"/>
              <w:rPr>
                <w:rFonts w:hint="eastAsia"/>
              </w:rPr>
            </w:pPr>
            <w:r>
              <w:rPr>
                <w:rFonts w:hint="eastAsia"/>
                <w:b w:val="0"/>
                <w:bCs/>
                <w:lang w:eastAsia="zh-CN"/>
              </w:rPr>
              <w:t>资产总额</w:t>
            </w:r>
          </w:p>
        </w:tc>
        <w:tc>
          <w:tcPr>
            <w:tcW w:w="4933" w:type="dxa"/>
            <w:vAlign w:val="center"/>
          </w:tcPr>
          <w:p>
            <w:pPr>
              <w:pStyle w:val="10"/>
              <w:keepNext w:val="0"/>
              <w:keepLines w:val="0"/>
              <w:pageBreakBefore w:val="0"/>
              <w:widowControl/>
              <w:kinsoku/>
              <w:wordWrap/>
              <w:overflowPunct/>
              <w:topLinePunct w:val="0"/>
              <w:bidi w:val="0"/>
              <w:snapToGrid/>
              <w:textAlignment w:val="auto"/>
              <w:outlineLvl w:val="9"/>
              <w:rPr>
                <w:rFonts w:hint="default" w:eastAsia="方正书宋_GBK"/>
                <w:lang w:val="en-US" w:eastAsia="zh-CN"/>
              </w:rPr>
            </w:pPr>
            <w:r>
              <w:rPr>
                <w:rFonts w:hint="eastAsia"/>
                <w:lang w:val="en-US" w:eastAsia="zh-CN"/>
              </w:rPr>
              <w:t>--</w:t>
            </w:r>
          </w:p>
        </w:tc>
        <w:tc>
          <w:tcPr>
            <w:tcW w:w="4933" w:type="dxa"/>
            <w:vAlign w:val="center"/>
          </w:tcPr>
          <w:p>
            <w:pPr>
              <w:pStyle w:val="10"/>
              <w:keepNext w:val="0"/>
              <w:keepLines w:val="0"/>
              <w:pageBreakBefore w:val="0"/>
              <w:widowControl/>
              <w:kinsoku/>
              <w:wordWrap/>
              <w:overflowPunct/>
              <w:topLinePunct w:val="0"/>
              <w:bidi w:val="0"/>
              <w:snapToGrid/>
              <w:textAlignment w:val="auto"/>
              <w:outlineLvl w:val="9"/>
              <w:rPr>
                <w:rFonts w:hint="default" w:eastAsia="方正书宋_GBK"/>
                <w:lang w:val="en-US" w:eastAsia="zh-CN"/>
              </w:rPr>
            </w:pPr>
            <w:r>
              <w:rPr>
                <w:rFonts w:hint="eastAsia"/>
                <w:b w:val="0"/>
                <w:bCs/>
                <w:lang w:val="en-US" w:eastAsia="zh-CN"/>
              </w:rP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keepNext w:val="0"/>
              <w:keepLines w:val="0"/>
              <w:pageBreakBefore w:val="0"/>
              <w:widowControl/>
              <w:kinsoku/>
              <w:wordWrap/>
              <w:overflowPunct/>
              <w:topLinePunct w:val="0"/>
              <w:bidi w:val="0"/>
              <w:snapToGrid/>
              <w:textAlignment w:val="auto"/>
              <w:outlineLvl w:val="9"/>
              <w:rPr>
                <w:rFonts w:hint="default" w:eastAsia="方正书宋_GBK"/>
                <w:lang w:val="en-US" w:eastAsia="zh-CN"/>
              </w:rPr>
            </w:pPr>
            <w:r>
              <w:rPr>
                <w:rFonts w:hint="eastAsia"/>
                <w:lang w:val="en-US" w:eastAsia="zh-CN"/>
              </w:rPr>
              <w:t>1、房屋面积（平方米）</w:t>
            </w:r>
          </w:p>
        </w:tc>
        <w:tc>
          <w:tcPr>
            <w:tcW w:w="4933" w:type="dxa"/>
            <w:vAlign w:val="center"/>
          </w:tcPr>
          <w:p>
            <w:pPr>
              <w:pStyle w:val="13"/>
              <w:keepNext w:val="0"/>
              <w:keepLines w:val="0"/>
              <w:pageBreakBefore w:val="0"/>
              <w:widowControl/>
              <w:kinsoku/>
              <w:wordWrap/>
              <w:overflowPunct/>
              <w:topLinePunct w:val="0"/>
              <w:bidi w:val="0"/>
              <w:snapToGrid/>
              <w:textAlignment w:val="auto"/>
              <w:outlineLvl w:val="9"/>
              <w:rPr>
                <w:rFonts w:hint="default" w:eastAsia="方正书宋_GBK"/>
                <w:lang w:val="en-US" w:eastAsia="zh-CN"/>
              </w:rPr>
            </w:pPr>
            <w:r>
              <w:rPr>
                <w:rFonts w:hint="eastAsia"/>
                <w:lang w:val="en-US" w:eastAsia="zh-CN"/>
              </w:rPr>
              <w:t>7142</w:t>
            </w:r>
          </w:p>
        </w:tc>
        <w:tc>
          <w:tcPr>
            <w:tcW w:w="4933" w:type="dxa"/>
            <w:vAlign w:val="center"/>
          </w:tcPr>
          <w:p>
            <w:pPr>
              <w:pStyle w:val="11"/>
              <w:keepNext w:val="0"/>
              <w:keepLines w:val="0"/>
              <w:pageBreakBefore w:val="0"/>
              <w:widowControl/>
              <w:kinsoku/>
              <w:wordWrap/>
              <w:overflowPunct/>
              <w:topLinePunct w:val="0"/>
              <w:bidi w:val="0"/>
              <w:snapToGrid/>
              <w:jc w:val="center"/>
              <w:textAlignment w:val="auto"/>
              <w:outlineLvl w:val="9"/>
              <w:rPr>
                <w:rFonts w:hint="eastAsia" w:eastAsia="方正书宋_GBK"/>
                <w:lang w:eastAsia="zh-CN"/>
              </w:rPr>
            </w:pPr>
            <w:r>
              <w:rPr>
                <w:rFonts w:hint="eastAsia"/>
                <w:lang w:eastAsia="zh-CN"/>
              </w:rPr>
              <w:t>951</w:t>
            </w:r>
            <w:r>
              <w:rPr>
                <w:rFonts w:hint="eastAsia"/>
                <w:lang w:val="en-US" w:eastAsia="zh-CN"/>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keepNext w:val="0"/>
              <w:keepLines w:val="0"/>
              <w:pageBreakBefore w:val="0"/>
              <w:widowControl/>
              <w:kinsoku/>
              <w:wordWrap/>
              <w:overflowPunct/>
              <w:topLinePunct w:val="0"/>
              <w:bidi w:val="0"/>
              <w:snapToGrid/>
              <w:textAlignment w:val="auto"/>
              <w:outlineLvl w:val="9"/>
              <w:rPr>
                <w:rFonts w:hint="eastAsia" w:eastAsia="方正书宋_GBK"/>
                <w:lang w:eastAsia="zh-CN"/>
              </w:rPr>
            </w:pPr>
            <w:r>
              <w:rPr>
                <w:rFonts w:hint="eastAsia"/>
                <w:lang w:eastAsia="zh-CN"/>
              </w:rPr>
              <w:t>其中：办公面积（平方米）</w:t>
            </w:r>
          </w:p>
        </w:tc>
        <w:tc>
          <w:tcPr>
            <w:tcW w:w="4933" w:type="dxa"/>
            <w:vAlign w:val="center"/>
          </w:tcPr>
          <w:p>
            <w:pPr>
              <w:pStyle w:val="13"/>
              <w:keepNext w:val="0"/>
              <w:keepLines w:val="0"/>
              <w:pageBreakBefore w:val="0"/>
              <w:widowControl/>
              <w:kinsoku/>
              <w:wordWrap/>
              <w:overflowPunct/>
              <w:topLinePunct w:val="0"/>
              <w:bidi w:val="0"/>
              <w:snapToGrid/>
              <w:textAlignment w:val="auto"/>
              <w:outlineLvl w:val="9"/>
              <w:rPr>
                <w:rFonts w:hint="eastAsia" w:eastAsia="方正书宋_GBK"/>
                <w:lang w:eastAsia="zh-CN"/>
              </w:rPr>
            </w:pPr>
          </w:p>
        </w:tc>
        <w:tc>
          <w:tcPr>
            <w:tcW w:w="4933" w:type="dxa"/>
            <w:vAlign w:val="center"/>
          </w:tcPr>
          <w:p>
            <w:pPr>
              <w:pStyle w:val="11"/>
              <w:keepNext w:val="0"/>
              <w:keepLines w:val="0"/>
              <w:pageBreakBefore w:val="0"/>
              <w:widowControl/>
              <w:kinsoku/>
              <w:wordWrap/>
              <w:overflowPunct/>
              <w:topLinePunct w:val="0"/>
              <w:bidi w:val="0"/>
              <w:snapToGrid/>
              <w:jc w:val="center"/>
              <w:textAlignment w:val="auto"/>
              <w:outlineLvl w:val="9"/>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keepNext w:val="0"/>
              <w:keepLines w:val="0"/>
              <w:pageBreakBefore w:val="0"/>
              <w:widowControl/>
              <w:kinsoku/>
              <w:wordWrap/>
              <w:overflowPunct/>
              <w:topLinePunct w:val="0"/>
              <w:bidi w:val="0"/>
              <w:snapToGrid/>
              <w:textAlignment w:val="auto"/>
              <w:outlineLvl w:val="9"/>
              <w:rPr>
                <w:rFonts w:hint="default"/>
                <w:lang w:val="en-US" w:eastAsia="zh-CN"/>
              </w:rPr>
            </w:pPr>
            <w:r>
              <w:rPr>
                <w:rFonts w:hint="eastAsia"/>
                <w:lang w:val="en-US" w:eastAsia="zh-CN"/>
              </w:rPr>
              <w:t>2、车辆（台、辆）</w:t>
            </w:r>
          </w:p>
        </w:tc>
        <w:tc>
          <w:tcPr>
            <w:tcW w:w="4933" w:type="dxa"/>
            <w:vAlign w:val="center"/>
          </w:tcPr>
          <w:p>
            <w:pPr>
              <w:pStyle w:val="13"/>
              <w:keepNext w:val="0"/>
              <w:keepLines w:val="0"/>
              <w:pageBreakBefore w:val="0"/>
              <w:widowControl/>
              <w:kinsoku/>
              <w:wordWrap/>
              <w:overflowPunct/>
              <w:topLinePunct w:val="0"/>
              <w:bidi w:val="0"/>
              <w:snapToGrid/>
              <w:textAlignment w:val="auto"/>
              <w:outlineLvl w:val="9"/>
              <w:rPr>
                <w:rFonts w:hint="eastAsia"/>
                <w:lang w:eastAsia="zh-CN"/>
              </w:rPr>
            </w:pPr>
          </w:p>
        </w:tc>
        <w:tc>
          <w:tcPr>
            <w:tcW w:w="4933" w:type="dxa"/>
            <w:vAlign w:val="center"/>
          </w:tcPr>
          <w:p>
            <w:pPr>
              <w:pStyle w:val="11"/>
              <w:keepNext w:val="0"/>
              <w:keepLines w:val="0"/>
              <w:pageBreakBefore w:val="0"/>
              <w:widowControl/>
              <w:kinsoku/>
              <w:wordWrap/>
              <w:overflowPunct/>
              <w:topLinePunct w:val="0"/>
              <w:bidi w:val="0"/>
              <w:snapToGrid/>
              <w:jc w:val="center"/>
              <w:textAlignment w:val="auto"/>
              <w:outlineLvl w:val="9"/>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keepNext w:val="0"/>
              <w:keepLines w:val="0"/>
              <w:pageBreakBefore w:val="0"/>
              <w:widowControl/>
              <w:kinsoku/>
              <w:wordWrap/>
              <w:overflowPunct/>
              <w:topLinePunct w:val="0"/>
              <w:bidi w:val="0"/>
              <w:snapToGrid/>
              <w:textAlignment w:val="auto"/>
              <w:outlineLvl w:val="9"/>
              <w:rPr>
                <w:rFonts w:hint="default"/>
                <w:lang w:val="en-US" w:eastAsia="zh-CN"/>
              </w:rPr>
            </w:pPr>
            <w:r>
              <w:rPr>
                <w:rFonts w:hint="eastAsia" w:cs="方正书宋_GBK"/>
                <w:kern w:val="0"/>
                <w:sz w:val="21"/>
                <w:szCs w:val="24"/>
                <w:lang w:val="en-US" w:eastAsia="zh-CN" w:bidi="ar-SA"/>
              </w:rPr>
              <w:t>3、单价在50万以上的设备</w:t>
            </w:r>
          </w:p>
        </w:tc>
        <w:tc>
          <w:tcPr>
            <w:tcW w:w="4933" w:type="dxa"/>
            <w:vAlign w:val="center"/>
          </w:tcPr>
          <w:p>
            <w:pPr>
              <w:pStyle w:val="13"/>
              <w:keepNext w:val="0"/>
              <w:keepLines w:val="0"/>
              <w:pageBreakBefore w:val="0"/>
              <w:widowControl/>
              <w:kinsoku/>
              <w:wordWrap/>
              <w:overflowPunct/>
              <w:topLinePunct w:val="0"/>
              <w:bidi w:val="0"/>
              <w:snapToGrid/>
              <w:textAlignment w:val="auto"/>
              <w:outlineLvl w:val="9"/>
              <w:rPr>
                <w:rFonts w:hint="eastAsia"/>
                <w:lang w:eastAsia="zh-CN"/>
              </w:rPr>
            </w:pPr>
          </w:p>
        </w:tc>
        <w:tc>
          <w:tcPr>
            <w:tcW w:w="4933" w:type="dxa"/>
            <w:vAlign w:val="center"/>
          </w:tcPr>
          <w:p>
            <w:pPr>
              <w:pStyle w:val="11"/>
              <w:keepNext w:val="0"/>
              <w:keepLines w:val="0"/>
              <w:pageBreakBefore w:val="0"/>
              <w:widowControl/>
              <w:kinsoku/>
              <w:wordWrap/>
              <w:overflowPunct/>
              <w:topLinePunct w:val="0"/>
              <w:bidi w:val="0"/>
              <w:snapToGrid/>
              <w:jc w:val="center"/>
              <w:textAlignment w:val="auto"/>
              <w:outlineLvl w:val="9"/>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keepNext w:val="0"/>
              <w:keepLines w:val="0"/>
              <w:pageBreakBefore w:val="0"/>
              <w:widowControl/>
              <w:kinsoku/>
              <w:wordWrap/>
              <w:overflowPunct/>
              <w:topLinePunct w:val="0"/>
              <w:bidi w:val="0"/>
              <w:snapToGrid/>
              <w:textAlignment w:val="auto"/>
              <w:outlineLvl w:val="9"/>
              <w:rPr>
                <w:rFonts w:hint="eastAsia" w:eastAsia="方正书宋_GBK"/>
                <w:lang w:eastAsia="zh-CN"/>
              </w:rPr>
            </w:pPr>
            <w:r>
              <w:rPr>
                <w:rFonts w:hint="eastAsia" w:cs="方正书宋_GBK"/>
                <w:kern w:val="0"/>
                <w:sz w:val="21"/>
                <w:szCs w:val="24"/>
                <w:lang w:val="en-US" w:eastAsia="zh-CN" w:bidi="ar-SA"/>
              </w:rPr>
              <w:t>4、其他固定资产</w:t>
            </w:r>
          </w:p>
        </w:tc>
        <w:tc>
          <w:tcPr>
            <w:tcW w:w="4933" w:type="dxa"/>
            <w:vAlign w:val="center"/>
          </w:tcPr>
          <w:p>
            <w:pPr>
              <w:pStyle w:val="13"/>
              <w:keepNext w:val="0"/>
              <w:keepLines w:val="0"/>
              <w:pageBreakBefore w:val="0"/>
              <w:widowControl/>
              <w:kinsoku/>
              <w:wordWrap/>
              <w:overflowPunct/>
              <w:topLinePunct w:val="0"/>
              <w:bidi w:val="0"/>
              <w:snapToGrid/>
              <w:textAlignment w:val="auto"/>
              <w:outlineLvl w:val="9"/>
            </w:pPr>
          </w:p>
        </w:tc>
        <w:tc>
          <w:tcPr>
            <w:tcW w:w="4933" w:type="dxa"/>
            <w:vAlign w:val="center"/>
          </w:tcPr>
          <w:p>
            <w:pPr>
              <w:pStyle w:val="11"/>
              <w:keepNext w:val="0"/>
              <w:keepLines w:val="0"/>
              <w:pageBreakBefore w:val="0"/>
              <w:widowControl/>
              <w:kinsoku/>
              <w:wordWrap/>
              <w:overflowPunct/>
              <w:topLinePunct w:val="0"/>
              <w:bidi w:val="0"/>
              <w:snapToGrid/>
              <w:jc w:val="center"/>
              <w:textAlignment w:val="auto"/>
              <w:outlineLvl w:val="9"/>
              <w:rPr>
                <w:rFonts w:hint="default" w:eastAsia="方正书宋_GBK"/>
                <w:lang w:val="en-US" w:eastAsia="zh-CN"/>
              </w:rPr>
            </w:pPr>
            <w:r>
              <w:rPr>
                <w:rFonts w:hint="eastAsia"/>
                <w:lang w:eastAsia="zh-CN"/>
              </w:rPr>
              <w:t>124</w:t>
            </w:r>
            <w:r>
              <w:rPr>
                <w:rFonts w:hint="eastAsia"/>
                <w:lang w:val="en-US" w:eastAsia="zh-CN"/>
              </w:rPr>
              <w:t>.28</w:t>
            </w:r>
          </w:p>
        </w:tc>
      </w:tr>
    </w:tbl>
    <w:p>
      <w:pPr>
        <w:keepNext w:val="0"/>
        <w:keepLines w:val="0"/>
        <w:pageBreakBefore w:val="0"/>
        <w:widowControl/>
        <w:kinsoku/>
        <w:wordWrap/>
        <w:overflowPunct/>
        <w:topLinePunct w:val="0"/>
        <w:bidi w:val="0"/>
        <w:snapToGrid/>
        <w:ind w:firstLine="640"/>
        <w:textAlignment w:val="auto"/>
        <w:outlineLvl w:val="9"/>
        <w:rPr>
          <w:rFonts w:hint="eastAsia" w:ascii="黑体" w:hAnsi="黑体" w:eastAsia="黑体" w:cs="黑体"/>
          <w:color w:val="000000"/>
          <w:sz w:val="32"/>
        </w:rPr>
      </w:pPr>
      <w:r>
        <w:rPr>
          <w:rFonts w:eastAsia="方正仿宋_GBK"/>
          <w:color w:val="000000"/>
          <w:sz w:val="32"/>
        </w:rPr>
        <w:t xml:space="preserve"> </w:t>
      </w:r>
      <w:bookmarkStart w:id="20" w:name="_Toc10357"/>
    </w:p>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r>
        <w:rPr>
          <w:rFonts w:hint="eastAsia" w:ascii="黑体" w:hAnsi="黑体" w:eastAsia="黑体" w:cs="黑体"/>
          <w:color w:val="000000"/>
          <w:sz w:val="32"/>
        </w:rPr>
        <w:t>八、名词解释</w:t>
      </w:r>
      <w:bookmarkEnd w:id="20"/>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bidi w:val="0"/>
        <w:snapToGrid/>
        <w:spacing w:line="500" w:lineRule="exact"/>
        <w:ind w:firstLine="560"/>
        <w:textAlignment w:val="auto"/>
        <w:outlineLvl w:val="9"/>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ind w:firstLine="641"/>
        <w:textAlignment w:val="auto"/>
        <w:outlineLvl w:val="0"/>
      </w:pPr>
      <w:bookmarkStart w:id="21" w:name="_Toc15758"/>
      <w:r>
        <w:rPr>
          <w:rFonts w:hint="eastAsia" w:ascii="黑体" w:hAnsi="黑体" w:eastAsia="黑体" w:cs="黑体"/>
          <w:color w:val="000000"/>
          <w:sz w:val="32"/>
        </w:rPr>
        <w:t>九、其他需要说明的事项</w:t>
      </w:r>
      <w:bookmarkEnd w:id="21"/>
    </w:p>
    <w:p>
      <w:pPr>
        <w:keepNext w:val="0"/>
        <w:keepLines w:val="0"/>
        <w:pageBreakBefore w:val="0"/>
        <w:widowControl/>
        <w:kinsoku/>
        <w:wordWrap/>
        <w:overflowPunct/>
        <w:topLinePunct w:val="0"/>
        <w:bidi w:val="0"/>
        <w:snapToGrid/>
        <w:spacing w:line="500" w:lineRule="exact"/>
        <w:ind w:firstLine="560"/>
        <w:textAlignment w:val="auto"/>
        <w:outlineLvl w:val="9"/>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2C1CC9-FF99-4FC3-B4C5-896AB57AFD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embedRegular r:id="rId2" w:fontKey="{6DA52359-2C31-4BAA-8B00-AEEF00008325}"/>
  </w:font>
  <w:font w:name="方正小标宋_GBK">
    <w:panose1 w:val="02000000000000000000"/>
    <w:charset w:val="86"/>
    <w:family w:val="roman"/>
    <w:pitch w:val="default"/>
    <w:sig w:usb0="A00002BF" w:usb1="38CF7CFA" w:usb2="00082016" w:usb3="00000000" w:csb0="00040001" w:csb1="00000000"/>
    <w:embedRegular r:id="rId3" w:fontKey="{FB891586-E804-4F7B-9E74-454ADC3F56B5}"/>
  </w:font>
  <w:font w:name="方正书宋_GBK">
    <w:altName w:val="宋体"/>
    <w:panose1 w:val="00000000000000000000"/>
    <w:charset w:val="86"/>
    <w:family w:val="roman"/>
    <w:pitch w:val="default"/>
    <w:sig w:usb0="00000000" w:usb1="00000000" w:usb2="00000010" w:usb3="00000000" w:csb0="00040000" w:csb1="00000000"/>
    <w:embedRegular r:id="rId4" w:fontKey="{CB8AECAD-07E3-4BD5-A3D4-5886816DEEDD}"/>
  </w:font>
  <w:font w:name="方正楷体_GBK">
    <w:altName w:val="宋体"/>
    <w:panose1 w:val="00000000000000000000"/>
    <w:charset w:val="86"/>
    <w:family w:val="roman"/>
    <w:pitch w:val="default"/>
    <w:sig w:usb0="00000000" w:usb1="00000000" w:usb2="00000010" w:usb3="00000000" w:csb0="00040000" w:csb1="00000000"/>
    <w:embedRegular r:id="rId5" w:fontKey="{F3F4EEBE-5E56-43F0-813A-3207EE7AFC34}"/>
  </w:font>
  <w:font w:name="仿宋">
    <w:panose1 w:val="02010609060101010101"/>
    <w:charset w:val="86"/>
    <w:family w:val="modern"/>
    <w:pitch w:val="default"/>
    <w:sig w:usb0="800002BF" w:usb1="38CF7CFA" w:usb2="00000016" w:usb3="00000000" w:csb0="00040001" w:csb1="00000000"/>
    <w:embedRegular r:id="rId6" w:fontKey="{9596E958-BF7C-4E2A-BC01-A82703B1E610}"/>
  </w:font>
  <w:font w:name="仿宋_GB2312">
    <w:panose1 w:val="02010609030101010101"/>
    <w:charset w:val="86"/>
    <w:family w:val="modern"/>
    <w:pitch w:val="default"/>
    <w:sig w:usb0="00000001" w:usb1="080E0000" w:usb2="00000000" w:usb3="00000000" w:csb0="00040000" w:csb1="00000000"/>
    <w:embedRegular r:id="rId7" w:fontKey="{1EC9CCA3-7B4B-45A6-93F7-3CAEC6BA91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CDBCD"/>
    <w:multiLevelType w:val="singleLevel"/>
    <w:tmpl w:val="067CDBC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OTE1MjU1YzRiZTJmYWE2NjNjZDk5MzJmZDZjMzIifQ=="/>
    <w:docVar w:name="KSO_WPS_MARK_KEY" w:val="33960886-2502-46bb-a104-f82cb6034cc3"/>
  </w:docVars>
  <w:rsids>
    <w:rsidRoot w:val="005E54F7"/>
    <w:rsid w:val="003A1EFE"/>
    <w:rsid w:val="004E7093"/>
    <w:rsid w:val="005E54F7"/>
    <w:rsid w:val="006A660A"/>
    <w:rsid w:val="007F7CAC"/>
    <w:rsid w:val="03942A31"/>
    <w:rsid w:val="03C1490A"/>
    <w:rsid w:val="0413446B"/>
    <w:rsid w:val="05810D93"/>
    <w:rsid w:val="07571DAC"/>
    <w:rsid w:val="07B23486"/>
    <w:rsid w:val="07F77D37"/>
    <w:rsid w:val="09CD45A7"/>
    <w:rsid w:val="0E875705"/>
    <w:rsid w:val="10150A56"/>
    <w:rsid w:val="11EE155E"/>
    <w:rsid w:val="12CA5B28"/>
    <w:rsid w:val="16A20B69"/>
    <w:rsid w:val="17504F54"/>
    <w:rsid w:val="175B58E8"/>
    <w:rsid w:val="18CD0120"/>
    <w:rsid w:val="19502AFF"/>
    <w:rsid w:val="1AB66E72"/>
    <w:rsid w:val="1C166281"/>
    <w:rsid w:val="1C8036FB"/>
    <w:rsid w:val="1D100F23"/>
    <w:rsid w:val="1E1578D9"/>
    <w:rsid w:val="1F8D5E33"/>
    <w:rsid w:val="20D9162C"/>
    <w:rsid w:val="23937F21"/>
    <w:rsid w:val="23C71C0F"/>
    <w:rsid w:val="2A2C7B80"/>
    <w:rsid w:val="2AD510B6"/>
    <w:rsid w:val="2CCC20C0"/>
    <w:rsid w:val="2CD47AC4"/>
    <w:rsid w:val="2EFC0F4E"/>
    <w:rsid w:val="378329BE"/>
    <w:rsid w:val="3F327891"/>
    <w:rsid w:val="41FC5A56"/>
    <w:rsid w:val="43F56AA3"/>
    <w:rsid w:val="484C02D7"/>
    <w:rsid w:val="4C82117A"/>
    <w:rsid w:val="4DDB1FD0"/>
    <w:rsid w:val="4F8545A9"/>
    <w:rsid w:val="50546455"/>
    <w:rsid w:val="525C7843"/>
    <w:rsid w:val="54781CDE"/>
    <w:rsid w:val="57763155"/>
    <w:rsid w:val="583F3012"/>
    <w:rsid w:val="59A20812"/>
    <w:rsid w:val="5F10773B"/>
    <w:rsid w:val="60F96C11"/>
    <w:rsid w:val="61B74A96"/>
    <w:rsid w:val="6CD24E7A"/>
    <w:rsid w:val="6CD52274"/>
    <w:rsid w:val="6D0717E4"/>
    <w:rsid w:val="6EEB5D7F"/>
    <w:rsid w:val="6F5E47A3"/>
    <w:rsid w:val="70DA659D"/>
    <w:rsid w:val="72E92375"/>
    <w:rsid w:val="733E6DC5"/>
    <w:rsid w:val="75515C68"/>
    <w:rsid w:val="75B1071C"/>
    <w:rsid w:val="766D6FDB"/>
    <w:rsid w:val="78D6323C"/>
    <w:rsid w:val="7A2F74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styleId="3">
    <w:name w:val="toc 4"/>
    <w:basedOn w:val="1"/>
    <w:next w:val="1"/>
    <w:qFormat/>
    <w:uiPriority w:val="99"/>
    <w:pPr>
      <w:ind w:left="720"/>
    </w:pPr>
  </w:style>
  <w:style w:type="table" w:styleId="5">
    <w:name w:val="Table Grid"/>
    <w:basedOn w:val="4"/>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21"/>
    <w:basedOn w:val="1"/>
    <w:qFormat/>
    <w:uiPriority w:val="99"/>
    <w:pPr>
      <w:jc w:val="center"/>
    </w:pPr>
    <w:rPr>
      <w:rFonts w:ascii="方正小标宋_GBK" w:hAnsi="方正小标宋_GBK" w:eastAsia="方正小标宋_GBK" w:cs="方正小标宋_GBK"/>
    </w:rPr>
  </w:style>
  <w:style w:type="paragraph" w:customStyle="1" w:styleId="9">
    <w:name w:val="单元格样式20"/>
    <w:basedOn w:val="1"/>
    <w:qFormat/>
    <w:uiPriority w:val="99"/>
    <w:rPr>
      <w:rFonts w:ascii="方正小标宋_GBK" w:hAnsi="方正小标宋_GBK" w:eastAsia="方正小标宋_GBK" w:cs="方正小标宋_GBK"/>
    </w:rPr>
  </w:style>
  <w:style w:type="paragraph" w:customStyle="1" w:styleId="10">
    <w:name w:val="单元格样式1"/>
    <w:basedOn w:val="1"/>
    <w:qFormat/>
    <w:uiPriority w:val="99"/>
    <w:pPr>
      <w:jc w:val="center"/>
    </w:pPr>
    <w:rPr>
      <w:rFonts w:ascii="方正书宋_GBK" w:hAnsi="方正书宋_GBK" w:eastAsia="方正书宋_GBK" w:cs="方正书宋_GBK"/>
      <w:b/>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2"/>
    <w:basedOn w:val="1"/>
    <w:qFormat/>
    <w:uiPriority w:val="99"/>
    <w:rPr>
      <w:rFonts w:ascii="方正书宋_GBK" w:hAnsi="方正书宋_GBK" w:eastAsia="方正书宋_GBK" w:cs="方正书宋_GBK"/>
      <w:sz w:val="21"/>
    </w:rPr>
  </w:style>
  <w:style w:type="paragraph" w:customStyle="1" w:styleId="13">
    <w:name w:val="单元格样式3"/>
    <w:basedOn w:val="1"/>
    <w:qFormat/>
    <w:uiPriority w:val="99"/>
    <w:pPr>
      <w:jc w:val="center"/>
    </w:pPr>
    <w:rPr>
      <w:rFonts w:ascii="方正书宋_GBK" w:hAnsi="方正书宋_GBK" w:eastAsia="方正书宋_GBK" w:cs="方正书宋_GBK"/>
      <w:sz w:val="21"/>
    </w:rPr>
  </w:style>
  <w:style w:type="paragraph" w:customStyle="1" w:styleId="14">
    <w:name w:val="单元格样式6"/>
    <w:basedOn w:val="1"/>
    <w:qFormat/>
    <w:uiPriority w:val="99"/>
    <w:pPr>
      <w:jc w:val="center"/>
    </w:pPr>
    <w:rPr>
      <w:rFonts w:ascii="方正书宋_GBK" w:hAnsi="方正书宋_GBK" w:eastAsia="方正书宋_GBK" w:cs="方正书宋_GBK"/>
      <w:b/>
      <w:sz w:val="21"/>
    </w:rPr>
  </w:style>
  <w:style w:type="paragraph" w:customStyle="1" w:styleId="15">
    <w:name w:val="单元格样式7"/>
    <w:basedOn w:val="1"/>
    <w:qFormat/>
    <w:uiPriority w:val="99"/>
    <w:pPr>
      <w:jc w:val="right"/>
    </w:pPr>
    <w:rPr>
      <w:rFonts w:ascii="方正书宋_GBK" w:hAnsi="方正书宋_GBK" w:eastAsia="方正书宋_GBK" w:cs="方正书宋_GBK"/>
      <w:b/>
      <w:sz w:val="21"/>
    </w:rPr>
  </w:style>
  <w:style w:type="paragraph" w:customStyle="1" w:styleId="16">
    <w:name w:val="单元格样式5"/>
    <w:basedOn w:val="1"/>
    <w:qFormat/>
    <w:uiPriority w:val="99"/>
    <w:rPr>
      <w:rFonts w:ascii="方正书宋_GBK" w:hAnsi="方正书宋_GBK" w:eastAsia="方正书宋_GBK" w:cs="方正书宋_GBK"/>
      <w:b/>
      <w:sz w:val="21"/>
    </w:rPr>
  </w:style>
  <w:style w:type="paragraph" w:customStyle="1" w:styleId="17">
    <w:name w:val="插入文本样式-插入单位职责文件"/>
    <w:basedOn w:val="1"/>
    <w:qFormat/>
    <w:uiPriority w:val="99"/>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1">
    <w:name w:val="单元格样式23"/>
    <w:basedOn w:val="1"/>
    <w:qFormat/>
    <w:uiPriority w:val="99"/>
    <w:pPr>
      <w:jc w:val="right"/>
    </w:pPr>
    <w:rPr>
      <w:rFonts w:ascii="方正书宋_GBK" w:hAnsi="方正书宋_GBK" w:eastAsia="方正书宋_GBK" w:cs="方正书宋_GBK"/>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19</Pages>
  <Words>3786</Words>
  <Characters>4415</Characters>
  <Lines>0</Lines>
  <Paragraphs>0</Paragraphs>
  <TotalTime>1</TotalTime>
  <ScaleCrop>false</ScaleCrop>
  <LinksUpToDate>false</LinksUpToDate>
  <CharactersWithSpaces>4522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2024-03-06T02:47:00Z</dcterms:created>
  <dc:creator>Administrator</dc:creator>
  <cp:lastModifiedBy>Administrator</cp:lastModifiedBy>
  <dcterms:modified xsi:type="dcterms:W3CDTF">2024-05-22T07:09:08Z</dcterms:modified>
  <dc:title>2024年单位预算信息公开目录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DA2A3344E4B64413A2604AD3537F6070_13</vt:lpwstr>
  </property>
</Properties>
</file>