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rPr>
          <w:rFonts w:ascii="黑体" w:hAnsi="黑体" w:eastAsia="黑体" w:cs="黑体"/>
          <w:b/>
          <w:color w:val="000000"/>
          <w:sz w:val="44"/>
        </w:rPr>
      </w:pPr>
      <w:r>
        <w:rPr>
          <w:rFonts w:hint="eastAsia" w:ascii="黑体" w:hAnsi="黑体" w:eastAsia="黑体" w:cs="黑体"/>
          <w:b/>
          <w:color w:val="000000"/>
          <w:sz w:val="44"/>
          <w:lang w:val="en-US" w:eastAsia="zh-CN"/>
        </w:rPr>
        <w:t>562成安县政法委</w:t>
      </w:r>
    </w:p>
    <w:p>
      <w:pPr>
        <w:spacing w:before="0" w:after="0" w:line="240" w:lineRule="auto"/>
        <w:ind w:firstLine="0"/>
        <w:jc w:val="center"/>
        <w:outlineLvl w:val="0"/>
      </w:pP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4"/>
        <w:tabs>
          <w:tab w:val="right" w:leader="dot" w:pos="14562"/>
        </w:tabs>
      </w:pPr>
      <w:r>
        <w:fldChar w:fldCharType="begin"/>
      </w:r>
      <w:r>
        <w:instrText xml:space="preserve"> HYPERLINK \l "_Toc_2_2_0000000002" </w:instrText>
      </w:r>
      <w:r>
        <w:fldChar w:fldCharType="separate"/>
      </w:r>
      <w:r>
        <w:t>部门预算收入总表</w:t>
      </w:r>
      <w:r>
        <w:tab/>
      </w:r>
      <w:r>
        <w:rPr>
          <w:rFonts w:hint="eastAsia"/>
          <w:lang w:val="en-US" w:eastAsia="zh-CN"/>
        </w:rPr>
        <w:t>4</w:t>
      </w:r>
      <w:r>
        <w:fldChar w:fldCharType="end"/>
      </w:r>
    </w:p>
    <w:p>
      <w:pPr>
        <w:pStyle w:val="4"/>
        <w:tabs>
          <w:tab w:val="right" w:leader="dot" w:pos="14562"/>
        </w:tabs>
      </w:pPr>
      <w:r>
        <w:fldChar w:fldCharType="begin"/>
      </w:r>
      <w:r>
        <w:instrText xml:space="preserve"> HYPERLINK \l "_Toc_2_2_0000000003" </w:instrText>
      </w:r>
      <w:r>
        <w:fldChar w:fldCharType="separate"/>
      </w:r>
      <w:r>
        <w:t>部门预算支出总表</w:t>
      </w:r>
      <w:r>
        <w:tab/>
      </w:r>
      <w:r>
        <w:rPr>
          <w:rFonts w:hint="eastAsia"/>
          <w:lang w:val="en-US" w:eastAsia="zh-CN"/>
        </w:rPr>
        <w:t>9</w:t>
      </w:r>
      <w:r>
        <w:fldChar w:fldCharType="end"/>
      </w:r>
    </w:p>
    <w:p>
      <w:pPr>
        <w:pStyle w:val="4"/>
        <w:tabs>
          <w:tab w:val="right" w:leader="dot" w:pos="14562"/>
        </w:tabs>
        <w:rPr>
          <w:rFonts w:hint="eastAsia" w:eastAsia="方正仿宋_GBK"/>
          <w:lang w:val="en-US" w:eastAsia="zh-CN"/>
        </w:rPr>
      </w:pPr>
      <w:r>
        <w:fldChar w:fldCharType="begin"/>
      </w:r>
      <w:r>
        <w:instrText xml:space="preserve"> HYPERLINK \l "_Toc_2_2_0000000004" </w:instrText>
      </w:r>
      <w:r>
        <w:fldChar w:fldCharType="separate"/>
      </w:r>
      <w:r>
        <w:t>部门预算财政拨款收支总表</w:t>
      </w:r>
      <w:r>
        <w:tab/>
      </w:r>
      <w:r>
        <w:rPr>
          <w:rFonts w:hint="eastAsia"/>
          <w:lang w:val="en-US" w:eastAsia="zh-CN"/>
        </w:rPr>
        <w:t>1</w:t>
      </w:r>
      <w:r>
        <w:fldChar w:fldCharType="end"/>
      </w:r>
      <w:r>
        <w:rPr>
          <w:rFonts w:hint="eastAsia"/>
          <w:lang w:val="en-US" w:eastAsia="zh-CN"/>
        </w:rPr>
        <w:t>2</w:t>
      </w:r>
    </w:p>
    <w:p>
      <w:pPr>
        <w:pStyle w:val="4"/>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t>部门预算一般公共预算财政拨款支出表</w:t>
      </w:r>
      <w:r>
        <w:tab/>
      </w:r>
      <w:r>
        <w:rPr>
          <w:rFonts w:hint="eastAsia"/>
          <w:lang w:val="en-US" w:eastAsia="zh-CN"/>
        </w:rPr>
        <w:t>1</w:t>
      </w:r>
      <w:r>
        <w:fldChar w:fldCharType="end"/>
      </w:r>
      <w:r>
        <w:rPr>
          <w:rFonts w:hint="eastAsia"/>
          <w:lang w:val="en-US" w:eastAsia="zh-CN"/>
        </w:rPr>
        <w:t>8</w:t>
      </w:r>
    </w:p>
    <w:p>
      <w:pPr>
        <w:pStyle w:val="4"/>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t>部门预算一般公共预算财政拨款基本支出表</w:t>
      </w:r>
      <w:r>
        <w:tab/>
      </w:r>
      <w:r>
        <w:rPr>
          <w:rFonts w:hint="eastAsia"/>
          <w:lang w:val="en-US" w:eastAsia="zh-CN"/>
        </w:rPr>
        <w:t>2</w:t>
      </w:r>
      <w:r>
        <w:fldChar w:fldCharType="end"/>
      </w:r>
      <w:r>
        <w:rPr>
          <w:rFonts w:hint="eastAsia"/>
          <w:lang w:val="en-US" w:eastAsia="zh-CN"/>
        </w:rPr>
        <w:t>0</w:t>
      </w:r>
    </w:p>
    <w:p>
      <w:pPr>
        <w:pStyle w:val="4"/>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部门预算政府性基金预算财政拨款支出表</w:t>
      </w:r>
      <w:r>
        <w:tab/>
      </w:r>
      <w:r>
        <w:rPr>
          <w:rFonts w:hint="eastAsia"/>
          <w:lang w:val="en-US" w:eastAsia="zh-CN"/>
        </w:rPr>
        <w:t>2</w:t>
      </w:r>
      <w:r>
        <w:fldChar w:fldCharType="end"/>
      </w:r>
      <w:r>
        <w:rPr>
          <w:rFonts w:hint="eastAsia"/>
          <w:lang w:val="en-US" w:eastAsia="zh-CN"/>
        </w:rPr>
        <w:t>2</w:t>
      </w:r>
    </w:p>
    <w:p>
      <w:pPr>
        <w:pStyle w:val="4"/>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部门预算国有资本经营预算财政拨款支出表</w:t>
      </w:r>
      <w:r>
        <w:tab/>
      </w:r>
      <w:r>
        <w:rPr>
          <w:rFonts w:hint="eastAsia"/>
          <w:lang w:val="en-US" w:eastAsia="zh-CN"/>
        </w:rPr>
        <w:t>2</w:t>
      </w:r>
      <w:r>
        <w:fldChar w:fldCharType="end"/>
      </w:r>
      <w:r>
        <w:rPr>
          <w:rFonts w:hint="eastAsia"/>
          <w:lang w:val="en-US" w:eastAsia="zh-CN"/>
        </w:rPr>
        <w:t>3</w:t>
      </w:r>
    </w:p>
    <w:p>
      <w:pPr>
        <w:pStyle w:val="4"/>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部门预算财政拨款“三公”经费支出表</w:t>
      </w:r>
      <w:r>
        <w:tab/>
      </w:r>
      <w:r>
        <w:rPr>
          <w:rFonts w:hint="eastAsia"/>
          <w:lang w:val="en-US" w:eastAsia="zh-CN"/>
        </w:rPr>
        <w:t>2</w:t>
      </w:r>
      <w:r>
        <w:fldChar w:fldCharType="end"/>
      </w:r>
      <w:r>
        <w:rPr>
          <w:rFonts w:hint="eastAsia"/>
          <w:lang w:val="en-US" w:eastAsia="zh-CN"/>
        </w:rPr>
        <w:t>4</w:t>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4"/>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2</w:t>
      </w:r>
      <w:r>
        <w:fldChar w:fldCharType="end"/>
      </w:r>
      <w:r>
        <w:rPr>
          <w:rFonts w:hint="eastAsia"/>
          <w:lang w:val="en-US" w:eastAsia="zh-CN"/>
        </w:rPr>
        <w:t>5</w:t>
      </w:r>
    </w:p>
    <w:p>
      <w:pPr>
        <w:pStyle w:val="4"/>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2</w:t>
      </w:r>
      <w:r>
        <w:fldChar w:fldCharType="end"/>
      </w:r>
      <w:r>
        <w:rPr>
          <w:rFonts w:hint="eastAsia"/>
          <w:lang w:val="en-US" w:eastAsia="zh-CN"/>
        </w:rPr>
        <w:t>6</w:t>
      </w:r>
    </w:p>
    <w:p>
      <w:pPr>
        <w:pStyle w:val="4"/>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2</w:t>
      </w:r>
      <w:r>
        <w:fldChar w:fldCharType="end"/>
      </w:r>
      <w:r>
        <w:rPr>
          <w:rFonts w:hint="eastAsia"/>
          <w:lang w:val="en-US" w:eastAsia="zh-CN"/>
        </w:rPr>
        <w:t>6</w:t>
      </w:r>
    </w:p>
    <w:p>
      <w:pPr>
        <w:pStyle w:val="4"/>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2</w:t>
      </w:r>
      <w:r>
        <w:fldChar w:fldCharType="end"/>
      </w:r>
      <w:r>
        <w:rPr>
          <w:rFonts w:hint="eastAsia"/>
          <w:lang w:val="en-US" w:eastAsia="zh-CN"/>
        </w:rPr>
        <w:t>7</w:t>
      </w:r>
    </w:p>
    <w:p>
      <w:pPr>
        <w:pStyle w:val="4"/>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五、部门整体绩效目标</w:t>
      </w:r>
      <w:r>
        <w:tab/>
      </w:r>
      <w:r>
        <w:rPr>
          <w:rFonts w:hint="eastAsia"/>
          <w:lang w:val="en-US" w:eastAsia="zh-CN"/>
        </w:rPr>
        <w:t>2</w:t>
      </w:r>
      <w:r>
        <w:fldChar w:fldCharType="end"/>
      </w:r>
      <w:r>
        <w:rPr>
          <w:rFonts w:hint="eastAsia"/>
          <w:lang w:val="en-US" w:eastAsia="zh-CN"/>
        </w:rPr>
        <w:t>7</w:t>
      </w:r>
    </w:p>
    <w:p>
      <w:pPr>
        <w:pStyle w:val="4"/>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六、部门主管专项资金预算安排情况及绩效目标</w:t>
      </w:r>
      <w:r>
        <w:tab/>
      </w:r>
      <w:r>
        <w:rPr>
          <w:rFonts w:hint="eastAsia"/>
          <w:lang w:val="en-US" w:eastAsia="zh-CN"/>
        </w:rPr>
        <w:t>2</w:t>
      </w:r>
      <w:r>
        <w:fldChar w:fldCharType="end"/>
      </w:r>
      <w:r>
        <w:rPr>
          <w:rFonts w:hint="eastAsia"/>
          <w:lang w:val="en-US" w:eastAsia="zh-CN"/>
        </w:rPr>
        <w:t>9</w:t>
      </w:r>
    </w:p>
    <w:p>
      <w:pPr>
        <w:pStyle w:val="4"/>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七、部门项目预算安排情况及绩效目标</w:t>
      </w:r>
      <w:r>
        <w:tab/>
      </w:r>
      <w:r>
        <w:rPr>
          <w:rFonts w:hint="eastAsia"/>
          <w:lang w:val="en-US" w:eastAsia="zh-CN"/>
        </w:rPr>
        <w:t>3</w:t>
      </w:r>
      <w:r>
        <w:fldChar w:fldCharType="end"/>
      </w:r>
      <w:r>
        <w:rPr>
          <w:rFonts w:hint="eastAsia"/>
          <w:lang w:val="en-US" w:eastAsia="zh-CN"/>
        </w:rPr>
        <w:t>0</w:t>
      </w:r>
    </w:p>
    <w:p>
      <w:pPr>
        <w:pStyle w:val="4"/>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八、政府采购预算情况</w:t>
      </w:r>
      <w:r>
        <w:tab/>
      </w:r>
      <w:r>
        <w:rPr>
          <w:rFonts w:hint="eastAsia"/>
          <w:lang w:val="en-US" w:eastAsia="zh-CN"/>
        </w:rPr>
        <w:t>3</w:t>
      </w:r>
      <w:r>
        <w:fldChar w:fldCharType="end"/>
      </w:r>
      <w:r>
        <w:rPr>
          <w:rFonts w:hint="eastAsia"/>
          <w:lang w:val="en-US" w:eastAsia="zh-CN"/>
        </w:rPr>
        <w:t>8</w:t>
      </w:r>
    </w:p>
    <w:p>
      <w:pPr>
        <w:pStyle w:val="4"/>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九、国有资产信息</w:t>
      </w:r>
      <w:r>
        <w:tab/>
      </w:r>
      <w:r>
        <w:rPr>
          <w:rFonts w:hint="eastAsia"/>
          <w:lang w:val="en-US" w:eastAsia="zh-CN"/>
        </w:rPr>
        <w:t>3</w:t>
      </w:r>
      <w:r>
        <w:fldChar w:fldCharType="end"/>
      </w:r>
      <w:r>
        <w:rPr>
          <w:rFonts w:hint="eastAsia"/>
          <w:lang w:val="en-US" w:eastAsia="zh-CN"/>
        </w:rPr>
        <w:t>8</w:t>
      </w:r>
    </w:p>
    <w:p>
      <w:pPr>
        <w:pStyle w:val="4"/>
        <w:tabs>
          <w:tab w:val="right" w:leader="dot" w:pos="14562"/>
        </w:tabs>
        <w:rPr>
          <w:rFonts w:hint="eastAsia" w:eastAsia="方正仿宋_GBK"/>
          <w:lang w:val="en-US" w:eastAsia="zh-CN"/>
        </w:rPr>
      </w:pPr>
      <w:r>
        <w:fldChar w:fldCharType="begin"/>
      </w:r>
      <w:r>
        <w:instrText xml:space="preserve"> HYPERLINK \l "_Toc_3_3_0000000019" </w:instrText>
      </w:r>
      <w:r>
        <w:fldChar w:fldCharType="separate"/>
      </w:r>
      <w:r>
        <w:t>十、名词解释</w:t>
      </w:r>
      <w:r>
        <w:tab/>
      </w:r>
      <w:r>
        <w:rPr>
          <w:rFonts w:hint="eastAsia"/>
          <w:lang w:val="en-US" w:eastAsia="zh-CN"/>
        </w:rPr>
        <w:t>3</w:t>
      </w:r>
      <w:r>
        <w:fldChar w:fldCharType="end"/>
      </w:r>
      <w:r>
        <w:rPr>
          <w:rFonts w:hint="eastAsia"/>
          <w:lang w:val="en-US" w:eastAsia="zh-CN"/>
        </w:rPr>
        <w:t>9</w:t>
      </w:r>
    </w:p>
    <w:p>
      <w:pPr>
        <w:pStyle w:val="4"/>
        <w:tabs>
          <w:tab w:val="right" w:leader="dot" w:pos="14562"/>
        </w:tabs>
        <w:rPr>
          <w:rFonts w:hint="eastAsia" w:eastAsia="方正仿宋_GBK"/>
          <w:lang w:val="en-US" w:eastAsia="zh-CN"/>
        </w:rPr>
      </w:pPr>
      <w:r>
        <w:fldChar w:fldCharType="begin"/>
      </w:r>
      <w:r>
        <w:instrText xml:space="preserve"> HYPERLINK \l "_Toc_3_3_0000000020" </w:instrText>
      </w:r>
      <w:r>
        <w:fldChar w:fldCharType="separate"/>
      </w:r>
      <w:r>
        <w:t>十一、其他需要说明的事项</w:t>
      </w:r>
      <w:r>
        <w:tab/>
      </w:r>
      <w:r>
        <w:rPr>
          <w:rFonts w:hint="eastAsia"/>
          <w:lang w:val="en-US" w:eastAsia="zh-CN"/>
        </w:rPr>
        <w:t>4</w:t>
      </w:r>
      <w:r>
        <w:fldChar w:fldCharType="end"/>
      </w:r>
      <w:r>
        <w:rPr>
          <w:rFonts w:hint="eastAsia"/>
          <w:lang w:val="en-US" w:eastAsia="zh-CN"/>
        </w:rPr>
        <w:t>0</w:t>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562成安县政法委</w:t>
            </w:r>
          </w:p>
        </w:tc>
        <w:tc>
          <w:tcPr>
            <w:tcW w:w="2126" w:type="dxa"/>
            <w:tcBorders>
              <w:top w:val="single" w:color="FFFFFF" w:sz="6" w:space="0"/>
              <w:left w:val="single" w:color="FFFFFF" w:sz="6" w:space="0"/>
              <w:right w:val="single" w:color="FFFFFF" w:sz="6" w:space="0"/>
            </w:tcBorders>
            <w:vAlign w:val="center"/>
          </w:tcPr>
          <w:p>
            <w:pPr>
              <w:pStyle w:val="10"/>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381.09</w:t>
            </w:r>
          </w:p>
        </w:tc>
        <w:tc>
          <w:tcPr>
            <w:tcW w:w="4535" w:type="dxa"/>
            <w:vAlign w:val="center"/>
          </w:tcPr>
          <w:p>
            <w:pPr>
              <w:pStyle w:val="14"/>
            </w:pPr>
            <w:r>
              <w:t>一、一般公共服务支出</w:t>
            </w:r>
          </w:p>
        </w:tc>
        <w:tc>
          <w:tcPr>
            <w:tcW w:w="2126" w:type="dxa"/>
            <w:vAlign w:val="center"/>
          </w:tcPr>
          <w:p>
            <w:pPr>
              <w:pStyle w:val="13"/>
            </w:pPr>
            <w:r>
              <w:t>325.60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五、单位资金</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29.85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10.64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381.09</w:t>
            </w:r>
          </w:p>
        </w:tc>
        <w:tc>
          <w:tcPr>
            <w:tcW w:w="4535" w:type="dxa"/>
            <w:vAlign w:val="center"/>
          </w:tcPr>
          <w:p>
            <w:pPr>
              <w:pStyle w:val="16"/>
            </w:pPr>
            <w:r>
              <w:t>本年支出合计</w:t>
            </w:r>
          </w:p>
        </w:tc>
        <w:tc>
          <w:tcPr>
            <w:tcW w:w="2126" w:type="dxa"/>
            <w:vAlign w:val="center"/>
          </w:tcPr>
          <w:p>
            <w:pPr>
              <w:pStyle w:val="17"/>
            </w:pPr>
            <w:r>
              <w:t>381.09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381.09</w:t>
            </w:r>
          </w:p>
        </w:tc>
        <w:tc>
          <w:tcPr>
            <w:tcW w:w="4535" w:type="dxa"/>
            <w:vAlign w:val="center"/>
          </w:tcPr>
          <w:p>
            <w:pPr>
              <w:pStyle w:val="16"/>
            </w:pPr>
            <w:r>
              <w:t>支出总计</w:t>
            </w:r>
          </w:p>
        </w:tc>
        <w:tc>
          <w:tcPr>
            <w:tcW w:w="2126" w:type="dxa"/>
            <w:vAlign w:val="center"/>
          </w:tcPr>
          <w:p>
            <w:pPr>
              <w:pStyle w:val="17"/>
            </w:pPr>
            <w:r>
              <w:t>381.09</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562成安县政法委</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381.09</w:t>
            </w:r>
          </w:p>
        </w:tc>
        <w:tc>
          <w:tcPr>
            <w:tcW w:w="1134" w:type="dxa"/>
            <w:vAlign w:val="center"/>
          </w:tcPr>
          <w:p>
            <w:pPr>
              <w:pStyle w:val="17"/>
            </w:pPr>
            <w:r>
              <w:t>381.09</w:t>
            </w:r>
          </w:p>
        </w:tc>
        <w:tc>
          <w:tcPr>
            <w:tcW w:w="1134" w:type="dxa"/>
            <w:vAlign w:val="center"/>
          </w:tcPr>
          <w:p>
            <w:pPr>
              <w:pStyle w:val="17"/>
            </w:pPr>
            <w:r>
              <w:t>381.09</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201</w:t>
            </w:r>
          </w:p>
        </w:tc>
        <w:tc>
          <w:tcPr>
            <w:tcW w:w="1559" w:type="dxa"/>
            <w:vAlign w:val="center"/>
          </w:tcPr>
          <w:p>
            <w:pPr>
              <w:pStyle w:val="14"/>
            </w:pPr>
            <w:r>
              <w:t>一般公共服务支出</w:t>
            </w:r>
          </w:p>
        </w:tc>
        <w:tc>
          <w:tcPr>
            <w:tcW w:w="1134" w:type="dxa"/>
            <w:vAlign w:val="center"/>
          </w:tcPr>
          <w:p>
            <w:pPr>
              <w:pStyle w:val="13"/>
            </w:pPr>
            <w:r>
              <w:t>325.60</w:t>
            </w:r>
          </w:p>
        </w:tc>
        <w:tc>
          <w:tcPr>
            <w:tcW w:w="1134" w:type="dxa"/>
            <w:vAlign w:val="center"/>
          </w:tcPr>
          <w:p>
            <w:pPr>
              <w:pStyle w:val="13"/>
            </w:pPr>
            <w:r>
              <w:t>325.60</w:t>
            </w:r>
          </w:p>
        </w:tc>
        <w:tc>
          <w:tcPr>
            <w:tcW w:w="1134" w:type="dxa"/>
            <w:vAlign w:val="center"/>
          </w:tcPr>
          <w:p>
            <w:pPr>
              <w:pStyle w:val="13"/>
            </w:pPr>
            <w:r>
              <w:t>325.60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20131</w:t>
            </w:r>
          </w:p>
        </w:tc>
        <w:tc>
          <w:tcPr>
            <w:tcW w:w="1559" w:type="dxa"/>
            <w:vAlign w:val="center"/>
          </w:tcPr>
          <w:p>
            <w:pPr>
              <w:pStyle w:val="14"/>
            </w:pPr>
            <w:r>
              <w:t>党委办公厅（室）及相关机构事务</w:t>
            </w:r>
          </w:p>
        </w:tc>
        <w:tc>
          <w:tcPr>
            <w:tcW w:w="1134" w:type="dxa"/>
            <w:vAlign w:val="center"/>
          </w:tcPr>
          <w:p>
            <w:pPr>
              <w:pStyle w:val="13"/>
            </w:pPr>
            <w:r>
              <w:t>194.20</w:t>
            </w:r>
          </w:p>
        </w:tc>
        <w:tc>
          <w:tcPr>
            <w:tcW w:w="1134" w:type="dxa"/>
            <w:vAlign w:val="center"/>
          </w:tcPr>
          <w:p>
            <w:pPr>
              <w:pStyle w:val="13"/>
            </w:pPr>
            <w:r>
              <w:t>194.20</w:t>
            </w:r>
          </w:p>
        </w:tc>
        <w:tc>
          <w:tcPr>
            <w:tcW w:w="1134" w:type="dxa"/>
            <w:vAlign w:val="center"/>
          </w:tcPr>
          <w:p>
            <w:pPr>
              <w:pStyle w:val="13"/>
            </w:pPr>
            <w:r>
              <w:t>194.20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2013101</w:t>
            </w:r>
          </w:p>
        </w:tc>
        <w:tc>
          <w:tcPr>
            <w:tcW w:w="1559" w:type="dxa"/>
            <w:vAlign w:val="center"/>
          </w:tcPr>
          <w:p>
            <w:pPr>
              <w:pStyle w:val="14"/>
            </w:pPr>
            <w:r>
              <w:t>行政运行</w:t>
            </w:r>
          </w:p>
        </w:tc>
        <w:tc>
          <w:tcPr>
            <w:tcW w:w="1134" w:type="dxa"/>
            <w:vAlign w:val="center"/>
          </w:tcPr>
          <w:p>
            <w:pPr>
              <w:pStyle w:val="13"/>
            </w:pPr>
            <w:r>
              <w:t>194.20</w:t>
            </w:r>
          </w:p>
        </w:tc>
        <w:tc>
          <w:tcPr>
            <w:tcW w:w="1134" w:type="dxa"/>
            <w:vAlign w:val="center"/>
          </w:tcPr>
          <w:p>
            <w:pPr>
              <w:pStyle w:val="13"/>
            </w:pPr>
            <w:r>
              <w:t>194.20</w:t>
            </w:r>
          </w:p>
        </w:tc>
        <w:tc>
          <w:tcPr>
            <w:tcW w:w="1134" w:type="dxa"/>
            <w:vAlign w:val="center"/>
          </w:tcPr>
          <w:p>
            <w:pPr>
              <w:pStyle w:val="13"/>
            </w:pPr>
            <w:r>
              <w:t>194.20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20136</w:t>
            </w:r>
          </w:p>
        </w:tc>
        <w:tc>
          <w:tcPr>
            <w:tcW w:w="1559" w:type="dxa"/>
            <w:vAlign w:val="center"/>
          </w:tcPr>
          <w:p>
            <w:pPr>
              <w:pStyle w:val="14"/>
            </w:pPr>
            <w:r>
              <w:t>其他共产党事务支出</w:t>
            </w:r>
          </w:p>
        </w:tc>
        <w:tc>
          <w:tcPr>
            <w:tcW w:w="1134" w:type="dxa"/>
            <w:vAlign w:val="center"/>
          </w:tcPr>
          <w:p>
            <w:pPr>
              <w:pStyle w:val="13"/>
            </w:pPr>
            <w:r>
              <w:t>131.40</w:t>
            </w:r>
          </w:p>
        </w:tc>
        <w:tc>
          <w:tcPr>
            <w:tcW w:w="1134" w:type="dxa"/>
            <w:vAlign w:val="center"/>
          </w:tcPr>
          <w:p>
            <w:pPr>
              <w:pStyle w:val="13"/>
            </w:pPr>
            <w:r>
              <w:t>131.40</w:t>
            </w:r>
          </w:p>
        </w:tc>
        <w:tc>
          <w:tcPr>
            <w:tcW w:w="1134" w:type="dxa"/>
            <w:vAlign w:val="center"/>
          </w:tcPr>
          <w:p>
            <w:pPr>
              <w:pStyle w:val="13"/>
            </w:pPr>
            <w:r>
              <w:t>131.40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2013699</w:t>
            </w:r>
          </w:p>
        </w:tc>
        <w:tc>
          <w:tcPr>
            <w:tcW w:w="1559" w:type="dxa"/>
            <w:vAlign w:val="center"/>
          </w:tcPr>
          <w:p>
            <w:pPr>
              <w:pStyle w:val="14"/>
            </w:pPr>
            <w:r>
              <w:t>其他共产党事务支出</w:t>
            </w:r>
          </w:p>
        </w:tc>
        <w:tc>
          <w:tcPr>
            <w:tcW w:w="1134" w:type="dxa"/>
            <w:vAlign w:val="center"/>
          </w:tcPr>
          <w:p>
            <w:pPr>
              <w:pStyle w:val="13"/>
            </w:pPr>
            <w:r>
              <w:t>131.40</w:t>
            </w:r>
          </w:p>
        </w:tc>
        <w:tc>
          <w:tcPr>
            <w:tcW w:w="1134" w:type="dxa"/>
            <w:vAlign w:val="center"/>
          </w:tcPr>
          <w:p>
            <w:pPr>
              <w:pStyle w:val="13"/>
            </w:pPr>
            <w:r>
              <w:t>131.40</w:t>
            </w:r>
          </w:p>
        </w:tc>
        <w:tc>
          <w:tcPr>
            <w:tcW w:w="1134" w:type="dxa"/>
            <w:vAlign w:val="center"/>
          </w:tcPr>
          <w:p>
            <w:pPr>
              <w:pStyle w:val="13"/>
            </w:pPr>
            <w:r>
              <w:t>131.40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29.85</w:t>
            </w:r>
          </w:p>
        </w:tc>
        <w:tc>
          <w:tcPr>
            <w:tcW w:w="1134" w:type="dxa"/>
            <w:vAlign w:val="center"/>
          </w:tcPr>
          <w:p>
            <w:pPr>
              <w:pStyle w:val="13"/>
            </w:pPr>
            <w:r>
              <w:t>29.85</w:t>
            </w:r>
          </w:p>
        </w:tc>
        <w:tc>
          <w:tcPr>
            <w:tcW w:w="1134" w:type="dxa"/>
            <w:vAlign w:val="center"/>
          </w:tcPr>
          <w:p>
            <w:pPr>
              <w:pStyle w:val="13"/>
            </w:pPr>
            <w:r>
              <w:t>29.85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29.85</w:t>
            </w:r>
          </w:p>
        </w:tc>
        <w:tc>
          <w:tcPr>
            <w:tcW w:w="1134" w:type="dxa"/>
            <w:vAlign w:val="center"/>
          </w:tcPr>
          <w:p>
            <w:pPr>
              <w:pStyle w:val="13"/>
            </w:pPr>
            <w:r>
              <w:t>29.85</w:t>
            </w:r>
          </w:p>
        </w:tc>
        <w:tc>
          <w:tcPr>
            <w:tcW w:w="1134" w:type="dxa"/>
            <w:vAlign w:val="center"/>
          </w:tcPr>
          <w:p>
            <w:pPr>
              <w:pStyle w:val="13"/>
            </w:pPr>
            <w:r>
              <w:t>29.85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2080501</w:t>
            </w:r>
          </w:p>
        </w:tc>
        <w:tc>
          <w:tcPr>
            <w:tcW w:w="1559" w:type="dxa"/>
            <w:vAlign w:val="center"/>
          </w:tcPr>
          <w:p>
            <w:pPr>
              <w:pStyle w:val="14"/>
            </w:pPr>
            <w:r>
              <w:t>行政单位离退休</w:t>
            </w:r>
          </w:p>
        </w:tc>
        <w:tc>
          <w:tcPr>
            <w:tcW w:w="1134" w:type="dxa"/>
            <w:vAlign w:val="center"/>
          </w:tcPr>
          <w:p>
            <w:pPr>
              <w:pStyle w:val="13"/>
            </w:pPr>
            <w:r>
              <w:t>9.85</w:t>
            </w:r>
          </w:p>
        </w:tc>
        <w:tc>
          <w:tcPr>
            <w:tcW w:w="1134" w:type="dxa"/>
            <w:vAlign w:val="center"/>
          </w:tcPr>
          <w:p>
            <w:pPr>
              <w:pStyle w:val="13"/>
            </w:pPr>
            <w:r>
              <w:t>9.85</w:t>
            </w:r>
          </w:p>
        </w:tc>
        <w:tc>
          <w:tcPr>
            <w:tcW w:w="1134" w:type="dxa"/>
            <w:vAlign w:val="center"/>
          </w:tcPr>
          <w:p>
            <w:pPr>
              <w:pStyle w:val="13"/>
            </w:pPr>
            <w:r>
              <w:t>9.85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20.00</w:t>
            </w:r>
          </w:p>
        </w:tc>
        <w:tc>
          <w:tcPr>
            <w:tcW w:w="1134" w:type="dxa"/>
            <w:vAlign w:val="center"/>
          </w:tcPr>
          <w:p>
            <w:pPr>
              <w:pStyle w:val="13"/>
            </w:pPr>
            <w:r>
              <w:t>20.00</w:t>
            </w:r>
          </w:p>
        </w:tc>
        <w:tc>
          <w:tcPr>
            <w:tcW w:w="1134" w:type="dxa"/>
            <w:vAlign w:val="center"/>
          </w:tcPr>
          <w:p>
            <w:pPr>
              <w:pStyle w:val="13"/>
            </w:pPr>
            <w:r>
              <w:t>20.00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210</w:t>
            </w:r>
          </w:p>
        </w:tc>
        <w:tc>
          <w:tcPr>
            <w:tcW w:w="1559" w:type="dxa"/>
            <w:vAlign w:val="center"/>
          </w:tcPr>
          <w:p>
            <w:pPr>
              <w:pStyle w:val="14"/>
            </w:pPr>
            <w:r>
              <w:t>卫生健康支出</w:t>
            </w:r>
          </w:p>
        </w:tc>
        <w:tc>
          <w:tcPr>
            <w:tcW w:w="1134" w:type="dxa"/>
            <w:vAlign w:val="center"/>
          </w:tcPr>
          <w:p>
            <w:pPr>
              <w:pStyle w:val="13"/>
            </w:pPr>
            <w:r>
              <w:t>10.64</w:t>
            </w:r>
          </w:p>
        </w:tc>
        <w:tc>
          <w:tcPr>
            <w:tcW w:w="1134" w:type="dxa"/>
            <w:vAlign w:val="center"/>
          </w:tcPr>
          <w:p>
            <w:pPr>
              <w:pStyle w:val="13"/>
            </w:pPr>
            <w:r>
              <w:t>10.64</w:t>
            </w:r>
          </w:p>
        </w:tc>
        <w:tc>
          <w:tcPr>
            <w:tcW w:w="1134" w:type="dxa"/>
            <w:vAlign w:val="center"/>
          </w:tcPr>
          <w:p>
            <w:pPr>
              <w:pStyle w:val="13"/>
            </w:pPr>
            <w:r>
              <w:t>10.64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21012</w:t>
            </w:r>
          </w:p>
        </w:tc>
        <w:tc>
          <w:tcPr>
            <w:tcW w:w="1559" w:type="dxa"/>
            <w:vAlign w:val="center"/>
          </w:tcPr>
          <w:p>
            <w:pPr>
              <w:pStyle w:val="14"/>
            </w:pPr>
            <w:r>
              <w:t>财政对基本医疗保险基金的补助</w:t>
            </w:r>
          </w:p>
        </w:tc>
        <w:tc>
          <w:tcPr>
            <w:tcW w:w="1134" w:type="dxa"/>
            <w:vAlign w:val="center"/>
          </w:tcPr>
          <w:p>
            <w:pPr>
              <w:pStyle w:val="13"/>
            </w:pPr>
            <w:r>
              <w:t>10.64</w:t>
            </w:r>
          </w:p>
        </w:tc>
        <w:tc>
          <w:tcPr>
            <w:tcW w:w="1134" w:type="dxa"/>
            <w:vAlign w:val="center"/>
          </w:tcPr>
          <w:p>
            <w:pPr>
              <w:pStyle w:val="13"/>
            </w:pPr>
            <w:r>
              <w:t>10.64</w:t>
            </w:r>
          </w:p>
        </w:tc>
        <w:tc>
          <w:tcPr>
            <w:tcW w:w="1134" w:type="dxa"/>
            <w:vAlign w:val="center"/>
          </w:tcPr>
          <w:p>
            <w:pPr>
              <w:pStyle w:val="13"/>
            </w:pPr>
            <w:r>
              <w:t>10.64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2101201</w:t>
            </w:r>
          </w:p>
        </w:tc>
        <w:tc>
          <w:tcPr>
            <w:tcW w:w="1559" w:type="dxa"/>
            <w:vAlign w:val="center"/>
          </w:tcPr>
          <w:p>
            <w:pPr>
              <w:pStyle w:val="14"/>
            </w:pPr>
            <w:r>
              <w:t>财政对职工基本医疗保险基金的补助</w:t>
            </w:r>
          </w:p>
        </w:tc>
        <w:tc>
          <w:tcPr>
            <w:tcW w:w="1134" w:type="dxa"/>
            <w:vAlign w:val="center"/>
          </w:tcPr>
          <w:p>
            <w:pPr>
              <w:pStyle w:val="13"/>
            </w:pPr>
            <w:r>
              <w:t>10.64</w:t>
            </w:r>
          </w:p>
        </w:tc>
        <w:tc>
          <w:tcPr>
            <w:tcW w:w="1134" w:type="dxa"/>
            <w:vAlign w:val="center"/>
          </w:tcPr>
          <w:p>
            <w:pPr>
              <w:pStyle w:val="13"/>
            </w:pPr>
            <w:r>
              <w:t>10.64</w:t>
            </w:r>
          </w:p>
        </w:tc>
        <w:tc>
          <w:tcPr>
            <w:tcW w:w="1134" w:type="dxa"/>
            <w:vAlign w:val="center"/>
          </w:tcPr>
          <w:p>
            <w:pPr>
              <w:pStyle w:val="13"/>
            </w:pPr>
            <w:r>
              <w:t>10.64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3"/>
            </w:pPr>
            <w:r>
              <w:t>15.00</w:t>
            </w:r>
          </w:p>
        </w:tc>
        <w:tc>
          <w:tcPr>
            <w:tcW w:w="1134" w:type="dxa"/>
            <w:vAlign w:val="center"/>
          </w:tcPr>
          <w:p>
            <w:pPr>
              <w:pStyle w:val="13"/>
            </w:pPr>
            <w:r>
              <w:t>15.00</w:t>
            </w:r>
          </w:p>
        </w:tc>
        <w:tc>
          <w:tcPr>
            <w:tcW w:w="1134" w:type="dxa"/>
            <w:vAlign w:val="center"/>
          </w:tcPr>
          <w:p>
            <w:pPr>
              <w:pStyle w:val="13"/>
            </w:pPr>
            <w:r>
              <w:t>15.00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3"/>
            </w:pPr>
            <w:r>
              <w:t>15.00</w:t>
            </w:r>
          </w:p>
        </w:tc>
        <w:tc>
          <w:tcPr>
            <w:tcW w:w="1134" w:type="dxa"/>
            <w:vAlign w:val="center"/>
          </w:tcPr>
          <w:p>
            <w:pPr>
              <w:pStyle w:val="13"/>
            </w:pPr>
            <w:r>
              <w:t>15.00</w:t>
            </w:r>
          </w:p>
        </w:tc>
        <w:tc>
          <w:tcPr>
            <w:tcW w:w="1134" w:type="dxa"/>
            <w:vAlign w:val="center"/>
          </w:tcPr>
          <w:p>
            <w:pPr>
              <w:pStyle w:val="13"/>
            </w:pPr>
            <w:r>
              <w:t>15.00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16</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3"/>
            </w:pPr>
            <w:r>
              <w:t>15.00</w:t>
            </w:r>
          </w:p>
        </w:tc>
        <w:tc>
          <w:tcPr>
            <w:tcW w:w="1134" w:type="dxa"/>
            <w:vAlign w:val="center"/>
          </w:tcPr>
          <w:p>
            <w:pPr>
              <w:pStyle w:val="13"/>
            </w:pPr>
            <w:r>
              <w:t>15.00</w:t>
            </w:r>
          </w:p>
        </w:tc>
        <w:tc>
          <w:tcPr>
            <w:tcW w:w="1134" w:type="dxa"/>
            <w:vAlign w:val="center"/>
          </w:tcPr>
          <w:p>
            <w:pPr>
              <w:pStyle w:val="13"/>
            </w:pPr>
            <w:r>
              <w:t>15.00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562成安县政法委</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381.09</w:t>
            </w:r>
          </w:p>
        </w:tc>
        <w:tc>
          <w:tcPr>
            <w:tcW w:w="1361" w:type="dxa"/>
            <w:vAlign w:val="center"/>
          </w:tcPr>
          <w:p>
            <w:pPr>
              <w:pStyle w:val="17"/>
            </w:pPr>
            <w:r>
              <w:t>249.69</w:t>
            </w:r>
          </w:p>
        </w:tc>
        <w:tc>
          <w:tcPr>
            <w:tcW w:w="1361" w:type="dxa"/>
            <w:vAlign w:val="center"/>
          </w:tcPr>
          <w:p>
            <w:pPr>
              <w:pStyle w:val="17"/>
            </w:pPr>
            <w:r>
              <w:t>131.40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201</w:t>
            </w:r>
          </w:p>
        </w:tc>
        <w:tc>
          <w:tcPr>
            <w:tcW w:w="4535" w:type="dxa"/>
            <w:vAlign w:val="center"/>
          </w:tcPr>
          <w:p>
            <w:pPr>
              <w:pStyle w:val="14"/>
            </w:pPr>
            <w:r>
              <w:t>一般公共服务支出</w:t>
            </w:r>
          </w:p>
        </w:tc>
        <w:tc>
          <w:tcPr>
            <w:tcW w:w="1361" w:type="dxa"/>
            <w:vAlign w:val="center"/>
          </w:tcPr>
          <w:p>
            <w:pPr>
              <w:pStyle w:val="13"/>
            </w:pPr>
            <w:r>
              <w:t>325.60</w:t>
            </w:r>
          </w:p>
        </w:tc>
        <w:tc>
          <w:tcPr>
            <w:tcW w:w="1361" w:type="dxa"/>
            <w:vAlign w:val="center"/>
          </w:tcPr>
          <w:p>
            <w:pPr>
              <w:pStyle w:val="13"/>
            </w:pPr>
            <w:r>
              <w:t>194.20</w:t>
            </w:r>
          </w:p>
        </w:tc>
        <w:tc>
          <w:tcPr>
            <w:tcW w:w="1361" w:type="dxa"/>
            <w:vAlign w:val="center"/>
          </w:tcPr>
          <w:p>
            <w:pPr>
              <w:pStyle w:val="13"/>
            </w:pPr>
            <w:r>
              <w:t>131.40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20131</w:t>
            </w:r>
          </w:p>
        </w:tc>
        <w:tc>
          <w:tcPr>
            <w:tcW w:w="4535" w:type="dxa"/>
            <w:vAlign w:val="center"/>
          </w:tcPr>
          <w:p>
            <w:pPr>
              <w:pStyle w:val="14"/>
            </w:pPr>
            <w:r>
              <w:t>党委办公厅（室）及相关机构事务</w:t>
            </w:r>
          </w:p>
        </w:tc>
        <w:tc>
          <w:tcPr>
            <w:tcW w:w="1361" w:type="dxa"/>
            <w:vAlign w:val="center"/>
          </w:tcPr>
          <w:p>
            <w:pPr>
              <w:pStyle w:val="13"/>
            </w:pPr>
            <w:r>
              <w:t>194.20</w:t>
            </w:r>
          </w:p>
        </w:tc>
        <w:tc>
          <w:tcPr>
            <w:tcW w:w="1361" w:type="dxa"/>
            <w:vAlign w:val="center"/>
          </w:tcPr>
          <w:p>
            <w:pPr>
              <w:pStyle w:val="13"/>
            </w:pPr>
            <w:r>
              <w:t>194.20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2013101</w:t>
            </w:r>
          </w:p>
        </w:tc>
        <w:tc>
          <w:tcPr>
            <w:tcW w:w="4535" w:type="dxa"/>
            <w:vAlign w:val="center"/>
          </w:tcPr>
          <w:p>
            <w:pPr>
              <w:pStyle w:val="14"/>
            </w:pPr>
            <w:r>
              <w:t>行政运行</w:t>
            </w:r>
          </w:p>
        </w:tc>
        <w:tc>
          <w:tcPr>
            <w:tcW w:w="1361" w:type="dxa"/>
            <w:vAlign w:val="center"/>
          </w:tcPr>
          <w:p>
            <w:pPr>
              <w:pStyle w:val="13"/>
            </w:pPr>
            <w:r>
              <w:t>194.20</w:t>
            </w:r>
          </w:p>
        </w:tc>
        <w:tc>
          <w:tcPr>
            <w:tcW w:w="1361" w:type="dxa"/>
            <w:vAlign w:val="center"/>
          </w:tcPr>
          <w:p>
            <w:pPr>
              <w:pStyle w:val="13"/>
            </w:pPr>
            <w:r>
              <w:t>194.20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20136</w:t>
            </w:r>
          </w:p>
        </w:tc>
        <w:tc>
          <w:tcPr>
            <w:tcW w:w="4535" w:type="dxa"/>
            <w:vAlign w:val="center"/>
          </w:tcPr>
          <w:p>
            <w:pPr>
              <w:pStyle w:val="14"/>
            </w:pPr>
            <w:r>
              <w:t>其他共产党事务支出</w:t>
            </w:r>
          </w:p>
        </w:tc>
        <w:tc>
          <w:tcPr>
            <w:tcW w:w="1361" w:type="dxa"/>
            <w:vAlign w:val="center"/>
          </w:tcPr>
          <w:p>
            <w:pPr>
              <w:pStyle w:val="13"/>
            </w:pPr>
            <w:r>
              <w:t>131.40</w:t>
            </w:r>
          </w:p>
        </w:tc>
        <w:tc>
          <w:tcPr>
            <w:tcW w:w="1361" w:type="dxa"/>
            <w:vAlign w:val="center"/>
          </w:tcPr>
          <w:p>
            <w:pPr>
              <w:pStyle w:val="13"/>
            </w:pPr>
          </w:p>
        </w:tc>
        <w:tc>
          <w:tcPr>
            <w:tcW w:w="1361" w:type="dxa"/>
            <w:vAlign w:val="center"/>
          </w:tcPr>
          <w:p>
            <w:pPr>
              <w:pStyle w:val="13"/>
            </w:pPr>
            <w:r>
              <w:t>131.40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2013699</w:t>
            </w:r>
          </w:p>
        </w:tc>
        <w:tc>
          <w:tcPr>
            <w:tcW w:w="4535" w:type="dxa"/>
            <w:vAlign w:val="center"/>
          </w:tcPr>
          <w:p>
            <w:pPr>
              <w:pStyle w:val="14"/>
            </w:pPr>
            <w:r>
              <w:t>其他共产党事务支出</w:t>
            </w:r>
          </w:p>
        </w:tc>
        <w:tc>
          <w:tcPr>
            <w:tcW w:w="1361" w:type="dxa"/>
            <w:vAlign w:val="center"/>
          </w:tcPr>
          <w:p>
            <w:pPr>
              <w:pStyle w:val="13"/>
            </w:pPr>
            <w:r>
              <w:t>131.40</w:t>
            </w:r>
          </w:p>
        </w:tc>
        <w:tc>
          <w:tcPr>
            <w:tcW w:w="1361" w:type="dxa"/>
            <w:vAlign w:val="center"/>
          </w:tcPr>
          <w:p>
            <w:pPr>
              <w:pStyle w:val="13"/>
            </w:pPr>
          </w:p>
        </w:tc>
        <w:tc>
          <w:tcPr>
            <w:tcW w:w="1361" w:type="dxa"/>
            <w:vAlign w:val="center"/>
          </w:tcPr>
          <w:p>
            <w:pPr>
              <w:pStyle w:val="13"/>
            </w:pPr>
            <w:r>
              <w:t>131.40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29.85</w:t>
            </w:r>
          </w:p>
        </w:tc>
        <w:tc>
          <w:tcPr>
            <w:tcW w:w="1361" w:type="dxa"/>
            <w:vAlign w:val="center"/>
          </w:tcPr>
          <w:p>
            <w:pPr>
              <w:pStyle w:val="13"/>
            </w:pPr>
            <w:r>
              <w:t>29.85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20805</w:t>
            </w:r>
          </w:p>
        </w:tc>
        <w:tc>
          <w:tcPr>
            <w:tcW w:w="4535" w:type="dxa"/>
            <w:vAlign w:val="center"/>
          </w:tcPr>
          <w:p>
            <w:pPr>
              <w:pStyle w:val="14"/>
            </w:pPr>
            <w:r>
              <w:t>行政事业单位养老支出</w:t>
            </w:r>
          </w:p>
        </w:tc>
        <w:tc>
          <w:tcPr>
            <w:tcW w:w="1361" w:type="dxa"/>
            <w:vAlign w:val="center"/>
          </w:tcPr>
          <w:p>
            <w:pPr>
              <w:pStyle w:val="13"/>
            </w:pPr>
            <w:r>
              <w:t>29.85</w:t>
            </w:r>
          </w:p>
        </w:tc>
        <w:tc>
          <w:tcPr>
            <w:tcW w:w="1361" w:type="dxa"/>
            <w:vAlign w:val="center"/>
          </w:tcPr>
          <w:p>
            <w:pPr>
              <w:pStyle w:val="13"/>
            </w:pPr>
            <w:r>
              <w:t>29.85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2080501</w:t>
            </w:r>
          </w:p>
        </w:tc>
        <w:tc>
          <w:tcPr>
            <w:tcW w:w="4535" w:type="dxa"/>
            <w:vAlign w:val="center"/>
          </w:tcPr>
          <w:p>
            <w:pPr>
              <w:pStyle w:val="14"/>
            </w:pPr>
            <w:r>
              <w:t>行政单位离退休</w:t>
            </w:r>
          </w:p>
        </w:tc>
        <w:tc>
          <w:tcPr>
            <w:tcW w:w="1361" w:type="dxa"/>
            <w:vAlign w:val="center"/>
          </w:tcPr>
          <w:p>
            <w:pPr>
              <w:pStyle w:val="13"/>
            </w:pPr>
            <w:r>
              <w:t>9.85</w:t>
            </w:r>
          </w:p>
        </w:tc>
        <w:tc>
          <w:tcPr>
            <w:tcW w:w="1361" w:type="dxa"/>
            <w:vAlign w:val="center"/>
          </w:tcPr>
          <w:p>
            <w:pPr>
              <w:pStyle w:val="13"/>
            </w:pPr>
            <w:r>
              <w:t>9.85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2080505</w:t>
            </w:r>
          </w:p>
        </w:tc>
        <w:tc>
          <w:tcPr>
            <w:tcW w:w="4535" w:type="dxa"/>
            <w:vAlign w:val="center"/>
          </w:tcPr>
          <w:p>
            <w:pPr>
              <w:pStyle w:val="14"/>
            </w:pPr>
            <w:r>
              <w:t>机关事业单位基本养老保险缴费支出</w:t>
            </w:r>
          </w:p>
        </w:tc>
        <w:tc>
          <w:tcPr>
            <w:tcW w:w="1361" w:type="dxa"/>
            <w:vAlign w:val="center"/>
          </w:tcPr>
          <w:p>
            <w:pPr>
              <w:pStyle w:val="13"/>
            </w:pPr>
            <w:r>
              <w:t>20.00</w:t>
            </w:r>
          </w:p>
        </w:tc>
        <w:tc>
          <w:tcPr>
            <w:tcW w:w="1361" w:type="dxa"/>
            <w:vAlign w:val="center"/>
          </w:tcPr>
          <w:p>
            <w:pPr>
              <w:pStyle w:val="13"/>
            </w:pPr>
            <w:r>
              <w:t>20.00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210</w:t>
            </w:r>
          </w:p>
        </w:tc>
        <w:tc>
          <w:tcPr>
            <w:tcW w:w="4535" w:type="dxa"/>
            <w:vAlign w:val="center"/>
          </w:tcPr>
          <w:p>
            <w:pPr>
              <w:pStyle w:val="14"/>
            </w:pPr>
            <w:r>
              <w:t>卫生健康支出</w:t>
            </w:r>
          </w:p>
        </w:tc>
        <w:tc>
          <w:tcPr>
            <w:tcW w:w="1361" w:type="dxa"/>
            <w:vAlign w:val="center"/>
          </w:tcPr>
          <w:p>
            <w:pPr>
              <w:pStyle w:val="13"/>
            </w:pPr>
            <w:r>
              <w:t>10.64</w:t>
            </w:r>
          </w:p>
        </w:tc>
        <w:tc>
          <w:tcPr>
            <w:tcW w:w="1361" w:type="dxa"/>
            <w:vAlign w:val="center"/>
          </w:tcPr>
          <w:p>
            <w:pPr>
              <w:pStyle w:val="13"/>
            </w:pPr>
            <w:r>
              <w:t>10.64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21012</w:t>
            </w:r>
          </w:p>
        </w:tc>
        <w:tc>
          <w:tcPr>
            <w:tcW w:w="4535" w:type="dxa"/>
            <w:vAlign w:val="center"/>
          </w:tcPr>
          <w:p>
            <w:pPr>
              <w:pStyle w:val="14"/>
            </w:pPr>
            <w:r>
              <w:t>财政对基本医疗保险基金的补助</w:t>
            </w:r>
          </w:p>
        </w:tc>
        <w:tc>
          <w:tcPr>
            <w:tcW w:w="1361" w:type="dxa"/>
            <w:vAlign w:val="center"/>
          </w:tcPr>
          <w:p>
            <w:pPr>
              <w:pStyle w:val="13"/>
            </w:pPr>
            <w:r>
              <w:t>10.64</w:t>
            </w:r>
          </w:p>
        </w:tc>
        <w:tc>
          <w:tcPr>
            <w:tcW w:w="1361" w:type="dxa"/>
            <w:vAlign w:val="center"/>
          </w:tcPr>
          <w:p>
            <w:pPr>
              <w:pStyle w:val="13"/>
            </w:pPr>
            <w:r>
              <w:t>10.64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2101201</w:t>
            </w:r>
          </w:p>
        </w:tc>
        <w:tc>
          <w:tcPr>
            <w:tcW w:w="4535" w:type="dxa"/>
            <w:vAlign w:val="center"/>
          </w:tcPr>
          <w:p>
            <w:pPr>
              <w:pStyle w:val="14"/>
            </w:pPr>
            <w:r>
              <w:t>财政对职工基本医疗保险基金的补助</w:t>
            </w:r>
          </w:p>
        </w:tc>
        <w:tc>
          <w:tcPr>
            <w:tcW w:w="1361" w:type="dxa"/>
            <w:vAlign w:val="center"/>
          </w:tcPr>
          <w:p>
            <w:pPr>
              <w:pStyle w:val="13"/>
            </w:pPr>
            <w:r>
              <w:t>10.64</w:t>
            </w:r>
          </w:p>
        </w:tc>
        <w:tc>
          <w:tcPr>
            <w:tcW w:w="1361" w:type="dxa"/>
            <w:vAlign w:val="center"/>
          </w:tcPr>
          <w:p>
            <w:pPr>
              <w:pStyle w:val="13"/>
            </w:pPr>
            <w:r>
              <w:t>10.64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221</w:t>
            </w:r>
          </w:p>
        </w:tc>
        <w:tc>
          <w:tcPr>
            <w:tcW w:w="4535" w:type="dxa"/>
            <w:vAlign w:val="center"/>
          </w:tcPr>
          <w:p>
            <w:pPr>
              <w:pStyle w:val="14"/>
            </w:pPr>
            <w:r>
              <w:t>住房保障支出</w:t>
            </w:r>
          </w:p>
        </w:tc>
        <w:tc>
          <w:tcPr>
            <w:tcW w:w="1361" w:type="dxa"/>
            <w:vAlign w:val="center"/>
          </w:tcPr>
          <w:p>
            <w:pPr>
              <w:pStyle w:val="13"/>
            </w:pPr>
            <w:r>
              <w:t>15.00</w:t>
            </w:r>
          </w:p>
        </w:tc>
        <w:tc>
          <w:tcPr>
            <w:tcW w:w="1361" w:type="dxa"/>
            <w:vAlign w:val="center"/>
          </w:tcPr>
          <w:p>
            <w:pPr>
              <w:pStyle w:val="13"/>
            </w:pPr>
            <w:r>
              <w:t>15.00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22102</w:t>
            </w:r>
          </w:p>
        </w:tc>
        <w:tc>
          <w:tcPr>
            <w:tcW w:w="4535" w:type="dxa"/>
            <w:vAlign w:val="center"/>
          </w:tcPr>
          <w:p>
            <w:pPr>
              <w:pStyle w:val="14"/>
            </w:pPr>
            <w:r>
              <w:t>住房改革支出</w:t>
            </w:r>
          </w:p>
        </w:tc>
        <w:tc>
          <w:tcPr>
            <w:tcW w:w="1361" w:type="dxa"/>
            <w:vAlign w:val="center"/>
          </w:tcPr>
          <w:p>
            <w:pPr>
              <w:pStyle w:val="13"/>
            </w:pPr>
            <w:r>
              <w:t>15.00</w:t>
            </w:r>
          </w:p>
        </w:tc>
        <w:tc>
          <w:tcPr>
            <w:tcW w:w="1361" w:type="dxa"/>
            <w:vAlign w:val="center"/>
          </w:tcPr>
          <w:p>
            <w:pPr>
              <w:pStyle w:val="13"/>
            </w:pPr>
            <w:r>
              <w:t>15.00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992" w:type="dxa"/>
            <w:vAlign w:val="center"/>
          </w:tcPr>
          <w:p>
            <w:pPr>
              <w:pStyle w:val="14"/>
            </w:pPr>
            <w:r>
              <w:t>2210201</w:t>
            </w:r>
          </w:p>
        </w:tc>
        <w:tc>
          <w:tcPr>
            <w:tcW w:w="4535" w:type="dxa"/>
            <w:vAlign w:val="center"/>
          </w:tcPr>
          <w:p>
            <w:pPr>
              <w:pStyle w:val="14"/>
            </w:pPr>
            <w:r>
              <w:t>住房公积金</w:t>
            </w:r>
          </w:p>
        </w:tc>
        <w:tc>
          <w:tcPr>
            <w:tcW w:w="1361" w:type="dxa"/>
            <w:vAlign w:val="center"/>
          </w:tcPr>
          <w:p>
            <w:pPr>
              <w:pStyle w:val="13"/>
            </w:pPr>
            <w:r>
              <w:t>15.00</w:t>
            </w:r>
          </w:p>
        </w:tc>
        <w:tc>
          <w:tcPr>
            <w:tcW w:w="1361" w:type="dxa"/>
            <w:vAlign w:val="center"/>
          </w:tcPr>
          <w:p>
            <w:pPr>
              <w:pStyle w:val="13"/>
            </w:pPr>
            <w:r>
              <w:t>15.00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562成安县政法委</w:t>
            </w:r>
          </w:p>
        </w:tc>
        <w:tc>
          <w:tcPr>
            <w:tcW w:w="3402" w:type="dxa"/>
            <w:tcBorders>
              <w:top w:val="single" w:color="FFFFFF" w:sz="6" w:space="0"/>
              <w:left w:val="single" w:color="FFFFFF" w:sz="6" w:space="0"/>
              <w:right w:val="single" w:color="FFFFFF" w:sz="6" w:space="0"/>
            </w:tcBorders>
            <w:vAlign w:val="center"/>
          </w:tcPr>
          <w:p>
            <w:pPr>
              <w:pStyle w:val="10"/>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381.09</w:t>
            </w:r>
          </w:p>
        </w:tc>
        <w:tc>
          <w:tcPr>
            <w:tcW w:w="3402" w:type="dxa"/>
            <w:vAlign w:val="center"/>
          </w:tcPr>
          <w:p>
            <w:pPr>
              <w:pStyle w:val="14"/>
            </w:pPr>
            <w:r>
              <w:t>一、一般公共服务支出</w:t>
            </w:r>
          </w:p>
        </w:tc>
        <w:tc>
          <w:tcPr>
            <w:tcW w:w="1474" w:type="dxa"/>
            <w:vAlign w:val="center"/>
          </w:tcPr>
          <w:p>
            <w:pPr>
              <w:pStyle w:val="13"/>
            </w:pPr>
            <w:r>
              <w:t>325.60</w:t>
            </w:r>
          </w:p>
        </w:tc>
        <w:tc>
          <w:tcPr>
            <w:tcW w:w="1474" w:type="dxa"/>
            <w:vAlign w:val="center"/>
          </w:tcPr>
          <w:p>
            <w:pPr>
              <w:pStyle w:val="13"/>
            </w:pPr>
            <w:r>
              <w:t>325.60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29.85</w:t>
            </w:r>
          </w:p>
        </w:tc>
        <w:tc>
          <w:tcPr>
            <w:tcW w:w="1474" w:type="dxa"/>
            <w:vAlign w:val="center"/>
          </w:tcPr>
          <w:p>
            <w:pPr>
              <w:pStyle w:val="13"/>
            </w:pPr>
            <w:r>
              <w:t>29.85</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r>
              <w:t>10.64</w:t>
            </w:r>
          </w:p>
        </w:tc>
        <w:tc>
          <w:tcPr>
            <w:tcW w:w="1474" w:type="dxa"/>
            <w:vAlign w:val="center"/>
          </w:tcPr>
          <w:p>
            <w:pPr>
              <w:pStyle w:val="13"/>
            </w:pPr>
            <w:r>
              <w:t>10.64</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r>
              <w:t>15.00</w:t>
            </w:r>
          </w:p>
        </w:tc>
        <w:tc>
          <w:tcPr>
            <w:tcW w:w="1474" w:type="dxa"/>
            <w:vAlign w:val="center"/>
          </w:tcPr>
          <w:p>
            <w:pPr>
              <w:pStyle w:val="13"/>
            </w:pPr>
            <w:r>
              <w:t>15.00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381.09</w:t>
            </w:r>
          </w:p>
        </w:tc>
        <w:tc>
          <w:tcPr>
            <w:tcW w:w="3402" w:type="dxa"/>
            <w:vAlign w:val="center"/>
          </w:tcPr>
          <w:p>
            <w:pPr>
              <w:pStyle w:val="16"/>
            </w:pPr>
            <w:r>
              <w:t>本年支出合计</w:t>
            </w:r>
          </w:p>
        </w:tc>
        <w:tc>
          <w:tcPr>
            <w:tcW w:w="1474" w:type="dxa"/>
            <w:vAlign w:val="center"/>
          </w:tcPr>
          <w:p>
            <w:pPr>
              <w:pStyle w:val="17"/>
            </w:pPr>
            <w:r>
              <w:t>381.09</w:t>
            </w:r>
          </w:p>
        </w:tc>
        <w:tc>
          <w:tcPr>
            <w:tcW w:w="1474" w:type="dxa"/>
            <w:vAlign w:val="center"/>
          </w:tcPr>
          <w:p>
            <w:pPr>
              <w:pStyle w:val="17"/>
            </w:pPr>
            <w:r>
              <w:t>381.09</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381.09</w:t>
            </w:r>
          </w:p>
        </w:tc>
        <w:tc>
          <w:tcPr>
            <w:tcW w:w="3402" w:type="dxa"/>
            <w:vAlign w:val="center"/>
          </w:tcPr>
          <w:p>
            <w:pPr>
              <w:pStyle w:val="16"/>
            </w:pPr>
            <w:r>
              <w:t>支出总计</w:t>
            </w:r>
          </w:p>
        </w:tc>
        <w:tc>
          <w:tcPr>
            <w:tcW w:w="1474" w:type="dxa"/>
            <w:vAlign w:val="center"/>
          </w:tcPr>
          <w:p>
            <w:pPr>
              <w:pStyle w:val="17"/>
            </w:pPr>
            <w:r>
              <w:t>381.09</w:t>
            </w:r>
          </w:p>
        </w:tc>
        <w:tc>
          <w:tcPr>
            <w:tcW w:w="1474" w:type="dxa"/>
            <w:vAlign w:val="center"/>
          </w:tcPr>
          <w:p>
            <w:pPr>
              <w:pStyle w:val="17"/>
            </w:pPr>
            <w:r>
              <w:t>381.09</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562成安县政法委</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381.09</w:t>
            </w:r>
          </w:p>
        </w:tc>
        <w:tc>
          <w:tcPr>
            <w:tcW w:w="2551" w:type="dxa"/>
            <w:vAlign w:val="center"/>
          </w:tcPr>
          <w:p>
            <w:pPr>
              <w:pStyle w:val="17"/>
            </w:pPr>
            <w:r>
              <w:t>249.69</w:t>
            </w:r>
          </w:p>
        </w:tc>
        <w:tc>
          <w:tcPr>
            <w:tcW w:w="2551" w:type="dxa"/>
            <w:vAlign w:val="center"/>
          </w:tcPr>
          <w:p>
            <w:pPr>
              <w:pStyle w:val="17"/>
            </w:pPr>
            <w:r>
              <w:t>131.40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201</w:t>
            </w:r>
          </w:p>
        </w:tc>
        <w:tc>
          <w:tcPr>
            <w:tcW w:w="4535" w:type="dxa"/>
            <w:vAlign w:val="center"/>
          </w:tcPr>
          <w:p>
            <w:pPr>
              <w:pStyle w:val="14"/>
            </w:pPr>
            <w:r>
              <w:t>一般公共服务支出</w:t>
            </w:r>
          </w:p>
        </w:tc>
        <w:tc>
          <w:tcPr>
            <w:tcW w:w="2551" w:type="dxa"/>
            <w:vAlign w:val="center"/>
          </w:tcPr>
          <w:p>
            <w:pPr>
              <w:pStyle w:val="13"/>
            </w:pPr>
            <w:r>
              <w:t>325.60</w:t>
            </w:r>
          </w:p>
        </w:tc>
        <w:tc>
          <w:tcPr>
            <w:tcW w:w="2551" w:type="dxa"/>
            <w:vAlign w:val="center"/>
          </w:tcPr>
          <w:p>
            <w:pPr>
              <w:pStyle w:val="13"/>
            </w:pPr>
            <w:r>
              <w:t>194.20</w:t>
            </w:r>
          </w:p>
        </w:tc>
        <w:tc>
          <w:tcPr>
            <w:tcW w:w="2551" w:type="dxa"/>
            <w:vAlign w:val="center"/>
          </w:tcPr>
          <w:p>
            <w:pPr>
              <w:pStyle w:val="13"/>
            </w:pPr>
            <w:r>
              <w:t>131.40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20131</w:t>
            </w:r>
          </w:p>
        </w:tc>
        <w:tc>
          <w:tcPr>
            <w:tcW w:w="4535" w:type="dxa"/>
            <w:vAlign w:val="center"/>
          </w:tcPr>
          <w:p>
            <w:pPr>
              <w:pStyle w:val="14"/>
            </w:pPr>
            <w:r>
              <w:t>党委办公厅（室）及相关机构事务</w:t>
            </w:r>
          </w:p>
        </w:tc>
        <w:tc>
          <w:tcPr>
            <w:tcW w:w="2551" w:type="dxa"/>
            <w:vAlign w:val="center"/>
          </w:tcPr>
          <w:p>
            <w:pPr>
              <w:pStyle w:val="13"/>
            </w:pPr>
            <w:r>
              <w:t>194.20</w:t>
            </w:r>
          </w:p>
        </w:tc>
        <w:tc>
          <w:tcPr>
            <w:tcW w:w="2551" w:type="dxa"/>
            <w:vAlign w:val="center"/>
          </w:tcPr>
          <w:p>
            <w:pPr>
              <w:pStyle w:val="13"/>
            </w:pPr>
            <w:r>
              <w:t>194.20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2013101</w:t>
            </w:r>
          </w:p>
        </w:tc>
        <w:tc>
          <w:tcPr>
            <w:tcW w:w="4535" w:type="dxa"/>
            <w:vAlign w:val="center"/>
          </w:tcPr>
          <w:p>
            <w:pPr>
              <w:pStyle w:val="14"/>
            </w:pPr>
            <w:r>
              <w:t>行政运行</w:t>
            </w:r>
          </w:p>
        </w:tc>
        <w:tc>
          <w:tcPr>
            <w:tcW w:w="2551" w:type="dxa"/>
            <w:vAlign w:val="center"/>
          </w:tcPr>
          <w:p>
            <w:pPr>
              <w:pStyle w:val="13"/>
            </w:pPr>
            <w:r>
              <w:t>194.20</w:t>
            </w:r>
          </w:p>
        </w:tc>
        <w:tc>
          <w:tcPr>
            <w:tcW w:w="2551" w:type="dxa"/>
            <w:vAlign w:val="center"/>
          </w:tcPr>
          <w:p>
            <w:pPr>
              <w:pStyle w:val="13"/>
            </w:pPr>
            <w:r>
              <w:t>194.20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20136</w:t>
            </w:r>
          </w:p>
        </w:tc>
        <w:tc>
          <w:tcPr>
            <w:tcW w:w="4535" w:type="dxa"/>
            <w:vAlign w:val="center"/>
          </w:tcPr>
          <w:p>
            <w:pPr>
              <w:pStyle w:val="14"/>
            </w:pPr>
            <w:r>
              <w:t>其他共产党事务支出</w:t>
            </w:r>
          </w:p>
        </w:tc>
        <w:tc>
          <w:tcPr>
            <w:tcW w:w="2551" w:type="dxa"/>
            <w:vAlign w:val="center"/>
          </w:tcPr>
          <w:p>
            <w:pPr>
              <w:pStyle w:val="13"/>
            </w:pPr>
            <w:r>
              <w:t>131.40</w:t>
            </w:r>
          </w:p>
        </w:tc>
        <w:tc>
          <w:tcPr>
            <w:tcW w:w="2551" w:type="dxa"/>
            <w:vAlign w:val="center"/>
          </w:tcPr>
          <w:p>
            <w:pPr>
              <w:pStyle w:val="13"/>
            </w:pPr>
          </w:p>
        </w:tc>
        <w:tc>
          <w:tcPr>
            <w:tcW w:w="2551" w:type="dxa"/>
            <w:vAlign w:val="center"/>
          </w:tcPr>
          <w:p>
            <w:pPr>
              <w:pStyle w:val="13"/>
            </w:pPr>
            <w:r>
              <w:t>131.40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2013699</w:t>
            </w:r>
          </w:p>
        </w:tc>
        <w:tc>
          <w:tcPr>
            <w:tcW w:w="4535" w:type="dxa"/>
            <w:vAlign w:val="center"/>
          </w:tcPr>
          <w:p>
            <w:pPr>
              <w:pStyle w:val="14"/>
            </w:pPr>
            <w:r>
              <w:t>其他共产党事务支出</w:t>
            </w:r>
          </w:p>
        </w:tc>
        <w:tc>
          <w:tcPr>
            <w:tcW w:w="2551" w:type="dxa"/>
            <w:vAlign w:val="center"/>
          </w:tcPr>
          <w:p>
            <w:pPr>
              <w:pStyle w:val="13"/>
            </w:pPr>
            <w:r>
              <w:t>131.40</w:t>
            </w:r>
          </w:p>
        </w:tc>
        <w:tc>
          <w:tcPr>
            <w:tcW w:w="2551" w:type="dxa"/>
            <w:vAlign w:val="center"/>
          </w:tcPr>
          <w:p>
            <w:pPr>
              <w:pStyle w:val="13"/>
            </w:pPr>
          </w:p>
        </w:tc>
        <w:tc>
          <w:tcPr>
            <w:tcW w:w="2551" w:type="dxa"/>
            <w:vAlign w:val="center"/>
          </w:tcPr>
          <w:p>
            <w:pPr>
              <w:pStyle w:val="13"/>
            </w:pPr>
            <w:r>
              <w:t>131.40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29.85</w:t>
            </w:r>
          </w:p>
        </w:tc>
        <w:tc>
          <w:tcPr>
            <w:tcW w:w="2551" w:type="dxa"/>
            <w:vAlign w:val="center"/>
          </w:tcPr>
          <w:p>
            <w:pPr>
              <w:pStyle w:val="13"/>
            </w:pPr>
            <w:r>
              <w:t>29.85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29.85</w:t>
            </w:r>
          </w:p>
        </w:tc>
        <w:tc>
          <w:tcPr>
            <w:tcW w:w="2551" w:type="dxa"/>
            <w:vAlign w:val="center"/>
          </w:tcPr>
          <w:p>
            <w:pPr>
              <w:pStyle w:val="13"/>
            </w:pPr>
            <w:r>
              <w:t>29.85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2080501</w:t>
            </w:r>
          </w:p>
        </w:tc>
        <w:tc>
          <w:tcPr>
            <w:tcW w:w="4535" w:type="dxa"/>
            <w:vAlign w:val="center"/>
          </w:tcPr>
          <w:p>
            <w:pPr>
              <w:pStyle w:val="14"/>
            </w:pPr>
            <w:r>
              <w:t>行政单位离退休</w:t>
            </w:r>
          </w:p>
        </w:tc>
        <w:tc>
          <w:tcPr>
            <w:tcW w:w="2551" w:type="dxa"/>
            <w:vAlign w:val="center"/>
          </w:tcPr>
          <w:p>
            <w:pPr>
              <w:pStyle w:val="13"/>
            </w:pPr>
            <w:r>
              <w:t>9.85</w:t>
            </w:r>
          </w:p>
        </w:tc>
        <w:tc>
          <w:tcPr>
            <w:tcW w:w="2551" w:type="dxa"/>
            <w:vAlign w:val="center"/>
          </w:tcPr>
          <w:p>
            <w:pPr>
              <w:pStyle w:val="13"/>
            </w:pPr>
            <w:r>
              <w:t>9.85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20.00</w:t>
            </w:r>
          </w:p>
        </w:tc>
        <w:tc>
          <w:tcPr>
            <w:tcW w:w="2551" w:type="dxa"/>
            <w:vAlign w:val="center"/>
          </w:tcPr>
          <w:p>
            <w:pPr>
              <w:pStyle w:val="13"/>
            </w:pPr>
            <w:r>
              <w:t>20.00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210</w:t>
            </w:r>
          </w:p>
        </w:tc>
        <w:tc>
          <w:tcPr>
            <w:tcW w:w="4535" w:type="dxa"/>
            <w:vAlign w:val="center"/>
          </w:tcPr>
          <w:p>
            <w:pPr>
              <w:pStyle w:val="14"/>
            </w:pPr>
            <w:r>
              <w:t>卫生健康支出</w:t>
            </w:r>
          </w:p>
        </w:tc>
        <w:tc>
          <w:tcPr>
            <w:tcW w:w="2551" w:type="dxa"/>
            <w:vAlign w:val="center"/>
          </w:tcPr>
          <w:p>
            <w:pPr>
              <w:pStyle w:val="13"/>
            </w:pPr>
            <w:r>
              <w:t>10.64</w:t>
            </w:r>
          </w:p>
        </w:tc>
        <w:tc>
          <w:tcPr>
            <w:tcW w:w="2551" w:type="dxa"/>
            <w:vAlign w:val="center"/>
          </w:tcPr>
          <w:p>
            <w:pPr>
              <w:pStyle w:val="13"/>
            </w:pPr>
            <w:r>
              <w:t>10.64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21012</w:t>
            </w:r>
          </w:p>
        </w:tc>
        <w:tc>
          <w:tcPr>
            <w:tcW w:w="4535" w:type="dxa"/>
            <w:vAlign w:val="center"/>
          </w:tcPr>
          <w:p>
            <w:pPr>
              <w:pStyle w:val="14"/>
            </w:pPr>
            <w:r>
              <w:t>财政对基本医疗保险基金的补助</w:t>
            </w:r>
          </w:p>
        </w:tc>
        <w:tc>
          <w:tcPr>
            <w:tcW w:w="2551" w:type="dxa"/>
            <w:vAlign w:val="center"/>
          </w:tcPr>
          <w:p>
            <w:pPr>
              <w:pStyle w:val="13"/>
            </w:pPr>
            <w:r>
              <w:t>10.64</w:t>
            </w:r>
          </w:p>
        </w:tc>
        <w:tc>
          <w:tcPr>
            <w:tcW w:w="2551" w:type="dxa"/>
            <w:vAlign w:val="center"/>
          </w:tcPr>
          <w:p>
            <w:pPr>
              <w:pStyle w:val="13"/>
            </w:pPr>
            <w:r>
              <w:t>10.64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2101201</w:t>
            </w:r>
          </w:p>
        </w:tc>
        <w:tc>
          <w:tcPr>
            <w:tcW w:w="4535" w:type="dxa"/>
            <w:vAlign w:val="center"/>
          </w:tcPr>
          <w:p>
            <w:pPr>
              <w:pStyle w:val="14"/>
            </w:pPr>
            <w:r>
              <w:t>财政对职工基本医疗保险基金的补助</w:t>
            </w:r>
          </w:p>
        </w:tc>
        <w:tc>
          <w:tcPr>
            <w:tcW w:w="2551" w:type="dxa"/>
            <w:vAlign w:val="center"/>
          </w:tcPr>
          <w:p>
            <w:pPr>
              <w:pStyle w:val="13"/>
            </w:pPr>
            <w:r>
              <w:t>10.64</w:t>
            </w:r>
          </w:p>
        </w:tc>
        <w:tc>
          <w:tcPr>
            <w:tcW w:w="2551" w:type="dxa"/>
            <w:vAlign w:val="center"/>
          </w:tcPr>
          <w:p>
            <w:pPr>
              <w:pStyle w:val="13"/>
            </w:pPr>
            <w:r>
              <w:t>10.64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221</w:t>
            </w:r>
          </w:p>
        </w:tc>
        <w:tc>
          <w:tcPr>
            <w:tcW w:w="4535" w:type="dxa"/>
            <w:vAlign w:val="center"/>
          </w:tcPr>
          <w:p>
            <w:pPr>
              <w:pStyle w:val="14"/>
            </w:pPr>
            <w:r>
              <w:t>住房保障支出</w:t>
            </w:r>
          </w:p>
        </w:tc>
        <w:tc>
          <w:tcPr>
            <w:tcW w:w="2551" w:type="dxa"/>
            <w:vAlign w:val="center"/>
          </w:tcPr>
          <w:p>
            <w:pPr>
              <w:pStyle w:val="13"/>
            </w:pPr>
            <w:r>
              <w:t>15.00</w:t>
            </w:r>
          </w:p>
        </w:tc>
        <w:tc>
          <w:tcPr>
            <w:tcW w:w="2551" w:type="dxa"/>
            <w:vAlign w:val="center"/>
          </w:tcPr>
          <w:p>
            <w:pPr>
              <w:pStyle w:val="13"/>
            </w:pPr>
            <w:r>
              <w:t>15.00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22102</w:t>
            </w:r>
          </w:p>
        </w:tc>
        <w:tc>
          <w:tcPr>
            <w:tcW w:w="4535" w:type="dxa"/>
            <w:vAlign w:val="center"/>
          </w:tcPr>
          <w:p>
            <w:pPr>
              <w:pStyle w:val="14"/>
            </w:pPr>
            <w:r>
              <w:t>住房改革支出</w:t>
            </w:r>
          </w:p>
        </w:tc>
        <w:tc>
          <w:tcPr>
            <w:tcW w:w="2551" w:type="dxa"/>
            <w:vAlign w:val="center"/>
          </w:tcPr>
          <w:p>
            <w:pPr>
              <w:pStyle w:val="13"/>
            </w:pPr>
            <w:r>
              <w:t>15.00</w:t>
            </w:r>
          </w:p>
        </w:tc>
        <w:tc>
          <w:tcPr>
            <w:tcW w:w="2551" w:type="dxa"/>
            <w:vAlign w:val="center"/>
          </w:tcPr>
          <w:p>
            <w:pPr>
              <w:pStyle w:val="13"/>
            </w:pPr>
            <w:r>
              <w:t>15.00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2210201</w:t>
            </w:r>
          </w:p>
        </w:tc>
        <w:tc>
          <w:tcPr>
            <w:tcW w:w="4535" w:type="dxa"/>
            <w:vAlign w:val="center"/>
          </w:tcPr>
          <w:p>
            <w:pPr>
              <w:pStyle w:val="14"/>
            </w:pPr>
            <w:r>
              <w:t>住房公积金</w:t>
            </w:r>
          </w:p>
        </w:tc>
        <w:tc>
          <w:tcPr>
            <w:tcW w:w="2551" w:type="dxa"/>
            <w:vAlign w:val="center"/>
          </w:tcPr>
          <w:p>
            <w:pPr>
              <w:pStyle w:val="13"/>
            </w:pPr>
            <w:r>
              <w:t>15.00</w:t>
            </w:r>
          </w:p>
        </w:tc>
        <w:tc>
          <w:tcPr>
            <w:tcW w:w="2551" w:type="dxa"/>
            <w:vAlign w:val="center"/>
          </w:tcPr>
          <w:p>
            <w:pPr>
              <w:pStyle w:val="13"/>
            </w:pPr>
            <w:r>
              <w:t>15.00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562成安县政法委</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249.69</w:t>
            </w:r>
          </w:p>
        </w:tc>
        <w:tc>
          <w:tcPr>
            <w:tcW w:w="2551" w:type="dxa"/>
            <w:vAlign w:val="center"/>
          </w:tcPr>
          <w:p>
            <w:pPr>
              <w:pStyle w:val="17"/>
            </w:pPr>
            <w:r>
              <w:t>209.31</w:t>
            </w:r>
          </w:p>
        </w:tc>
        <w:tc>
          <w:tcPr>
            <w:tcW w:w="2551" w:type="dxa"/>
            <w:vAlign w:val="center"/>
          </w:tcPr>
          <w:p>
            <w:pPr>
              <w:pStyle w:val="17"/>
            </w:pPr>
            <w:r>
              <w:t>40.38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199.46</w:t>
            </w:r>
          </w:p>
        </w:tc>
        <w:tc>
          <w:tcPr>
            <w:tcW w:w="2551" w:type="dxa"/>
            <w:vAlign w:val="center"/>
          </w:tcPr>
          <w:p>
            <w:pPr>
              <w:pStyle w:val="13"/>
            </w:pPr>
            <w:r>
              <w:t>199.46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81.25</w:t>
            </w:r>
          </w:p>
        </w:tc>
        <w:tc>
          <w:tcPr>
            <w:tcW w:w="2551" w:type="dxa"/>
            <w:vAlign w:val="center"/>
          </w:tcPr>
          <w:p>
            <w:pPr>
              <w:pStyle w:val="13"/>
            </w:pPr>
            <w:r>
              <w:t>81.25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48.54</w:t>
            </w:r>
          </w:p>
        </w:tc>
        <w:tc>
          <w:tcPr>
            <w:tcW w:w="2551" w:type="dxa"/>
            <w:vAlign w:val="center"/>
          </w:tcPr>
          <w:p>
            <w:pPr>
              <w:pStyle w:val="13"/>
            </w:pPr>
            <w:r>
              <w:t>48.54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4.29</w:t>
            </w:r>
          </w:p>
        </w:tc>
        <w:tc>
          <w:tcPr>
            <w:tcW w:w="2551" w:type="dxa"/>
            <w:vAlign w:val="center"/>
          </w:tcPr>
          <w:p>
            <w:pPr>
              <w:pStyle w:val="13"/>
            </w:pPr>
            <w:r>
              <w:t>4.29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19.74</w:t>
            </w:r>
          </w:p>
        </w:tc>
        <w:tc>
          <w:tcPr>
            <w:tcW w:w="2551" w:type="dxa"/>
            <w:vAlign w:val="center"/>
          </w:tcPr>
          <w:p>
            <w:pPr>
              <w:pStyle w:val="13"/>
            </w:pPr>
            <w:r>
              <w:t>19.74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20.00</w:t>
            </w:r>
          </w:p>
        </w:tc>
        <w:tc>
          <w:tcPr>
            <w:tcW w:w="2551" w:type="dxa"/>
            <w:vAlign w:val="center"/>
          </w:tcPr>
          <w:p>
            <w:pPr>
              <w:pStyle w:val="13"/>
            </w:pPr>
            <w:r>
              <w:t>20.00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30110</w:t>
            </w:r>
          </w:p>
        </w:tc>
        <w:tc>
          <w:tcPr>
            <w:tcW w:w="4535" w:type="dxa"/>
            <w:vAlign w:val="center"/>
          </w:tcPr>
          <w:p>
            <w:pPr>
              <w:pStyle w:val="14"/>
            </w:pPr>
            <w:r>
              <w:t>职工基本医疗保险缴费</w:t>
            </w:r>
          </w:p>
        </w:tc>
        <w:tc>
          <w:tcPr>
            <w:tcW w:w="2551" w:type="dxa"/>
            <w:vAlign w:val="center"/>
          </w:tcPr>
          <w:p>
            <w:pPr>
              <w:pStyle w:val="13"/>
            </w:pPr>
            <w:r>
              <w:t>10.10</w:t>
            </w:r>
          </w:p>
        </w:tc>
        <w:tc>
          <w:tcPr>
            <w:tcW w:w="2551" w:type="dxa"/>
            <w:vAlign w:val="center"/>
          </w:tcPr>
          <w:p>
            <w:pPr>
              <w:pStyle w:val="13"/>
            </w:pPr>
            <w:r>
              <w:t>10.10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0.54</w:t>
            </w:r>
          </w:p>
        </w:tc>
        <w:tc>
          <w:tcPr>
            <w:tcW w:w="2551" w:type="dxa"/>
            <w:vAlign w:val="center"/>
          </w:tcPr>
          <w:p>
            <w:pPr>
              <w:pStyle w:val="13"/>
            </w:pPr>
            <w:r>
              <w:t>0.54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15.00</w:t>
            </w:r>
          </w:p>
        </w:tc>
        <w:tc>
          <w:tcPr>
            <w:tcW w:w="2551" w:type="dxa"/>
            <w:vAlign w:val="center"/>
          </w:tcPr>
          <w:p>
            <w:pPr>
              <w:pStyle w:val="13"/>
            </w:pPr>
            <w:r>
              <w:t>15.00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40.38</w:t>
            </w:r>
          </w:p>
        </w:tc>
        <w:tc>
          <w:tcPr>
            <w:tcW w:w="2551" w:type="dxa"/>
            <w:vAlign w:val="center"/>
          </w:tcPr>
          <w:p>
            <w:pPr>
              <w:pStyle w:val="13"/>
            </w:pPr>
          </w:p>
        </w:tc>
        <w:tc>
          <w:tcPr>
            <w:tcW w:w="2551" w:type="dxa"/>
            <w:vAlign w:val="center"/>
          </w:tcPr>
          <w:p>
            <w:pPr>
              <w:pStyle w:val="13"/>
            </w:pPr>
            <w:r>
              <w:t>40.38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8.00</w:t>
            </w:r>
          </w:p>
        </w:tc>
        <w:tc>
          <w:tcPr>
            <w:tcW w:w="2551" w:type="dxa"/>
            <w:vAlign w:val="center"/>
          </w:tcPr>
          <w:p>
            <w:pPr>
              <w:pStyle w:val="13"/>
            </w:pPr>
          </w:p>
        </w:tc>
        <w:tc>
          <w:tcPr>
            <w:tcW w:w="2551" w:type="dxa"/>
            <w:vAlign w:val="center"/>
          </w:tcPr>
          <w:p>
            <w:pPr>
              <w:pStyle w:val="13"/>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30202</w:t>
            </w:r>
          </w:p>
        </w:tc>
        <w:tc>
          <w:tcPr>
            <w:tcW w:w="4535" w:type="dxa"/>
            <w:vAlign w:val="center"/>
          </w:tcPr>
          <w:p>
            <w:pPr>
              <w:pStyle w:val="14"/>
            </w:pPr>
            <w:r>
              <w:t>印刷费</w:t>
            </w:r>
          </w:p>
        </w:tc>
        <w:tc>
          <w:tcPr>
            <w:tcW w:w="2551" w:type="dxa"/>
            <w:vAlign w:val="center"/>
          </w:tcPr>
          <w:p>
            <w:pPr>
              <w:pStyle w:val="13"/>
            </w:pPr>
            <w:r>
              <w:t>14.00</w:t>
            </w:r>
          </w:p>
        </w:tc>
        <w:tc>
          <w:tcPr>
            <w:tcW w:w="2551" w:type="dxa"/>
            <w:vAlign w:val="center"/>
          </w:tcPr>
          <w:p>
            <w:pPr>
              <w:pStyle w:val="13"/>
            </w:pPr>
          </w:p>
        </w:tc>
        <w:tc>
          <w:tcPr>
            <w:tcW w:w="2551" w:type="dxa"/>
            <w:vAlign w:val="center"/>
          </w:tcPr>
          <w:p>
            <w:pPr>
              <w:pStyle w:val="13"/>
            </w:pPr>
            <w: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30211</w:t>
            </w:r>
          </w:p>
        </w:tc>
        <w:tc>
          <w:tcPr>
            <w:tcW w:w="4535" w:type="dxa"/>
            <w:vAlign w:val="center"/>
          </w:tcPr>
          <w:p>
            <w:pPr>
              <w:pStyle w:val="14"/>
            </w:pPr>
            <w:r>
              <w:t>差旅费</w:t>
            </w:r>
          </w:p>
        </w:tc>
        <w:tc>
          <w:tcPr>
            <w:tcW w:w="2551" w:type="dxa"/>
            <w:vAlign w:val="center"/>
          </w:tcPr>
          <w:p>
            <w:pPr>
              <w:pStyle w:val="13"/>
            </w:pPr>
            <w:r>
              <w:t>5.50</w:t>
            </w:r>
          </w:p>
        </w:tc>
        <w:tc>
          <w:tcPr>
            <w:tcW w:w="2551" w:type="dxa"/>
            <w:vAlign w:val="center"/>
          </w:tcPr>
          <w:p>
            <w:pPr>
              <w:pStyle w:val="13"/>
            </w:pPr>
          </w:p>
        </w:tc>
        <w:tc>
          <w:tcPr>
            <w:tcW w:w="2551" w:type="dxa"/>
            <w:vAlign w:val="center"/>
          </w:tcPr>
          <w:p>
            <w:pPr>
              <w:pStyle w:val="13"/>
            </w:pPr>
            <w:r>
              <w:t>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3"/>
            </w:pPr>
            <w:r>
              <w:t>2.00</w:t>
            </w:r>
          </w:p>
        </w:tc>
        <w:tc>
          <w:tcPr>
            <w:tcW w:w="2551" w:type="dxa"/>
            <w:vAlign w:val="center"/>
          </w:tcPr>
          <w:p>
            <w:pPr>
              <w:pStyle w:val="13"/>
            </w:pPr>
          </w:p>
        </w:tc>
        <w:tc>
          <w:tcPr>
            <w:tcW w:w="2551" w:type="dxa"/>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30231</w:t>
            </w:r>
          </w:p>
        </w:tc>
        <w:tc>
          <w:tcPr>
            <w:tcW w:w="4535" w:type="dxa"/>
            <w:vAlign w:val="center"/>
          </w:tcPr>
          <w:p>
            <w:pPr>
              <w:pStyle w:val="14"/>
            </w:pPr>
            <w:r>
              <w:t>公务用车运行维护费</w:t>
            </w:r>
          </w:p>
        </w:tc>
        <w:tc>
          <w:tcPr>
            <w:tcW w:w="2551" w:type="dxa"/>
            <w:vAlign w:val="center"/>
          </w:tcPr>
          <w:p>
            <w:pPr>
              <w:pStyle w:val="13"/>
            </w:pPr>
            <w:r>
              <w:t>2.00</w:t>
            </w:r>
          </w:p>
        </w:tc>
        <w:tc>
          <w:tcPr>
            <w:tcW w:w="2551" w:type="dxa"/>
            <w:vAlign w:val="center"/>
          </w:tcPr>
          <w:p>
            <w:pPr>
              <w:pStyle w:val="13"/>
            </w:pPr>
          </w:p>
        </w:tc>
        <w:tc>
          <w:tcPr>
            <w:tcW w:w="2551" w:type="dxa"/>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8.88</w:t>
            </w:r>
          </w:p>
        </w:tc>
        <w:tc>
          <w:tcPr>
            <w:tcW w:w="2551" w:type="dxa"/>
            <w:vAlign w:val="center"/>
          </w:tcPr>
          <w:p>
            <w:pPr>
              <w:pStyle w:val="13"/>
            </w:pPr>
          </w:p>
        </w:tc>
        <w:tc>
          <w:tcPr>
            <w:tcW w:w="2551" w:type="dxa"/>
            <w:vAlign w:val="center"/>
          </w:tcPr>
          <w:p>
            <w:pPr>
              <w:pStyle w:val="13"/>
            </w:pPr>
            <w:r>
              <w:t>8.88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9.85</w:t>
            </w:r>
          </w:p>
        </w:tc>
        <w:tc>
          <w:tcPr>
            <w:tcW w:w="2551" w:type="dxa"/>
            <w:vAlign w:val="center"/>
          </w:tcPr>
          <w:p>
            <w:pPr>
              <w:pStyle w:val="13"/>
            </w:pPr>
            <w:r>
              <w:t>9.85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3"/>
            </w:pPr>
            <w:r>
              <w:t>9.85</w:t>
            </w:r>
          </w:p>
        </w:tc>
        <w:tc>
          <w:tcPr>
            <w:tcW w:w="2551" w:type="dxa"/>
            <w:vAlign w:val="center"/>
          </w:tcPr>
          <w:p>
            <w:pPr>
              <w:pStyle w:val="13"/>
            </w:pPr>
            <w:r>
              <w:t>9.85</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562成安县政法委</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562成安县政法委</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122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42"/>
        <w:gridCol w:w="3924"/>
        <w:gridCol w:w="1584"/>
        <w:gridCol w:w="1616"/>
        <w:gridCol w:w="1800"/>
        <w:gridCol w:w="20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50" w:type="dxa"/>
            <w:gridSpan w:val="3"/>
            <w:tcBorders>
              <w:top w:val="single" w:color="FFFFFF" w:sz="6" w:space="0"/>
              <w:left w:val="single" w:color="FFFFFF" w:sz="6" w:space="0"/>
              <w:right w:val="single" w:color="FFFFFF" w:sz="6" w:space="0"/>
            </w:tcBorders>
            <w:vAlign w:val="center"/>
          </w:tcPr>
          <w:p>
            <w:pPr>
              <w:pStyle w:val="11"/>
            </w:pPr>
            <w:r>
              <w:t>562001成安县政法委(本级)</w:t>
            </w:r>
          </w:p>
        </w:tc>
        <w:tc>
          <w:tcPr>
            <w:tcW w:w="1616" w:type="dxa"/>
            <w:tcBorders>
              <w:top w:val="single" w:color="FFFFFF" w:sz="6" w:space="0"/>
              <w:left w:val="single" w:color="FFFFFF" w:sz="6" w:space="0"/>
              <w:right w:val="single" w:color="FFFFFF" w:sz="6" w:space="0"/>
            </w:tcBorders>
            <w:vAlign w:val="center"/>
          </w:tcPr>
          <w:p>
            <w:pPr>
              <w:pStyle w:val="10"/>
              <w:rPr>
                <w:rFonts w:hint="eastAsia" w:eastAsia="方正小标宋_GBK"/>
                <w:lang w:eastAsia="zh-CN"/>
              </w:rPr>
            </w:pPr>
            <w:r>
              <w:t>预算年度：202</w:t>
            </w:r>
            <w:r>
              <w:rPr>
                <w:rFonts w:hint="eastAsia"/>
                <w:lang w:val="en-US" w:eastAsia="zh-CN"/>
              </w:rPr>
              <w:t>4</w:t>
            </w:r>
          </w:p>
        </w:tc>
        <w:tc>
          <w:tcPr>
            <w:tcW w:w="3834"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42" w:type="dxa"/>
            <w:vMerge w:val="restart"/>
            <w:vAlign w:val="center"/>
          </w:tcPr>
          <w:p>
            <w:pPr>
              <w:pStyle w:val="12"/>
            </w:pPr>
            <w:r>
              <w:t>序号</w:t>
            </w:r>
          </w:p>
        </w:tc>
        <w:tc>
          <w:tcPr>
            <w:tcW w:w="3924" w:type="dxa"/>
            <w:vMerge w:val="restart"/>
            <w:vAlign w:val="center"/>
          </w:tcPr>
          <w:p>
            <w:pPr>
              <w:pStyle w:val="12"/>
            </w:pPr>
            <w:r>
              <w:t>项  目</w:t>
            </w:r>
          </w:p>
        </w:tc>
        <w:tc>
          <w:tcPr>
            <w:tcW w:w="703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42" w:type="dxa"/>
            <w:vMerge w:val="continue"/>
          </w:tcPr>
          <w:p/>
        </w:tc>
        <w:tc>
          <w:tcPr>
            <w:tcW w:w="3924" w:type="dxa"/>
            <w:vMerge w:val="continue"/>
          </w:tcPr>
          <w:p/>
        </w:tc>
        <w:tc>
          <w:tcPr>
            <w:tcW w:w="1584" w:type="dxa"/>
            <w:vAlign w:val="center"/>
          </w:tcPr>
          <w:p>
            <w:pPr>
              <w:pStyle w:val="12"/>
            </w:pPr>
            <w:r>
              <w:t>合计</w:t>
            </w:r>
          </w:p>
        </w:tc>
        <w:tc>
          <w:tcPr>
            <w:tcW w:w="1616" w:type="dxa"/>
            <w:vAlign w:val="center"/>
          </w:tcPr>
          <w:p>
            <w:pPr>
              <w:pStyle w:val="12"/>
            </w:pPr>
            <w:r>
              <w:t>一般公共预算              财政拨款</w:t>
            </w:r>
          </w:p>
        </w:tc>
        <w:tc>
          <w:tcPr>
            <w:tcW w:w="1800" w:type="dxa"/>
            <w:vAlign w:val="center"/>
          </w:tcPr>
          <w:p>
            <w:pPr>
              <w:pStyle w:val="12"/>
            </w:pPr>
            <w:r>
              <w:t>政府性基金                  预算拨款</w:t>
            </w:r>
          </w:p>
        </w:tc>
        <w:tc>
          <w:tcPr>
            <w:tcW w:w="2034"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tblHeader/>
          <w:jc w:val="center"/>
        </w:trPr>
        <w:tc>
          <w:tcPr>
            <w:tcW w:w="1242" w:type="dxa"/>
            <w:vAlign w:val="center"/>
          </w:tcPr>
          <w:p>
            <w:pPr>
              <w:pStyle w:val="12"/>
            </w:pPr>
            <w:r>
              <w:t>栏次</w:t>
            </w:r>
          </w:p>
        </w:tc>
        <w:tc>
          <w:tcPr>
            <w:tcW w:w="3924" w:type="dxa"/>
            <w:vAlign w:val="center"/>
          </w:tcPr>
          <w:p>
            <w:pPr>
              <w:pStyle w:val="12"/>
            </w:pPr>
            <w:r>
              <w:t>1</w:t>
            </w:r>
          </w:p>
        </w:tc>
        <w:tc>
          <w:tcPr>
            <w:tcW w:w="1584" w:type="dxa"/>
            <w:vAlign w:val="center"/>
          </w:tcPr>
          <w:p>
            <w:pPr>
              <w:pStyle w:val="12"/>
            </w:pPr>
            <w:r>
              <w:t>2</w:t>
            </w:r>
          </w:p>
        </w:tc>
        <w:tc>
          <w:tcPr>
            <w:tcW w:w="1616" w:type="dxa"/>
            <w:vAlign w:val="center"/>
          </w:tcPr>
          <w:p>
            <w:pPr>
              <w:pStyle w:val="12"/>
            </w:pPr>
            <w:r>
              <w:t>3</w:t>
            </w:r>
          </w:p>
        </w:tc>
        <w:tc>
          <w:tcPr>
            <w:tcW w:w="1800" w:type="dxa"/>
            <w:vAlign w:val="center"/>
          </w:tcPr>
          <w:p>
            <w:pPr>
              <w:pStyle w:val="12"/>
            </w:pPr>
            <w:r>
              <w:t>4</w:t>
            </w:r>
          </w:p>
        </w:tc>
        <w:tc>
          <w:tcPr>
            <w:tcW w:w="2034"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242" w:type="dxa"/>
            <w:vAlign w:val="center"/>
          </w:tcPr>
          <w:p>
            <w:pPr>
              <w:pStyle w:val="15"/>
              <w:ind w:firstLine="0" w:firstLineChars="0"/>
              <w:rPr>
                <w:rFonts w:hint="eastAsia" w:ascii="方正书宋_GBK" w:hAnsi="方正书宋_GBK" w:eastAsia="方正书宋_GBK" w:cs="方正书宋_GBK"/>
                <w:kern w:val="2"/>
                <w:sz w:val="21"/>
                <w:szCs w:val="24"/>
                <w:lang w:val="en-US" w:eastAsia="zh-CN" w:bidi="ar-SA"/>
              </w:rPr>
            </w:pPr>
            <w:r>
              <w:rPr>
                <w:rFonts w:hint="eastAsia" w:ascii="方正书宋_GBK" w:hAnsi="方正书宋_GBK" w:eastAsia="方正书宋_GBK" w:cs="方正书宋_GBK"/>
                <w:sz w:val="21"/>
                <w:szCs w:val="24"/>
                <w:lang w:val="en-US" w:eastAsia="zh-CN" w:bidi="ar-SA"/>
              </w:rPr>
              <w:t>1</w:t>
            </w:r>
          </w:p>
        </w:tc>
        <w:tc>
          <w:tcPr>
            <w:tcW w:w="3924" w:type="dxa"/>
            <w:vAlign w:val="center"/>
          </w:tcPr>
          <w:p>
            <w:pPr>
              <w:pStyle w:val="14"/>
              <w:ind w:firstLine="0" w:firstLineChars="0"/>
              <w:rPr>
                <w:rFonts w:ascii="方正书宋_GBK" w:hAnsi="方正书宋_GBK" w:eastAsia="方正书宋_GBK" w:cs="方正书宋_GBK"/>
                <w:kern w:val="2"/>
                <w:sz w:val="21"/>
                <w:szCs w:val="24"/>
                <w:lang w:val="en-US" w:eastAsia="uk-UA" w:bidi="ar-SA"/>
              </w:rPr>
            </w:pPr>
            <w:r>
              <w:rPr>
                <w:rFonts w:hint="default" w:ascii="方正书宋_GBK" w:hAnsi="方正书宋_GBK" w:eastAsia="方正书宋_GBK" w:cs="方正书宋_GBK"/>
                <w:sz w:val="21"/>
                <w:szCs w:val="24"/>
                <w:lang w:val="en-US" w:eastAsia="zh-CN" w:bidi="ar-SA"/>
              </w:rPr>
              <w:t>合计</w:t>
            </w:r>
          </w:p>
        </w:tc>
        <w:tc>
          <w:tcPr>
            <w:tcW w:w="1584" w:type="dxa"/>
            <w:vAlign w:val="center"/>
          </w:tcPr>
          <w:p>
            <w:pPr>
              <w:pStyle w:val="13"/>
              <w:ind w:firstLine="0" w:firstLineChars="0"/>
              <w:jc w:val="center"/>
              <w:rPr>
                <w:rFonts w:hint="default" w:ascii="方正书宋_GBK" w:hAnsi="方正书宋_GBK" w:eastAsia="方正书宋_GBK" w:cs="方正书宋_GBK"/>
                <w:kern w:val="2"/>
                <w:sz w:val="21"/>
                <w:szCs w:val="24"/>
                <w:lang w:val="en-US" w:eastAsia="zh-CN" w:bidi="ar-SA"/>
              </w:rPr>
            </w:pPr>
            <w:r>
              <w:rPr>
                <w:rFonts w:hint="eastAsia" w:ascii="方正书宋_GBK" w:hAnsi="方正书宋_GBK" w:eastAsia="方正书宋_GBK" w:cs="方正书宋_GBK"/>
                <w:sz w:val="21"/>
                <w:szCs w:val="24"/>
                <w:lang w:val="en-US" w:eastAsia="zh-CN" w:bidi="ar-SA"/>
              </w:rPr>
              <w:t>2.0</w:t>
            </w:r>
          </w:p>
        </w:tc>
        <w:tc>
          <w:tcPr>
            <w:tcW w:w="1616" w:type="dxa"/>
            <w:vAlign w:val="center"/>
          </w:tcPr>
          <w:p>
            <w:pPr>
              <w:pStyle w:val="13"/>
              <w:ind w:firstLine="0" w:firstLineChars="0"/>
              <w:jc w:val="center"/>
              <w:rPr>
                <w:rFonts w:hint="default" w:ascii="方正书宋_GBK" w:hAnsi="方正书宋_GBK" w:eastAsia="方正书宋_GBK" w:cs="方正书宋_GBK"/>
                <w:kern w:val="2"/>
                <w:sz w:val="21"/>
                <w:szCs w:val="24"/>
                <w:lang w:val="en-US" w:eastAsia="zh-CN" w:bidi="ar-SA"/>
              </w:rPr>
            </w:pPr>
            <w:r>
              <w:rPr>
                <w:rFonts w:hint="eastAsia" w:ascii="方正书宋_GBK" w:hAnsi="方正书宋_GBK" w:eastAsia="方正书宋_GBK" w:cs="方正书宋_GBK"/>
                <w:sz w:val="21"/>
                <w:szCs w:val="24"/>
                <w:lang w:val="en-US" w:eastAsia="zh-CN" w:bidi="ar-SA"/>
              </w:rPr>
              <w:t>2.0</w:t>
            </w:r>
          </w:p>
        </w:tc>
        <w:tc>
          <w:tcPr>
            <w:tcW w:w="1800" w:type="dxa"/>
            <w:vAlign w:val="center"/>
          </w:tcPr>
          <w:p>
            <w:pPr>
              <w:pStyle w:val="13"/>
              <w:ind w:firstLine="0" w:firstLineChars="0"/>
              <w:rPr>
                <w:rFonts w:ascii="方正书宋_GBK" w:hAnsi="方正书宋_GBK" w:eastAsia="方正书宋_GBK" w:cs="方正书宋_GBK"/>
                <w:kern w:val="2"/>
                <w:sz w:val="21"/>
                <w:szCs w:val="24"/>
                <w:lang w:val="en-US" w:eastAsia="uk-UA" w:bidi="ar-SA"/>
              </w:rPr>
            </w:pPr>
          </w:p>
        </w:tc>
        <w:tc>
          <w:tcPr>
            <w:tcW w:w="2034" w:type="dxa"/>
            <w:vAlign w:val="center"/>
          </w:tcPr>
          <w:p>
            <w:pPr>
              <w:pStyle w:val="13"/>
              <w:ind w:firstLine="0" w:firstLineChars="0"/>
              <w:rPr>
                <w:rFonts w:ascii="方正书宋_GBK" w:hAnsi="方正书宋_GBK" w:eastAsia="方正书宋_GBK" w:cs="方正书宋_GBK"/>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242" w:type="dxa"/>
            <w:vAlign w:val="center"/>
          </w:tcPr>
          <w:p>
            <w:pPr>
              <w:pStyle w:val="15"/>
              <w:ind w:firstLine="0" w:firstLineChars="0"/>
              <w:rPr>
                <w:rFonts w:hint="eastAsia" w:ascii="方正书宋_GBK" w:hAnsi="方正书宋_GBK" w:eastAsia="方正书宋_GBK" w:cs="方正书宋_GBK"/>
                <w:kern w:val="2"/>
                <w:sz w:val="21"/>
                <w:szCs w:val="24"/>
                <w:lang w:val="en-US" w:eastAsia="zh-CN" w:bidi="ar-SA"/>
              </w:rPr>
            </w:pPr>
            <w:r>
              <w:rPr>
                <w:rFonts w:hint="eastAsia" w:ascii="方正书宋_GBK" w:hAnsi="方正书宋_GBK" w:eastAsia="方正书宋_GBK" w:cs="方正书宋_GBK"/>
                <w:sz w:val="21"/>
                <w:szCs w:val="24"/>
                <w:lang w:val="en-US" w:eastAsia="zh-CN" w:bidi="ar-SA"/>
              </w:rPr>
              <w:t>2</w:t>
            </w:r>
          </w:p>
        </w:tc>
        <w:tc>
          <w:tcPr>
            <w:tcW w:w="3924" w:type="dxa"/>
            <w:vAlign w:val="center"/>
          </w:tcPr>
          <w:p>
            <w:pPr>
              <w:pStyle w:val="14"/>
              <w:ind w:firstLine="0" w:firstLineChars="0"/>
              <w:rPr>
                <w:rFonts w:ascii="方正书宋_GBK" w:hAnsi="方正书宋_GBK" w:eastAsia="方正书宋_GBK" w:cs="方正书宋_GBK"/>
                <w:kern w:val="2"/>
                <w:sz w:val="21"/>
                <w:szCs w:val="24"/>
                <w:lang w:val="en-US" w:eastAsia="uk-UA" w:bidi="ar-SA"/>
              </w:rPr>
            </w:pPr>
            <w:r>
              <w:rPr>
                <w:rFonts w:hint="default" w:ascii="方正书宋_GBK" w:hAnsi="方正书宋_GBK" w:eastAsia="方正书宋_GBK" w:cs="方正书宋_GBK"/>
                <w:sz w:val="21"/>
                <w:szCs w:val="24"/>
                <w:lang w:val="en-US" w:eastAsia="zh-CN" w:bidi="ar-SA"/>
              </w:rPr>
              <w:t>“三公”经费小计</w:t>
            </w:r>
          </w:p>
        </w:tc>
        <w:tc>
          <w:tcPr>
            <w:tcW w:w="1584" w:type="dxa"/>
            <w:vAlign w:val="center"/>
          </w:tcPr>
          <w:p>
            <w:pPr>
              <w:pStyle w:val="13"/>
              <w:ind w:firstLine="0" w:firstLineChars="0"/>
              <w:jc w:val="center"/>
              <w:rPr>
                <w:rFonts w:hint="default" w:ascii="方正书宋_GBK" w:hAnsi="方正书宋_GBK" w:eastAsia="方正书宋_GBK" w:cs="方正书宋_GBK"/>
                <w:kern w:val="2"/>
                <w:sz w:val="21"/>
                <w:szCs w:val="24"/>
                <w:lang w:val="en-US" w:eastAsia="zh-CN" w:bidi="ar-SA"/>
              </w:rPr>
            </w:pPr>
            <w:r>
              <w:rPr>
                <w:rFonts w:hint="eastAsia" w:ascii="方正书宋_GBK" w:hAnsi="方正书宋_GBK" w:eastAsia="方正书宋_GBK" w:cs="方正书宋_GBK"/>
                <w:sz w:val="21"/>
                <w:szCs w:val="24"/>
                <w:lang w:val="en-US" w:eastAsia="zh-CN" w:bidi="ar-SA"/>
              </w:rPr>
              <w:t>2.0</w:t>
            </w:r>
          </w:p>
        </w:tc>
        <w:tc>
          <w:tcPr>
            <w:tcW w:w="1616" w:type="dxa"/>
            <w:vAlign w:val="center"/>
          </w:tcPr>
          <w:p>
            <w:pPr>
              <w:pStyle w:val="13"/>
              <w:ind w:firstLine="0" w:firstLineChars="0"/>
              <w:jc w:val="center"/>
              <w:rPr>
                <w:rFonts w:hint="default" w:ascii="方正书宋_GBK" w:hAnsi="方正书宋_GBK" w:eastAsia="方正书宋_GBK" w:cs="方正书宋_GBK"/>
                <w:kern w:val="2"/>
                <w:sz w:val="21"/>
                <w:szCs w:val="24"/>
                <w:lang w:val="en-US" w:eastAsia="zh-CN" w:bidi="ar-SA"/>
              </w:rPr>
            </w:pPr>
            <w:r>
              <w:rPr>
                <w:rFonts w:hint="eastAsia" w:ascii="方正书宋_GBK" w:hAnsi="方正书宋_GBK" w:eastAsia="方正书宋_GBK" w:cs="方正书宋_GBK"/>
                <w:sz w:val="21"/>
                <w:szCs w:val="24"/>
                <w:lang w:val="en-US" w:eastAsia="zh-CN" w:bidi="ar-SA"/>
              </w:rPr>
              <w:t>2.0</w:t>
            </w:r>
          </w:p>
        </w:tc>
        <w:tc>
          <w:tcPr>
            <w:tcW w:w="1800" w:type="dxa"/>
            <w:vAlign w:val="center"/>
          </w:tcPr>
          <w:p>
            <w:pPr>
              <w:pStyle w:val="13"/>
              <w:ind w:firstLine="0" w:firstLineChars="0"/>
              <w:rPr>
                <w:rFonts w:ascii="方正书宋_GBK" w:hAnsi="方正书宋_GBK" w:eastAsia="方正书宋_GBK" w:cs="方正书宋_GBK"/>
                <w:kern w:val="2"/>
                <w:sz w:val="21"/>
                <w:szCs w:val="24"/>
                <w:lang w:val="en-US" w:eastAsia="uk-UA" w:bidi="ar-SA"/>
              </w:rPr>
            </w:pPr>
          </w:p>
        </w:tc>
        <w:tc>
          <w:tcPr>
            <w:tcW w:w="2034" w:type="dxa"/>
            <w:vAlign w:val="center"/>
          </w:tcPr>
          <w:p>
            <w:pPr>
              <w:pStyle w:val="13"/>
              <w:ind w:firstLine="0" w:firstLineChars="0"/>
              <w:rPr>
                <w:rFonts w:ascii="方正书宋_GBK" w:hAnsi="方正书宋_GBK" w:eastAsia="方正书宋_GBK" w:cs="方正书宋_GBK"/>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242" w:type="dxa"/>
            <w:vAlign w:val="center"/>
          </w:tcPr>
          <w:p>
            <w:pPr>
              <w:pStyle w:val="15"/>
              <w:ind w:firstLine="0" w:firstLineChars="0"/>
              <w:rPr>
                <w:rFonts w:hint="default" w:ascii="方正书宋_GBK" w:hAnsi="方正书宋_GBK" w:eastAsia="方正书宋_GBK" w:cs="方正书宋_GBK"/>
                <w:kern w:val="2"/>
                <w:sz w:val="21"/>
                <w:szCs w:val="24"/>
                <w:lang w:val="en-US" w:eastAsia="zh-CN" w:bidi="ar-SA"/>
              </w:rPr>
            </w:pPr>
            <w:r>
              <w:rPr>
                <w:rFonts w:hint="eastAsia" w:ascii="方正书宋_GBK" w:hAnsi="方正书宋_GBK" w:eastAsia="方正书宋_GBK" w:cs="方正书宋_GBK"/>
                <w:sz w:val="21"/>
                <w:szCs w:val="24"/>
                <w:lang w:val="en-US" w:eastAsia="zh-CN" w:bidi="ar-SA"/>
              </w:rPr>
              <w:t>3</w:t>
            </w:r>
          </w:p>
        </w:tc>
        <w:tc>
          <w:tcPr>
            <w:tcW w:w="3924" w:type="dxa"/>
            <w:vAlign w:val="center"/>
          </w:tcPr>
          <w:p>
            <w:pPr>
              <w:pStyle w:val="14"/>
              <w:ind w:firstLine="0" w:firstLineChars="0"/>
              <w:rPr>
                <w:rFonts w:ascii="方正书宋_GBK" w:hAnsi="方正书宋_GBK" w:eastAsia="方正书宋_GBK" w:cs="方正书宋_GBK"/>
                <w:kern w:val="2"/>
                <w:sz w:val="21"/>
                <w:szCs w:val="24"/>
                <w:lang w:val="en-US" w:eastAsia="uk-UA" w:bidi="ar-SA"/>
              </w:rPr>
            </w:pPr>
            <w:r>
              <w:rPr>
                <w:rFonts w:hint="default" w:ascii="方正书宋_GBK" w:hAnsi="方正书宋_GBK" w:eastAsia="方正书宋_GBK" w:cs="方正书宋_GBK"/>
                <w:sz w:val="21"/>
                <w:szCs w:val="24"/>
                <w:lang w:val="en-US" w:eastAsia="zh-CN" w:bidi="ar-SA"/>
              </w:rPr>
              <w:t>一、因公出国（境）费</w:t>
            </w:r>
          </w:p>
        </w:tc>
        <w:tc>
          <w:tcPr>
            <w:tcW w:w="1584" w:type="dxa"/>
            <w:vAlign w:val="center"/>
          </w:tcPr>
          <w:p>
            <w:pPr>
              <w:pStyle w:val="13"/>
              <w:ind w:firstLine="0" w:firstLineChars="0"/>
              <w:jc w:val="center"/>
              <w:rPr>
                <w:rFonts w:ascii="方正书宋_GBK" w:hAnsi="方正书宋_GBK" w:eastAsia="方正书宋_GBK" w:cs="方正书宋_GBK"/>
                <w:kern w:val="2"/>
                <w:sz w:val="21"/>
                <w:szCs w:val="24"/>
                <w:lang w:val="en-US" w:eastAsia="uk-UA" w:bidi="ar-SA"/>
              </w:rPr>
            </w:pPr>
          </w:p>
        </w:tc>
        <w:tc>
          <w:tcPr>
            <w:tcW w:w="1616" w:type="dxa"/>
            <w:vAlign w:val="center"/>
          </w:tcPr>
          <w:p>
            <w:pPr>
              <w:pStyle w:val="13"/>
              <w:ind w:firstLine="0" w:firstLineChars="0"/>
              <w:jc w:val="center"/>
              <w:rPr>
                <w:rFonts w:ascii="方正书宋_GBK" w:hAnsi="方正书宋_GBK" w:eastAsia="方正书宋_GBK" w:cs="方正书宋_GBK"/>
                <w:kern w:val="2"/>
                <w:sz w:val="21"/>
                <w:szCs w:val="24"/>
                <w:lang w:val="en-US" w:eastAsia="uk-UA" w:bidi="ar-SA"/>
              </w:rPr>
            </w:pPr>
          </w:p>
        </w:tc>
        <w:tc>
          <w:tcPr>
            <w:tcW w:w="1800" w:type="dxa"/>
            <w:vAlign w:val="center"/>
          </w:tcPr>
          <w:p>
            <w:pPr>
              <w:pStyle w:val="13"/>
              <w:ind w:firstLine="0" w:firstLineChars="0"/>
              <w:rPr>
                <w:rFonts w:ascii="方正书宋_GBK" w:hAnsi="方正书宋_GBK" w:eastAsia="方正书宋_GBK" w:cs="方正书宋_GBK"/>
                <w:kern w:val="2"/>
                <w:sz w:val="21"/>
                <w:szCs w:val="24"/>
                <w:lang w:val="en-US" w:eastAsia="uk-UA" w:bidi="ar-SA"/>
              </w:rPr>
            </w:pPr>
          </w:p>
        </w:tc>
        <w:tc>
          <w:tcPr>
            <w:tcW w:w="2034" w:type="dxa"/>
            <w:vAlign w:val="center"/>
          </w:tcPr>
          <w:p>
            <w:pPr>
              <w:pStyle w:val="13"/>
              <w:ind w:firstLine="0" w:firstLineChars="0"/>
              <w:rPr>
                <w:rFonts w:ascii="方正书宋_GBK" w:hAnsi="方正书宋_GBK" w:eastAsia="方正书宋_GBK" w:cs="方正书宋_GBK"/>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242" w:type="dxa"/>
            <w:vAlign w:val="center"/>
          </w:tcPr>
          <w:p>
            <w:pPr>
              <w:pStyle w:val="15"/>
              <w:ind w:firstLine="0" w:firstLineChars="0"/>
              <w:rPr>
                <w:rFonts w:hint="eastAsia" w:ascii="方正书宋_GBK" w:hAnsi="方正书宋_GBK" w:eastAsia="方正书宋_GBK" w:cs="方正书宋_GBK"/>
                <w:kern w:val="2"/>
                <w:sz w:val="21"/>
                <w:szCs w:val="24"/>
                <w:lang w:val="en-US" w:eastAsia="zh-CN" w:bidi="ar-SA"/>
              </w:rPr>
            </w:pPr>
            <w:r>
              <w:rPr>
                <w:rFonts w:hint="eastAsia" w:ascii="方正书宋_GBK" w:hAnsi="方正书宋_GBK" w:eastAsia="方正书宋_GBK" w:cs="方正书宋_GBK"/>
                <w:sz w:val="21"/>
                <w:szCs w:val="24"/>
                <w:lang w:val="en-US" w:eastAsia="zh-CN" w:bidi="ar-SA"/>
              </w:rPr>
              <w:t>4</w:t>
            </w:r>
          </w:p>
        </w:tc>
        <w:tc>
          <w:tcPr>
            <w:tcW w:w="3924" w:type="dxa"/>
            <w:vAlign w:val="center"/>
          </w:tcPr>
          <w:p>
            <w:pPr>
              <w:pStyle w:val="14"/>
              <w:ind w:firstLine="0" w:firstLineChars="0"/>
              <w:rPr>
                <w:rFonts w:ascii="方正书宋_GBK" w:hAnsi="方正书宋_GBK" w:eastAsia="方正书宋_GBK" w:cs="方正书宋_GBK"/>
                <w:kern w:val="2"/>
                <w:sz w:val="21"/>
                <w:szCs w:val="24"/>
                <w:lang w:val="en-US" w:eastAsia="uk-UA" w:bidi="ar-SA"/>
              </w:rPr>
            </w:pPr>
            <w:r>
              <w:rPr>
                <w:rFonts w:hint="default" w:ascii="方正书宋_GBK" w:hAnsi="方正书宋_GBK" w:eastAsia="方正书宋_GBK" w:cs="方正书宋_GBK"/>
                <w:sz w:val="21"/>
                <w:szCs w:val="24"/>
                <w:lang w:val="en-US" w:eastAsia="zh-CN" w:bidi="ar-SA"/>
              </w:rPr>
              <w:t xml:space="preserve"> 其中：教学科研人员因公出国（境）费</w:t>
            </w:r>
          </w:p>
        </w:tc>
        <w:tc>
          <w:tcPr>
            <w:tcW w:w="1584" w:type="dxa"/>
            <w:vAlign w:val="center"/>
          </w:tcPr>
          <w:p>
            <w:pPr>
              <w:pStyle w:val="13"/>
              <w:ind w:firstLine="0" w:firstLineChars="0"/>
              <w:jc w:val="center"/>
              <w:rPr>
                <w:rFonts w:ascii="方正书宋_GBK" w:hAnsi="方正书宋_GBK" w:eastAsia="方正书宋_GBK" w:cs="方正书宋_GBK"/>
                <w:kern w:val="2"/>
                <w:sz w:val="21"/>
                <w:szCs w:val="24"/>
                <w:lang w:val="en-US" w:eastAsia="uk-UA" w:bidi="ar-SA"/>
              </w:rPr>
            </w:pPr>
          </w:p>
        </w:tc>
        <w:tc>
          <w:tcPr>
            <w:tcW w:w="1616" w:type="dxa"/>
            <w:vAlign w:val="center"/>
          </w:tcPr>
          <w:p>
            <w:pPr>
              <w:pStyle w:val="13"/>
              <w:ind w:firstLine="0" w:firstLineChars="0"/>
              <w:jc w:val="center"/>
              <w:rPr>
                <w:rFonts w:ascii="方正书宋_GBK" w:hAnsi="方正书宋_GBK" w:eastAsia="方正书宋_GBK" w:cs="方正书宋_GBK"/>
                <w:kern w:val="2"/>
                <w:sz w:val="21"/>
                <w:szCs w:val="24"/>
                <w:lang w:val="en-US" w:eastAsia="uk-UA" w:bidi="ar-SA"/>
              </w:rPr>
            </w:pPr>
          </w:p>
        </w:tc>
        <w:tc>
          <w:tcPr>
            <w:tcW w:w="1800" w:type="dxa"/>
            <w:vAlign w:val="center"/>
          </w:tcPr>
          <w:p>
            <w:pPr>
              <w:pStyle w:val="13"/>
              <w:ind w:firstLine="0" w:firstLineChars="0"/>
              <w:rPr>
                <w:rFonts w:ascii="方正书宋_GBK" w:hAnsi="方正书宋_GBK" w:eastAsia="方正书宋_GBK" w:cs="方正书宋_GBK"/>
                <w:kern w:val="2"/>
                <w:sz w:val="21"/>
                <w:szCs w:val="24"/>
                <w:lang w:val="en-US" w:eastAsia="uk-UA" w:bidi="ar-SA"/>
              </w:rPr>
            </w:pPr>
          </w:p>
        </w:tc>
        <w:tc>
          <w:tcPr>
            <w:tcW w:w="2034" w:type="dxa"/>
            <w:vAlign w:val="center"/>
          </w:tcPr>
          <w:p>
            <w:pPr>
              <w:pStyle w:val="13"/>
              <w:ind w:firstLine="0" w:firstLineChars="0"/>
              <w:rPr>
                <w:rFonts w:ascii="方正书宋_GBK" w:hAnsi="方正书宋_GBK" w:eastAsia="方正书宋_GBK" w:cs="方正书宋_GBK"/>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242" w:type="dxa"/>
            <w:vAlign w:val="center"/>
          </w:tcPr>
          <w:p>
            <w:pPr>
              <w:pStyle w:val="15"/>
              <w:ind w:firstLine="0" w:firstLineChars="0"/>
              <w:rPr>
                <w:rFonts w:hint="eastAsia" w:ascii="方正书宋_GBK" w:hAnsi="方正书宋_GBK" w:eastAsia="方正书宋_GBK" w:cs="方正书宋_GBK"/>
                <w:kern w:val="2"/>
                <w:sz w:val="21"/>
                <w:szCs w:val="24"/>
                <w:lang w:val="en-US" w:eastAsia="zh-CN" w:bidi="ar-SA"/>
              </w:rPr>
            </w:pPr>
            <w:r>
              <w:rPr>
                <w:rFonts w:hint="eastAsia" w:ascii="方正书宋_GBK" w:hAnsi="方正书宋_GBK" w:eastAsia="方正书宋_GBK" w:cs="方正书宋_GBK"/>
                <w:sz w:val="21"/>
                <w:szCs w:val="24"/>
                <w:lang w:val="en-US" w:eastAsia="zh-CN" w:bidi="ar-SA"/>
              </w:rPr>
              <w:t>5</w:t>
            </w:r>
          </w:p>
        </w:tc>
        <w:tc>
          <w:tcPr>
            <w:tcW w:w="3924" w:type="dxa"/>
            <w:vAlign w:val="center"/>
          </w:tcPr>
          <w:p>
            <w:pPr>
              <w:pStyle w:val="14"/>
              <w:ind w:firstLine="0" w:firstLineChars="0"/>
              <w:rPr>
                <w:rFonts w:ascii="方正书宋_GBK" w:hAnsi="方正书宋_GBK" w:eastAsia="方正书宋_GBK" w:cs="方正书宋_GBK"/>
                <w:kern w:val="2"/>
                <w:sz w:val="21"/>
                <w:szCs w:val="24"/>
                <w:lang w:val="en-US" w:eastAsia="uk-UA" w:bidi="ar-SA"/>
              </w:rPr>
            </w:pPr>
            <w:r>
              <w:rPr>
                <w:rFonts w:hint="default" w:ascii="方正书宋_GBK" w:hAnsi="方正书宋_GBK" w:eastAsia="方正书宋_GBK" w:cs="方正书宋_GBK"/>
                <w:sz w:val="21"/>
                <w:szCs w:val="24"/>
                <w:lang w:val="en-US" w:eastAsia="zh-CN" w:bidi="ar-SA"/>
              </w:rPr>
              <w:t xml:space="preserve">  其他因公出国（境）费</w:t>
            </w:r>
          </w:p>
        </w:tc>
        <w:tc>
          <w:tcPr>
            <w:tcW w:w="1584" w:type="dxa"/>
            <w:vAlign w:val="center"/>
          </w:tcPr>
          <w:p>
            <w:pPr>
              <w:pStyle w:val="13"/>
              <w:ind w:firstLine="0" w:firstLineChars="0"/>
              <w:jc w:val="center"/>
              <w:rPr>
                <w:rFonts w:ascii="方正书宋_GBK" w:hAnsi="方正书宋_GBK" w:eastAsia="方正书宋_GBK" w:cs="方正书宋_GBK"/>
                <w:kern w:val="2"/>
                <w:sz w:val="21"/>
                <w:szCs w:val="24"/>
                <w:lang w:val="en-US" w:eastAsia="uk-UA" w:bidi="ar-SA"/>
              </w:rPr>
            </w:pPr>
          </w:p>
        </w:tc>
        <w:tc>
          <w:tcPr>
            <w:tcW w:w="1616" w:type="dxa"/>
            <w:vAlign w:val="center"/>
          </w:tcPr>
          <w:p>
            <w:pPr>
              <w:pStyle w:val="13"/>
              <w:ind w:firstLine="0" w:firstLineChars="0"/>
              <w:jc w:val="center"/>
              <w:rPr>
                <w:rFonts w:ascii="方正书宋_GBK" w:hAnsi="方正书宋_GBK" w:eastAsia="方正书宋_GBK" w:cs="方正书宋_GBK"/>
                <w:kern w:val="2"/>
                <w:sz w:val="21"/>
                <w:szCs w:val="24"/>
                <w:lang w:val="en-US" w:eastAsia="uk-UA" w:bidi="ar-SA"/>
              </w:rPr>
            </w:pPr>
          </w:p>
        </w:tc>
        <w:tc>
          <w:tcPr>
            <w:tcW w:w="1800" w:type="dxa"/>
            <w:vAlign w:val="center"/>
          </w:tcPr>
          <w:p>
            <w:pPr>
              <w:pStyle w:val="13"/>
              <w:ind w:firstLine="0" w:firstLineChars="0"/>
              <w:rPr>
                <w:rFonts w:ascii="方正书宋_GBK" w:hAnsi="方正书宋_GBK" w:eastAsia="方正书宋_GBK" w:cs="方正书宋_GBK"/>
                <w:kern w:val="2"/>
                <w:sz w:val="21"/>
                <w:szCs w:val="24"/>
                <w:lang w:val="en-US" w:eastAsia="uk-UA" w:bidi="ar-SA"/>
              </w:rPr>
            </w:pPr>
          </w:p>
        </w:tc>
        <w:tc>
          <w:tcPr>
            <w:tcW w:w="2034" w:type="dxa"/>
            <w:vAlign w:val="center"/>
          </w:tcPr>
          <w:p>
            <w:pPr>
              <w:pStyle w:val="13"/>
              <w:ind w:firstLine="0" w:firstLineChars="0"/>
              <w:rPr>
                <w:rFonts w:ascii="方正书宋_GBK" w:hAnsi="方正书宋_GBK" w:eastAsia="方正书宋_GBK" w:cs="方正书宋_GBK"/>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242" w:type="dxa"/>
            <w:vAlign w:val="center"/>
          </w:tcPr>
          <w:p>
            <w:pPr>
              <w:pStyle w:val="15"/>
              <w:ind w:firstLine="0" w:firstLineChars="0"/>
              <w:rPr>
                <w:rFonts w:hint="eastAsia" w:ascii="方正书宋_GBK" w:hAnsi="方正书宋_GBK" w:eastAsia="方正书宋_GBK" w:cs="方正书宋_GBK"/>
                <w:kern w:val="2"/>
                <w:sz w:val="21"/>
                <w:szCs w:val="24"/>
                <w:lang w:val="en-US" w:eastAsia="zh-CN" w:bidi="ar-SA"/>
              </w:rPr>
            </w:pPr>
            <w:r>
              <w:rPr>
                <w:rFonts w:hint="eastAsia" w:ascii="方正书宋_GBK" w:hAnsi="方正书宋_GBK" w:eastAsia="方正书宋_GBK" w:cs="方正书宋_GBK"/>
                <w:sz w:val="21"/>
                <w:szCs w:val="24"/>
                <w:lang w:val="en-US" w:eastAsia="zh-CN" w:bidi="ar-SA"/>
              </w:rPr>
              <w:t>6</w:t>
            </w:r>
          </w:p>
        </w:tc>
        <w:tc>
          <w:tcPr>
            <w:tcW w:w="3924" w:type="dxa"/>
            <w:vAlign w:val="top"/>
          </w:tcPr>
          <w:p>
            <w:pPr>
              <w:keepNext w:val="0"/>
              <w:keepLines w:val="0"/>
              <w:widowControl/>
              <w:suppressLineNumbers w:val="0"/>
              <w:jc w:val="left"/>
              <w:textAlignment w:val="top"/>
              <w:rPr>
                <w:rFonts w:hint="default" w:ascii="方正书宋_GBK" w:hAnsi="方正书宋_GBK" w:eastAsia="方正书宋_GBK" w:cs="方正书宋_GBK"/>
                <w:kern w:val="2"/>
                <w:sz w:val="21"/>
                <w:szCs w:val="24"/>
                <w:lang w:val="en-US" w:eastAsia="uk-UA" w:bidi="ar-SA"/>
              </w:rPr>
            </w:pPr>
            <w:r>
              <w:rPr>
                <w:rFonts w:hint="default" w:ascii="方正书宋_GBK" w:hAnsi="方正书宋_GBK" w:eastAsia="方正书宋_GBK" w:cs="方正书宋_GBK"/>
                <w:sz w:val="21"/>
                <w:szCs w:val="24"/>
                <w:lang w:val="en-US" w:eastAsia="zh-CN" w:bidi="ar-SA"/>
              </w:rPr>
              <w:t>二、公务用车购置及运维费</w:t>
            </w:r>
          </w:p>
        </w:tc>
        <w:tc>
          <w:tcPr>
            <w:tcW w:w="1584" w:type="dxa"/>
            <w:vAlign w:val="center"/>
          </w:tcPr>
          <w:p>
            <w:pPr>
              <w:pStyle w:val="13"/>
              <w:ind w:firstLine="0" w:firstLineChars="0"/>
              <w:jc w:val="center"/>
              <w:rPr>
                <w:rFonts w:ascii="方正书宋_GBK" w:hAnsi="方正书宋_GBK" w:eastAsia="方正书宋_GBK" w:cs="方正书宋_GBK"/>
                <w:kern w:val="2"/>
                <w:sz w:val="21"/>
                <w:szCs w:val="24"/>
                <w:lang w:val="en-US" w:eastAsia="uk-UA" w:bidi="ar-SA"/>
              </w:rPr>
            </w:pPr>
          </w:p>
        </w:tc>
        <w:tc>
          <w:tcPr>
            <w:tcW w:w="1616" w:type="dxa"/>
            <w:vAlign w:val="center"/>
          </w:tcPr>
          <w:p>
            <w:pPr>
              <w:pStyle w:val="13"/>
              <w:ind w:firstLine="0" w:firstLineChars="0"/>
              <w:jc w:val="center"/>
              <w:rPr>
                <w:rFonts w:ascii="方正书宋_GBK" w:hAnsi="方正书宋_GBK" w:eastAsia="方正书宋_GBK" w:cs="方正书宋_GBK"/>
                <w:kern w:val="2"/>
                <w:sz w:val="21"/>
                <w:szCs w:val="24"/>
                <w:lang w:val="en-US" w:eastAsia="uk-UA" w:bidi="ar-SA"/>
              </w:rPr>
            </w:pPr>
          </w:p>
        </w:tc>
        <w:tc>
          <w:tcPr>
            <w:tcW w:w="1800" w:type="dxa"/>
            <w:vAlign w:val="center"/>
          </w:tcPr>
          <w:p>
            <w:pPr>
              <w:pStyle w:val="13"/>
              <w:ind w:firstLine="0" w:firstLineChars="0"/>
              <w:rPr>
                <w:rFonts w:ascii="方正书宋_GBK" w:hAnsi="方正书宋_GBK" w:eastAsia="方正书宋_GBK" w:cs="方正书宋_GBK"/>
                <w:kern w:val="2"/>
                <w:sz w:val="21"/>
                <w:szCs w:val="24"/>
                <w:lang w:val="en-US" w:eastAsia="uk-UA" w:bidi="ar-SA"/>
              </w:rPr>
            </w:pPr>
          </w:p>
        </w:tc>
        <w:tc>
          <w:tcPr>
            <w:tcW w:w="2034" w:type="dxa"/>
            <w:vAlign w:val="center"/>
          </w:tcPr>
          <w:p>
            <w:pPr>
              <w:pStyle w:val="13"/>
              <w:ind w:firstLine="0" w:firstLineChars="0"/>
              <w:rPr>
                <w:rFonts w:ascii="方正书宋_GBK" w:hAnsi="方正书宋_GBK" w:eastAsia="方正书宋_GBK" w:cs="方正书宋_GBK"/>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242" w:type="dxa"/>
            <w:vAlign w:val="center"/>
          </w:tcPr>
          <w:p>
            <w:pPr>
              <w:pStyle w:val="15"/>
              <w:ind w:firstLine="0" w:firstLineChars="0"/>
              <w:rPr>
                <w:rFonts w:hint="eastAsia" w:ascii="方正书宋_GBK" w:hAnsi="方正书宋_GBK" w:eastAsia="方正书宋_GBK" w:cs="方正书宋_GBK"/>
                <w:kern w:val="2"/>
                <w:sz w:val="21"/>
                <w:szCs w:val="24"/>
                <w:lang w:val="en-US" w:eastAsia="zh-CN" w:bidi="ar-SA"/>
              </w:rPr>
            </w:pPr>
            <w:r>
              <w:rPr>
                <w:rFonts w:hint="eastAsia" w:ascii="方正书宋_GBK" w:hAnsi="方正书宋_GBK" w:eastAsia="方正书宋_GBK" w:cs="方正书宋_GBK"/>
                <w:sz w:val="21"/>
                <w:szCs w:val="24"/>
                <w:lang w:val="en-US" w:eastAsia="zh-CN" w:bidi="ar-SA"/>
              </w:rPr>
              <w:t>7</w:t>
            </w:r>
          </w:p>
        </w:tc>
        <w:tc>
          <w:tcPr>
            <w:tcW w:w="3924" w:type="dxa"/>
            <w:vAlign w:val="top"/>
          </w:tcPr>
          <w:p>
            <w:pPr>
              <w:keepNext w:val="0"/>
              <w:keepLines w:val="0"/>
              <w:widowControl/>
              <w:suppressLineNumbers w:val="0"/>
              <w:jc w:val="left"/>
              <w:textAlignment w:val="top"/>
              <w:rPr>
                <w:rFonts w:ascii="方正书宋_GBK" w:hAnsi="方正书宋_GBK" w:eastAsia="方正书宋_GBK" w:cs="方正书宋_GBK"/>
                <w:kern w:val="2"/>
                <w:sz w:val="21"/>
                <w:szCs w:val="24"/>
                <w:lang w:val="en-US" w:eastAsia="uk-UA" w:bidi="ar-SA"/>
              </w:rPr>
            </w:pPr>
            <w:r>
              <w:rPr>
                <w:rFonts w:hint="default" w:ascii="方正书宋_GBK" w:hAnsi="方正书宋_GBK" w:eastAsia="方正书宋_GBK" w:cs="方正书宋_GBK"/>
                <w:sz w:val="21"/>
                <w:szCs w:val="24"/>
                <w:lang w:val="en-US" w:eastAsia="zh-CN" w:bidi="ar-SA"/>
              </w:rPr>
              <w:t xml:space="preserve">    其中：公务用车购置费</w:t>
            </w:r>
          </w:p>
        </w:tc>
        <w:tc>
          <w:tcPr>
            <w:tcW w:w="1584" w:type="dxa"/>
            <w:vAlign w:val="center"/>
          </w:tcPr>
          <w:p>
            <w:pPr>
              <w:pStyle w:val="13"/>
              <w:ind w:firstLine="0" w:firstLineChars="0"/>
              <w:jc w:val="center"/>
              <w:rPr>
                <w:rFonts w:ascii="方正书宋_GBK" w:hAnsi="方正书宋_GBK" w:eastAsia="方正书宋_GBK" w:cs="方正书宋_GBK"/>
                <w:kern w:val="2"/>
                <w:sz w:val="21"/>
                <w:szCs w:val="24"/>
                <w:lang w:val="en-US" w:eastAsia="uk-UA" w:bidi="ar-SA"/>
              </w:rPr>
            </w:pPr>
          </w:p>
        </w:tc>
        <w:tc>
          <w:tcPr>
            <w:tcW w:w="1616" w:type="dxa"/>
            <w:vAlign w:val="center"/>
          </w:tcPr>
          <w:p>
            <w:pPr>
              <w:pStyle w:val="13"/>
              <w:ind w:firstLine="0" w:firstLineChars="0"/>
              <w:jc w:val="center"/>
              <w:rPr>
                <w:rFonts w:ascii="方正书宋_GBK" w:hAnsi="方正书宋_GBK" w:eastAsia="方正书宋_GBK" w:cs="方正书宋_GBK"/>
                <w:kern w:val="2"/>
                <w:sz w:val="21"/>
                <w:szCs w:val="24"/>
                <w:lang w:val="en-US" w:eastAsia="uk-UA" w:bidi="ar-SA"/>
              </w:rPr>
            </w:pPr>
          </w:p>
        </w:tc>
        <w:tc>
          <w:tcPr>
            <w:tcW w:w="1800" w:type="dxa"/>
            <w:vAlign w:val="center"/>
          </w:tcPr>
          <w:p>
            <w:pPr>
              <w:pStyle w:val="13"/>
              <w:ind w:firstLine="0" w:firstLineChars="0"/>
              <w:rPr>
                <w:rFonts w:ascii="方正书宋_GBK" w:hAnsi="方正书宋_GBK" w:eastAsia="方正书宋_GBK" w:cs="方正书宋_GBK"/>
                <w:kern w:val="2"/>
                <w:sz w:val="21"/>
                <w:szCs w:val="24"/>
                <w:lang w:val="en-US" w:eastAsia="uk-UA" w:bidi="ar-SA"/>
              </w:rPr>
            </w:pPr>
          </w:p>
        </w:tc>
        <w:tc>
          <w:tcPr>
            <w:tcW w:w="2034" w:type="dxa"/>
            <w:vAlign w:val="center"/>
          </w:tcPr>
          <w:p>
            <w:pPr>
              <w:pStyle w:val="13"/>
              <w:ind w:firstLine="0" w:firstLineChars="0"/>
              <w:rPr>
                <w:rFonts w:ascii="方正书宋_GBK" w:hAnsi="方正书宋_GBK" w:eastAsia="方正书宋_GBK" w:cs="方正书宋_GBK"/>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242" w:type="dxa"/>
            <w:vAlign w:val="center"/>
          </w:tcPr>
          <w:p>
            <w:pPr>
              <w:pStyle w:val="15"/>
              <w:ind w:firstLine="0" w:firstLineChars="0"/>
              <w:rPr>
                <w:rFonts w:hint="eastAsia" w:ascii="方正书宋_GBK" w:hAnsi="方正书宋_GBK" w:eastAsia="方正书宋_GBK" w:cs="方正书宋_GBK"/>
                <w:kern w:val="2"/>
                <w:sz w:val="21"/>
                <w:szCs w:val="24"/>
                <w:lang w:val="en-US" w:eastAsia="zh-CN" w:bidi="ar-SA"/>
              </w:rPr>
            </w:pPr>
            <w:r>
              <w:rPr>
                <w:rFonts w:hint="eastAsia" w:ascii="方正书宋_GBK" w:hAnsi="方正书宋_GBK" w:eastAsia="方正书宋_GBK" w:cs="方正书宋_GBK"/>
                <w:sz w:val="21"/>
                <w:szCs w:val="24"/>
                <w:lang w:val="en-US" w:eastAsia="zh-CN" w:bidi="ar-SA"/>
              </w:rPr>
              <w:t>8</w:t>
            </w:r>
          </w:p>
        </w:tc>
        <w:tc>
          <w:tcPr>
            <w:tcW w:w="3924" w:type="dxa"/>
            <w:vAlign w:val="top"/>
          </w:tcPr>
          <w:p>
            <w:pPr>
              <w:keepNext w:val="0"/>
              <w:keepLines w:val="0"/>
              <w:widowControl/>
              <w:suppressLineNumbers w:val="0"/>
              <w:jc w:val="left"/>
              <w:textAlignment w:val="top"/>
              <w:rPr>
                <w:rFonts w:hint="default" w:ascii="方正书宋_GBK" w:hAnsi="方正书宋_GBK" w:eastAsia="方正书宋_GBK" w:cs="方正书宋_GBK"/>
                <w:kern w:val="2"/>
                <w:sz w:val="21"/>
                <w:szCs w:val="24"/>
                <w:lang w:val="en-US" w:eastAsia="uk-UA" w:bidi="ar-SA"/>
              </w:rPr>
            </w:pPr>
            <w:r>
              <w:rPr>
                <w:rFonts w:hint="default" w:ascii="方正书宋_GBK" w:hAnsi="方正书宋_GBK" w:eastAsia="方正书宋_GBK" w:cs="方正书宋_GBK"/>
                <w:sz w:val="21"/>
                <w:szCs w:val="24"/>
                <w:lang w:val="en-US" w:eastAsia="zh-CN" w:bidi="ar-SA"/>
              </w:rPr>
              <w:t xml:space="preserve">          公务用车运行维护费</w:t>
            </w:r>
          </w:p>
        </w:tc>
        <w:tc>
          <w:tcPr>
            <w:tcW w:w="1584" w:type="dxa"/>
            <w:vAlign w:val="center"/>
          </w:tcPr>
          <w:p>
            <w:pPr>
              <w:pStyle w:val="13"/>
              <w:ind w:firstLine="0" w:firstLineChars="0"/>
              <w:jc w:val="center"/>
              <w:rPr>
                <w:rFonts w:hint="default" w:ascii="方正书宋_GBK" w:hAnsi="方正书宋_GBK" w:eastAsia="方正书宋_GBK" w:cs="方正书宋_GBK"/>
                <w:kern w:val="2"/>
                <w:sz w:val="21"/>
                <w:szCs w:val="24"/>
                <w:lang w:val="en-US" w:eastAsia="zh-CN" w:bidi="ar-SA"/>
              </w:rPr>
            </w:pPr>
            <w:r>
              <w:rPr>
                <w:rFonts w:hint="eastAsia" w:ascii="方正书宋_GBK" w:hAnsi="方正书宋_GBK" w:eastAsia="方正书宋_GBK" w:cs="方正书宋_GBK"/>
                <w:sz w:val="21"/>
                <w:szCs w:val="24"/>
                <w:lang w:val="en-US" w:eastAsia="zh-CN" w:bidi="ar-SA"/>
              </w:rPr>
              <w:t>2.0</w:t>
            </w:r>
          </w:p>
        </w:tc>
        <w:tc>
          <w:tcPr>
            <w:tcW w:w="1616" w:type="dxa"/>
            <w:vAlign w:val="center"/>
          </w:tcPr>
          <w:p>
            <w:pPr>
              <w:pStyle w:val="13"/>
              <w:ind w:firstLine="0" w:firstLineChars="0"/>
              <w:jc w:val="center"/>
              <w:rPr>
                <w:rFonts w:hint="default" w:ascii="方正书宋_GBK" w:hAnsi="方正书宋_GBK" w:eastAsia="方正书宋_GBK" w:cs="方正书宋_GBK"/>
                <w:kern w:val="2"/>
                <w:sz w:val="21"/>
                <w:szCs w:val="24"/>
                <w:lang w:val="en-US" w:eastAsia="zh-CN" w:bidi="ar-SA"/>
              </w:rPr>
            </w:pPr>
            <w:r>
              <w:rPr>
                <w:rFonts w:hint="eastAsia" w:ascii="方正书宋_GBK" w:hAnsi="方正书宋_GBK" w:eastAsia="方正书宋_GBK" w:cs="方正书宋_GBK"/>
                <w:sz w:val="21"/>
                <w:szCs w:val="24"/>
                <w:lang w:val="en-US" w:eastAsia="zh-CN" w:bidi="ar-SA"/>
              </w:rPr>
              <w:t>2.0</w:t>
            </w:r>
          </w:p>
        </w:tc>
        <w:tc>
          <w:tcPr>
            <w:tcW w:w="1800" w:type="dxa"/>
            <w:vAlign w:val="center"/>
          </w:tcPr>
          <w:p>
            <w:pPr>
              <w:pStyle w:val="13"/>
              <w:ind w:firstLine="0" w:firstLineChars="0"/>
              <w:rPr>
                <w:rFonts w:ascii="方正书宋_GBK" w:hAnsi="方正书宋_GBK" w:eastAsia="方正书宋_GBK" w:cs="方正书宋_GBK"/>
                <w:kern w:val="2"/>
                <w:sz w:val="21"/>
                <w:szCs w:val="24"/>
                <w:lang w:val="en-US" w:eastAsia="uk-UA" w:bidi="ar-SA"/>
              </w:rPr>
            </w:pPr>
          </w:p>
        </w:tc>
        <w:tc>
          <w:tcPr>
            <w:tcW w:w="2034" w:type="dxa"/>
            <w:vAlign w:val="center"/>
          </w:tcPr>
          <w:p>
            <w:pPr>
              <w:pStyle w:val="13"/>
              <w:ind w:firstLine="0" w:firstLineChars="0"/>
              <w:rPr>
                <w:rFonts w:ascii="方正书宋_GBK" w:hAnsi="方正书宋_GBK" w:eastAsia="方正书宋_GBK" w:cs="方正书宋_GBK"/>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242" w:type="dxa"/>
            <w:vAlign w:val="center"/>
          </w:tcPr>
          <w:p>
            <w:pPr>
              <w:pStyle w:val="15"/>
              <w:ind w:firstLine="0" w:firstLineChars="0"/>
              <w:rPr>
                <w:rFonts w:hint="eastAsia" w:ascii="方正书宋_GBK" w:hAnsi="方正书宋_GBK" w:eastAsia="方正书宋_GBK" w:cs="方正书宋_GBK"/>
                <w:kern w:val="2"/>
                <w:sz w:val="21"/>
                <w:szCs w:val="24"/>
                <w:lang w:val="en-US" w:eastAsia="zh-CN" w:bidi="ar-SA"/>
              </w:rPr>
            </w:pPr>
            <w:r>
              <w:rPr>
                <w:rFonts w:hint="eastAsia" w:ascii="方正书宋_GBK" w:hAnsi="方正书宋_GBK" w:eastAsia="方正书宋_GBK" w:cs="方正书宋_GBK"/>
                <w:sz w:val="21"/>
                <w:szCs w:val="24"/>
                <w:lang w:val="en-US" w:eastAsia="zh-CN" w:bidi="ar-SA"/>
              </w:rPr>
              <w:t>9</w:t>
            </w:r>
          </w:p>
        </w:tc>
        <w:tc>
          <w:tcPr>
            <w:tcW w:w="3924" w:type="dxa"/>
            <w:vAlign w:val="top"/>
          </w:tcPr>
          <w:p>
            <w:pPr>
              <w:keepNext w:val="0"/>
              <w:keepLines w:val="0"/>
              <w:widowControl/>
              <w:suppressLineNumbers w:val="0"/>
              <w:jc w:val="left"/>
              <w:textAlignment w:val="top"/>
              <w:rPr>
                <w:rFonts w:hint="default" w:ascii="方正书宋_GBK" w:hAnsi="方正书宋_GBK" w:eastAsia="方正书宋_GBK" w:cs="方正书宋_GBK"/>
                <w:kern w:val="2"/>
                <w:sz w:val="21"/>
                <w:szCs w:val="24"/>
                <w:lang w:val="en-US" w:eastAsia="uk-UA" w:bidi="ar-SA"/>
              </w:rPr>
            </w:pPr>
            <w:r>
              <w:rPr>
                <w:rFonts w:hint="default" w:ascii="方正书宋_GBK" w:hAnsi="方正书宋_GBK" w:eastAsia="方正书宋_GBK" w:cs="方正书宋_GBK"/>
                <w:sz w:val="21"/>
                <w:szCs w:val="24"/>
                <w:lang w:val="en-US" w:eastAsia="zh-CN" w:bidi="ar-SA"/>
              </w:rPr>
              <w:t>三、公务接待费</w:t>
            </w:r>
          </w:p>
        </w:tc>
        <w:tc>
          <w:tcPr>
            <w:tcW w:w="1584" w:type="dxa"/>
            <w:vAlign w:val="center"/>
          </w:tcPr>
          <w:p>
            <w:pPr>
              <w:pStyle w:val="13"/>
              <w:ind w:firstLine="0" w:firstLineChars="0"/>
              <w:rPr>
                <w:rFonts w:ascii="方正书宋_GBK" w:hAnsi="方正书宋_GBK" w:eastAsia="方正书宋_GBK" w:cs="方正书宋_GBK"/>
                <w:kern w:val="2"/>
                <w:sz w:val="21"/>
                <w:szCs w:val="24"/>
                <w:lang w:val="en-US" w:eastAsia="uk-UA" w:bidi="ar-SA"/>
              </w:rPr>
            </w:pPr>
          </w:p>
        </w:tc>
        <w:tc>
          <w:tcPr>
            <w:tcW w:w="1616" w:type="dxa"/>
            <w:vAlign w:val="center"/>
          </w:tcPr>
          <w:p>
            <w:pPr>
              <w:pStyle w:val="13"/>
              <w:ind w:firstLine="0" w:firstLineChars="0"/>
              <w:rPr>
                <w:rFonts w:ascii="方正书宋_GBK" w:hAnsi="方正书宋_GBK" w:eastAsia="方正书宋_GBK" w:cs="方正书宋_GBK"/>
                <w:kern w:val="2"/>
                <w:sz w:val="21"/>
                <w:szCs w:val="24"/>
                <w:lang w:val="en-US" w:eastAsia="uk-UA" w:bidi="ar-SA"/>
              </w:rPr>
            </w:pPr>
          </w:p>
        </w:tc>
        <w:tc>
          <w:tcPr>
            <w:tcW w:w="1800" w:type="dxa"/>
            <w:vAlign w:val="center"/>
          </w:tcPr>
          <w:p>
            <w:pPr>
              <w:pStyle w:val="13"/>
              <w:ind w:firstLine="0" w:firstLineChars="0"/>
              <w:rPr>
                <w:rFonts w:ascii="方正书宋_GBK" w:hAnsi="方正书宋_GBK" w:eastAsia="方正书宋_GBK" w:cs="方正书宋_GBK"/>
                <w:kern w:val="2"/>
                <w:sz w:val="21"/>
                <w:szCs w:val="24"/>
                <w:lang w:val="en-US" w:eastAsia="uk-UA" w:bidi="ar-SA"/>
              </w:rPr>
            </w:pPr>
          </w:p>
        </w:tc>
        <w:tc>
          <w:tcPr>
            <w:tcW w:w="2034" w:type="dxa"/>
            <w:vAlign w:val="center"/>
          </w:tcPr>
          <w:p>
            <w:pPr>
              <w:pStyle w:val="13"/>
              <w:ind w:firstLine="0" w:firstLineChars="0"/>
              <w:rPr>
                <w:rFonts w:ascii="方正书宋_GBK" w:hAnsi="方正书宋_GBK" w:eastAsia="方正书宋_GBK" w:cs="方正书宋_GBK"/>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242" w:type="dxa"/>
            <w:vAlign w:val="center"/>
          </w:tcPr>
          <w:p>
            <w:pPr>
              <w:pStyle w:val="15"/>
              <w:ind w:firstLine="0" w:firstLineChars="0"/>
              <w:rPr>
                <w:rFonts w:hint="default" w:ascii="方正书宋_GBK" w:hAnsi="方正书宋_GBK" w:eastAsia="方正书宋_GBK" w:cs="方正书宋_GBK"/>
                <w:kern w:val="2"/>
                <w:sz w:val="21"/>
                <w:szCs w:val="24"/>
                <w:lang w:val="en-US" w:eastAsia="zh-CN" w:bidi="ar-SA"/>
              </w:rPr>
            </w:pPr>
            <w:r>
              <w:rPr>
                <w:rFonts w:hint="eastAsia" w:ascii="方正书宋_GBK" w:hAnsi="方正书宋_GBK" w:eastAsia="方正书宋_GBK" w:cs="方正书宋_GBK"/>
                <w:sz w:val="21"/>
                <w:szCs w:val="24"/>
                <w:lang w:val="en-US" w:eastAsia="zh-CN" w:bidi="ar-SA"/>
              </w:rPr>
              <w:t>10</w:t>
            </w:r>
          </w:p>
        </w:tc>
        <w:tc>
          <w:tcPr>
            <w:tcW w:w="3924" w:type="dxa"/>
            <w:vAlign w:val="top"/>
          </w:tcPr>
          <w:p>
            <w:pPr>
              <w:keepNext w:val="0"/>
              <w:keepLines w:val="0"/>
              <w:widowControl/>
              <w:suppressLineNumbers w:val="0"/>
              <w:jc w:val="left"/>
              <w:textAlignment w:val="top"/>
              <w:rPr>
                <w:rFonts w:hint="default" w:ascii="方正书宋_GBK" w:hAnsi="方正书宋_GBK" w:eastAsia="方正书宋_GBK" w:cs="方正书宋_GBK"/>
                <w:kern w:val="2"/>
                <w:sz w:val="21"/>
                <w:szCs w:val="24"/>
                <w:lang w:val="en-US" w:eastAsia="uk-UA" w:bidi="ar-SA"/>
              </w:rPr>
            </w:pPr>
            <w:r>
              <w:rPr>
                <w:rFonts w:hint="default" w:ascii="方正书宋_GBK" w:hAnsi="方正书宋_GBK" w:eastAsia="方正书宋_GBK" w:cs="方正书宋_GBK"/>
                <w:sz w:val="21"/>
                <w:szCs w:val="24"/>
                <w:lang w:val="en-US" w:eastAsia="zh-CN" w:bidi="ar-SA"/>
              </w:rPr>
              <w:t>四、会议费</w:t>
            </w:r>
          </w:p>
        </w:tc>
        <w:tc>
          <w:tcPr>
            <w:tcW w:w="1584" w:type="dxa"/>
            <w:vAlign w:val="center"/>
          </w:tcPr>
          <w:p>
            <w:pPr>
              <w:pStyle w:val="13"/>
              <w:ind w:firstLine="0" w:firstLineChars="0"/>
              <w:rPr>
                <w:rFonts w:ascii="方正书宋_GBK" w:hAnsi="方正书宋_GBK" w:eastAsia="方正书宋_GBK" w:cs="方正书宋_GBK"/>
                <w:kern w:val="2"/>
                <w:sz w:val="21"/>
                <w:szCs w:val="24"/>
                <w:lang w:val="en-US" w:eastAsia="uk-UA" w:bidi="ar-SA"/>
              </w:rPr>
            </w:pPr>
          </w:p>
        </w:tc>
        <w:tc>
          <w:tcPr>
            <w:tcW w:w="1616" w:type="dxa"/>
            <w:vAlign w:val="center"/>
          </w:tcPr>
          <w:p>
            <w:pPr>
              <w:pStyle w:val="13"/>
              <w:ind w:firstLine="0" w:firstLineChars="0"/>
              <w:rPr>
                <w:rFonts w:ascii="方正书宋_GBK" w:hAnsi="方正书宋_GBK" w:eastAsia="方正书宋_GBK" w:cs="方正书宋_GBK"/>
                <w:kern w:val="2"/>
                <w:sz w:val="21"/>
                <w:szCs w:val="24"/>
                <w:lang w:val="en-US" w:eastAsia="uk-UA" w:bidi="ar-SA"/>
              </w:rPr>
            </w:pPr>
          </w:p>
        </w:tc>
        <w:tc>
          <w:tcPr>
            <w:tcW w:w="1800" w:type="dxa"/>
            <w:vAlign w:val="center"/>
          </w:tcPr>
          <w:p>
            <w:pPr>
              <w:pStyle w:val="13"/>
              <w:ind w:firstLine="0" w:firstLineChars="0"/>
              <w:rPr>
                <w:rFonts w:ascii="方正书宋_GBK" w:hAnsi="方正书宋_GBK" w:eastAsia="方正书宋_GBK" w:cs="方正书宋_GBK"/>
                <w:kern w:val="2"/>
                <w:sz w:val="21"/>
                <w:szCs w:val="24"/>
                <w:lang w:val="en-US" w:eastAsia="uk-UA" w:bidi="ar-SA"/>
              </w:rPr>
            </w:pPr>
          </w:p>
        </w:tc>
        <w:tc>
          <w:tcPr>
            <w:tcW w:w="2034" w:type="dxa"/>
            <w:vAlign w:val="center"/>
          </w:tcPr>
          <w:p>
            <w:pPr>
              <w:pStyle w:val="13"/>
              <w:ind w:firstLine="0" w:firstLineChars="0"/>
              <w:rPr>
                <w:rFonts w:ascii="方正书宋_GBK" w:hAnsi="方正书宋_GBK" w:eastAsia="方正书宋_GBK" w:cs="方正书宋_GBK"/>
                <w:kern w:val="2"/>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1242" w:type="dxa"/>
            <w:vAlign w:val="center"/>
          </w:tcPr>
          <w:p>
            <w:pPr>
              <w:pStyle w:val="15"/>
              <w:ind w:firstLine="0" w:firstLineChars="0"/>
              <w:rPr>
                <w:rFonts w:hint="default" w:ascii="方正书宋_GBK" w:hAnsi="方正书宋_GBK" w:eastAsia="方正书宋_GBK" w:cs="方正书宋_GBK"/>
                <w:kern w:val="2"/>
                <w:sz w:val="21"/>
                <w:szCs w:val="24"/>
                <w:lang w:val="en-US" w:eastAsia="zh-CN" w:bidi="ar-SA"/>
              </w:rPr>
            </w:pPr>
            <w:r>
              <w:rPr>
                <w:rFonts w:hint="eastAsia" w:ascii="方正书宋_GBK" w:hAnsi="方正书宋_GBK" w:eastAsia="方正书宋_GBK" w:cs="方正书宋_GBK"/>
                <w:sz w:val="21"/>
                <w:szCs w:val="24"/>
                <w:lang w:val="en-US" w:eastAsia="zh-CN" w:bidi="ar-SA"/>
              </w:rPr>
              <w:t>11</w:t>
            </w:r>
          </w:p>
        </w:tc>
        <w:tc>
          <w:tcPr>
            <w:tcW w:w="3924" w:type="dxa"/>
            <w:vAlign w:val="top"/>
          </w:tcPr>
          <w:p>
            <w:pPr>
              <w:keepNext w:val="0"/>
              <w:keepLines w:val="0"/>
              <w:widowControl/>
              <w:suppressLineNumbers w:val="0"/>
              <w:jc w:val="left"/>
              <w:textAlignment w:val="top"/>
              <w:rPr>
                <w:rFonts w:hint="default" w:ascii="方正书宋_GBK" w:hAnsi="方正书宋_GBK" w:eastAsia="方正书宋_GBK" w:cs="方正书宋_GBK"/>
                <w:kern w:val="2"/>
                <w:sz w:val="21"/>
                <w:szCs w:val="24"/>
                <w:lang w:val="en-US" w:eastAsia="uk-UA" w:bidi="ar-SA"/>
              </w:rPr>
            </w:pPr>
            <w:r>
              <w:rPr>
                <w:rFonts w:hint="default" w:ascii="方正书宋_GBK" w:hAnsi="方正书宋_GBK" w:eastAsia="方正书宋_GBK" w:cs="方正书宋_GBK"/>
                <w:sz w:val="21"/>
                <w:szCs w:val="24"/>
                <w:lang w:val="en-US" w:eastAsia="zh-CN" w:bidi="ar-SA"/>
              </w:rPr>
              <w:t>五、培训费</w:t>
            </w:r>
          </w:p>
        </w:tc>
        <w:tc>
          <w:tcPr>
            <w:tcW w:w="1584" w:type="dxa"/>
            <w:vAlign w:val="center"/>
          </w:tcPr>
          <w:p>
            <w:pPr>
              <w:pStyle w:val="13"/>
              <w:ind w:firstLine="0" w:firstLineChars="0"/>
              <w:rPr>
                <w:rFonts w:ascii="方正书宋_GBK" w:hAnsi="方正书宋_GBK" w:eastAsia="方正书宋_GBK" w:cs="方正书宋_GBK"/>
                <w:kern w:val="2"/>
                <w:sz w:val="21"/>
                <w:szCs w:val="24"/>
                <w:lang w:val="en-US" w:eastAsia="uk-UA" w:bidi="ar-SA"/>
              </w:rPr>
            </w:pPr>
          </w:p>
        </w:tc>
        <w:tc>
          <w:tcPr>
            <w:tcW w:w="1616" w:type="dxa"/>
            <w:vAlign w:val="center"/>
          </w:tcPr>
          <w:p>
            <w:pPr>
              <w:pStyle w:val="13"/>
              <w:ind w:firstLine="0" w:firstLineChars="0"/>
              <w:rPr>
                <w:rFonts w:ascii="方正书宋_GBK" w:hAnsi="方正书宋_GBK" w:eastAsia="方正书宋_GBK" w:cs="方正书宋_GBK"/>
                <w:kern w:val="2"/>
                <w:sz w:val="21"/>
                <w:szCs w:val="24"/>
                <w:lang w:val="en-US" w:eastAsia="uk-UA" w:bidi="ar-SA"/>
              </w:rPr>
            </w:pPr>
          </w:p>
        </w:tc>
        <w:tc>
          <w:tcPr>
            <w:tcW w:w="1800" w:type="dxa"/>
            <w:vAlign w:val="center"/>
          </w:tcPr>
          <w:p>
            <w:pPr>
              <w:pStyle w:val="13"/>
              <w:ind w:firstLine="0" w:firstLineChars="0"/>
              <w:rPr>
                <w:rFonts w:ascii="方正书宋_GBK" w:hAnsi="方正书宋_GBK" w:eastAsia="方正书宋_GBK" w:cs="方正书宋_GBK"/>
                <w:kern w:val="2"/>
                <w:sz w:val="21"/>
                <w:szCs w:val="24"/>
                <w:lang w:val="en-US" w:eastAsia="uk-UA" w:bidi="ar-SA"/>
              </w:rPr>
            </w:pPr>
          </w:p>
        </w:tc>
        <w:tc>
          <w:tcPr>
            <w:tcW w:w="2034" w:type="dxa"/>
            <w:vAlign w:val="center"/>
          </w:tcPr>
          <w:p>
            <w:pPr>
              <w:pStyle w:val="13"/>
              <w:ind w:firstLine="0" w:firstLineChars="0"/>
              <w:rPr>
                <w:rFonts w:ascii="方正书宋_GBK" w:hAnsi="方正书宋_GBK" w:eastAsia="方正书宋_GBK" w:cs="方正书宋_GBK"/>
                <w:kern w:val="2"/>
                <w:sz w:val="21"/>
                <w:szCs w:val="24"/>
                <w:lang w:val="en-US" w:eastAsia="uk-UA" w:bidi="ar-SA"/>
              </w:rPr>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成安县政法委2024年部门预算信息公开情况说明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成安县政法委2024年部门预算信息公开情况说明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按照《中华人民共和国预算法》、《地方预决算公开操作规程》和《关于进一步推进预算公开工作的实施意见》规定，现将成安县政法委2024年部门预算公开如下：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widowControl/>
        <w:spacing w:before="0" w:after="0" w:line="500" w:lineRule="exact"/>
        <w:ind w:firstLine="560"/>
        <w:jc w:val="left"/>
        <w:outlineLvl w:val="9"/>
        <w:rPr>
          <w:rFonts w:hint="eastAsia"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1.根据党中央的路线、方针、政策和县委部署，统一政法部门的思想和行动。</w:t>
      </w:r>
    </w:p>
    <w:p>
      <w:pPr>
        <w:widowControl/>
        <w:spacing w:before="0" w:after="0" w:line="500" w:lineRule="exact"/>
        <w:ind w:firstLine="560"/>
        <w:jc w:val="left"/>
        <w:outlineLvl w:val="9"/>
        <w:rPr>
          <w:rFonts w:hint="eastAsia"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2.研究制定全县政法工作和社会治安综合治理工作具体政策措施，及时向县委提出建议，对一定时期内的政法工作和社会综合治理工作，作出全局性部署，并督促贯彻落实。</w:t>
      </w:r>
    </w:p>
    <w:p>
      <w:pPr>
        <w:widowControl/>
        <w:spacing w:before="0" w:after="0" w:line="500" w:lineRule="exact"/>
        <w:ind w:firstLine="560"/>
        <w:jc w:val="left"/>
        <w:outlineLvl w:val="9"/>
        <w:rPr>
          <w:rFonts w:hint="eastAsia"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3.监督和支持政法部门依法行使职权，指导和协调政法部门在依法相互制约的同时密切配合，研究和讨论有争议的重大、疑难案件，参与大案要案的指导和监督工作。检查政法部门执行法律法规和党的方针、政策情况，结合实际，研究制定严肃执法，落实党的方针政策的具体措施。</w:t>
      </w:r>
    </w:p>
    <w:p>
      <w:pPr>
        <w:widowControl/>
        <w:spacing w:before="0" w:after="0" w:line="500" w:lineRule="exact"/>
        <w:ind w:firstLine="560"/>
        <w:jc w:val="left"/>
        <w:outlineLvl w:val="9"/>
        <w:rPr>
          <w:rFonts w:hint="eastAsia"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4.组织协调和指导维护社会稳定的工作。</w:t>
      </w:r>
    </w:p>
    <w:p>
      <w:pPr>
        <w:widowControl/>
        <w:spacing w:before="0" w:after="0" w:line="500" w:lineRule="exact"/>
        <w:ind w:firstLine="560"/>
        <w:jc w:val="left"/>
        <w:outlineLvl w:val="9"/>
        <w:rPr>
          <w:rFonts w:hint="eastAsia"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5.组织、协调社会治安综合治理工作，推动各项措施的落实。</w:t>
      </w:r>
    </w:p>
    <w:p>
      <w:pPr>
        <w:widowControl/>
        <w:spacing w:before="0" w:after="0" w:line="500" w:lineRule="exact"/>
        <w:ind w:firstLine="560"/>
        <w:jc w:val="left"/>
        <w:outlineLvl w:val="9"/>
        <w:rPr>
          <w:rFonts w:hint="eastAsia"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6.推动政法工作重大政策法律问题的调查研究，推进政法工作改革。</w:t>
      </w:r>
    </w:p>
    <w:p>
      <w:pPr>
        <w:widowControl/>
        <w:spacing w:before="0" w:after="0" w:line="500" w:lineRule="exact"/>
        <w:ind w:firstLine="560"/>
        <w:jc w:val="left"/>
        <w:outlineLvl w:val="9"/>
        <w:rPr>
          <w:rFonts w:hint="eastAsia"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7.按照县委的规定，协助党委及其组织部门考察、管理政法部门的领导干部，研究加强政法队伍建设和领导班子建设的措施。</w:t>
      </w:r>
    </w:p>
    <w:p>
      <w:pPr>
        <w:widowControl/>
        <w:spacing w:before="0" w:after="0" w:line="500" w:lineRule="exact"/>
        <w:ind w:firstLine="560"/>
        <w:jc w:val="left"/>
        <w:outlineLvl w:val="9"/>
        <w:rPr>
          <w:rFonts w:hint="eastAsia"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eastAsia="uk-UA"/>
        </w:rPr>
        <w:t>8.办理县委和上级政法机关交办的其他事项。</w:t>
      </w:r>
    </w:p>
    <w:p>
      <w:pPr>
        <w:pStyle w:val="19"/>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成安县政法委(本级)</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pStyle w:val="20"/>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按照预算管理有关规定，目前我省</w:t>
      </w:r>
      <w:r>
        <w:rPr>
          <w:rFonts w:hint="eastAsia" w:cs="Times New Roman"/>
          <w:color w:val="000000"/>
          <w:sz w:val="28"/>
          <w:lang w:val="en-US" w:eastAsia="zh-CN"/>
        </w:rPr>
        <w:t>单位</w:t>
      </w:r>
      <w:r>
        <w:rPr>
          <w:rFonts w:hint="eastAsia" w:ascii="Times New Roman" w:hAnsi="Times New Roman" w:eastAsia="方正仿宋_GBK" w:cs="Times New Roman"/>
          <w:color w:val="000000"/>
          <w:sz w:val="28"/>
        </w:rPr>
        <w:t>预算的编制实行综合预算管理，即全部收入和支出都反映在预算中。成安县</w:t>
      </w:r>
      <w:r>
        <w:rPr>
          <w:rFonts w:hint="eastAsia" w:cs="Times New Roman"/>
          <w:color w:val="000000"/>
          <w:sz w:val="28"/>
          <w:lang w:val="en-US" w:eastAsia="zh-CN"/>
        </w:rPr>
        <w:t>政法委</w:t>
      </w:r>
      <w:r>
        <w:rPr>
          <w:rFonts w:hint="eastAsia" w:ascii="Times New Roman" w:hAnsi="Times New Roman" w:eastAsia="方正仿宋_GBK" w:cs="Times New Roman"/>
          <w:color w:val="000000"/>
          <w:sz w:val="28"/>
        </w:rPr>
        <w:t>的收支包含在部门预算中。</w:t>
      </w:r>
    </w:p>
    <w:p>
      <w:pPr>
        <w:pStyle w:val="20"/>
        <w:rPr>
          <w:rFonts w:hint="eastAsia" w:ascii="黑体" w:hAnsi="黑体" w:eastAsia="黑体" w:cs="黑体"/>
          <w:color w:val="000000"/>
          <w:sz w:val="32"/>
        </w:rPr>
      </w:pPr>
      <w:r>
        <w:rPr>
          <w:rFonts w:hint="eastAsia" w:ascii="Times New Roman" w:hAnsi="Times New Roman" w:eastAsia="方正仿宋_GBK" w:cs="Times New Roman"/>
          <w:color w:val="000000"/>
          <w:sz w:val="28"/>
        </w:rPr>
        <w:t>按照预算管理有关规定，目前我</w:t>
      </w:r>
      <w:r>
        <w:rPr>
          <w:rFonts w:hint="eastAsia" w:cs="Times New Roman"/>
          <w:color w:val="000000"/>
          <w:sz w:val="28"/>
          <w:lang w:val="en-US" w:eastAsia="zh-CN"/>
        </w:rPr>
        <w:t>单位</w:t>
      </w:r>
      <w:r>
        <w:rPr>
          <w:rFonts w:hint="eastAsia" w:ascii="Times New Roman" w:hAnsi="Times New Roman" w:eastAsia="方正仿宋_GBK" w:cs="Times New Roman"/>
          <w:color w:val="000000"/>
          <w:sz w:val="28"/>
        </w:rPr>
        <w:t>预算的编制实行综合预算制度，即全部收入和支出都反映在预算中。</w:t>
      </w:r>
    </w:p>
    <w:p>
      <w:pPr>
        <w:pStyle w:val="20"/>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1、收入说明</w:t>
      </w:r>
    </w:p>
    <w:p>
      <w:pPr>
        <w:pStyle w:val="20"/>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202</w:t>
      </w:r>
      <w:r>
        <w:rPr>
          <w:rFonts w:hint="eastAsia" w:cs="Times New Roman"/>
          <w:color w:val="000000"/>
          <w:sz w:val="28"/>
          <w:lang w:val="en-US" w:eastAsia="zh-CN"/>
        </w:rPr>
        <w:t>4</w:t>
      </w:r>
      <w:r>
        <w:rPr>
          <w:rFonts w:hint="eastAsia" w:ascii="Times New Roman" w:hAnsi="Times New Roman" w:eastAsia="方正仿宋_GBK" w:cs="Times New Roman"/>
          <w:color w:val="000000"/>
          <w:sz w:val="28"/>
        </w:rPr>
        <w:t>年预算收入</w:t>
      </w:r>
      <w:r>
        <w:rPr>
          <w:rFonts w:hint="eastAsia" w:cs="Times New Roman"/>
          <w:color w:val="000000"/>
          <w:sz w:val="28"/>
          <w:lang w:val="en-US" w:eastAsia="zh-CN"/>
        </w:rPr>
        <w:t>381.09</w:t>
      </w:r>
      <w:r>
        <w:rPr>
          <w:rFonts w:hint="eastAsia" w:ascii="Times New Roman" w:hAnsi="Times New Roman" w:eastAsia="方正仿宋_GBK" w:cs="Times New Roman"/>
          <w:color w:val="000000"/>
          <w:sz w:val="28"/>
        </w:rPr>
        <w:t>万元，其中：一般公共预算收入</w:t>
      </w:r>
      <w:r>
        <w:rPr>
          <w:rFonts w:hint="eastAsia" w:cs="Times New Roman"/>
          <w:color w:val="000000"/>
          <w:sz w:val="28"/>
          <w:lang w:val="en-US" w:eastAsia="zh-CN"/>
        </w:rPr>
        <w:t>381.09</w:t>
      </w:r>
      <w:r>
        <w:rPr>
          <w:rFonts w:hint="eastAsia" w:ascii="Times New Roman" w:hAnsi="Times New Roman" w:eastAsia="方正仿宋_GBK" w:cs="Times New Roman"/>
          <w:color w:val="000000"/>
          <w:sz w:val="28"/>
        </w:rPr>
        <w:t>万元。政府性基金收入0万元，国有资本经营收入0万元，事业收入0万元，其他收入0万元。</w:t>
      </w:r>
    </w:p>
    <w:p>
      <w:pPr>
        <w:pStyle w:val="20"/>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2、支出说明</w:t>
      </w:r>
    </w:p>
    <w:p>
      <w:pPr>
        <w:pStyle w:val="20"/>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202</w:t>
      </w:r>
      <w:r>
        <w:rPr>
          <w:rFonts w:hint="eastAsia" w:cs="Times New Roman"/>
          <w:color w:val="000000"/>
          <w:sz w:val="28"/>
          <w:lang w:val="en-US" w:eastAsia="zh-CN"/>
        </w:rPr>
        <w:t>4</w:t>
      </w:r>
      <w:r>
        <w:rPr>
          <w:rFonts w:hint="eastAsia" w:ascii="Times New Roman" w:hAnsi="Times New Roman" w:eastAsia="方正仿宋_GBK" w:cs="Times New Roman"/>
          <w:color w:val="000000"/>
          <w:sz w:val="28"/>
        </w:rPr>
        <w:t>年支出预算</w:t>
      </w:r>
      <w:r>
        <w:rPr>
          <w:rFonts w:hint="eastAsia" w:cs="Times New Roman"/>
          <w:color w:val="000000"/>
          <w:sz w:val="28"/>
          <w:lang w:val="en-US" w:eastAsia="zh-CN"/>
        </w:rPr>
        <w:t>381.09</w:t>
      </w:r>
      <w:r>
        <w:rPr>
          <w:rFonts w:hint="eastAsia" w:ascii="Times New Roman" w:hAnsi="Times New Roman" w:eastAsia="方正仿宋_GBK" w:cs="Times New Roman"/>
          <w:color w:val="000000"/>
          <w:sz w:val="28"/>
        </w:rPr>
        <w:t>万元，其中基本支出</w:t>
      </w:r>
      <w:r>
        <w:rPr>
          <w:rFonts w:hint="eastAsia" w:cs="Times New Roman"/>
          <w:color w:val="000000"/>
          <w:sz w:val="28"/>
          <w:lang w:val="en-US" w:eastAsia="zh-CN"/>
        </w:rPr>
        <w:t>249.69</w:t>
      </w:r>
      <w:r>
        <w:rPr>
          <w:rFonts w:hint="eastAsia" w:ascii="Times New Roman" w:hAnsi="Times New Roman" w:eastAsia="方正仿宋_GBK" w:cs="Times New Roman"/>
          <w:color w:val="000000"/>
          <w:sz w:val="28"/>
        </w:rPr>
        <w:t>万元，包括人员经费</w:t>
      </w:r>
      <w:r>
        <w:rPr>
          <w:rFonts w:hint="eastAsia" w:cs="Times New Roman"/>
          <w:color w:val="000000"/>
          <w:sz w:val="28"/>
          <w:lang w:val="en-US" w:eastAsia="zh-CN"/>
        </w:rPr>
        <w:t>209.31</w:t>
      </w:r>
      <w:r>
        <w:rPr>
          <w:rFonts w:hint="eastAsia" w:ascii="Times New Roman" w:hAnsi="Times New Roman" w:eastAsia="方正仿宋_GBK" w:cs="Times New Roman"/>
          <w:color w:val="000000"/>
          <w:sz w:val="28"/>
        </w:rPr>
        <w:t>万元和日常公用经费</w:t>
      </w:r>
      <w:r>
        <w:rPr>
          <w:rFonts w:hint="eastAsia" w:cs="Times New Roman"/>
          <w:color w:val="000000"/>
          <w:sz w:val="28"/>
          <w:lang w:val="en-US" w:eastAsia="zh-CN"/>
        </w:rPr>
        <w:t>40.38</w:t>
      </w:r>
      <w:r>
        <w:rPr>
          <w:rFonts w:hint="eastAsia" w:ascii="Times New Roman" w:hAnsi="Times New Roman" w:eastAsia="方正仿宋_GBK" w:cs="Times New Roman"/>
          <w:color w:val="000000"/>
          <w:sz w:val="28"/>
        </w:rPr>
        <w:t>万元。项目支出</w:t>
      </w:r>
      <w:r>
        <w:rPr>
          <w:rFonts w:hint="eastAsia" w:cs="Times New Roman"/>
          <w:color w:val="000000"/>
          <w:sz w:val="28"/>
          <w:lang w:val="en-US" w:eastAsia="zh-CN"/>
        </w:rPr>
        <w:t>131.40</w:t>
      </w:r>
      <w:r>
        <w:rPr>
          <w:rFonts w:hint="eastAsia" w:ascii="Times New Roman" w:hAnsi="Times New Roman" w:eastAsia="方正仿宋_GBK" w:cs="Times New Roman"/>
          <w:color w:val="000000"/>
          <w:sz w:val="28"/>
        </w:rPr>
        <w:t>万元，主要是</w:t>
      </w:r>
      <w:r>
        <w:rPr>
          <w:rFonts w:hint="eastAsia" w:ascii="Times New Roman" w:hAnsi="Times New Roman" w:eastAsia="方正仿宋_GBK" w:cs="Times New Roman"/>
          <w:color w:val="000000"/>
          <w:sz w:val="28"/>
          <w:lang w:val="en-US" w:eastAsia="zh-CN"/>
        </w:rPr>
        <w:t>综治参与平安建设保险</w:t>
      </w:r>
      <w:r>
        <w:rPr>
          <w:rFonts w:hint="eastAsia" w:cs="Times New Roman"/>
          <w:color w:val="000000"/>
          <w:sz w:val="28"/>
          <w:lang w:val="en-US" w:eastAsia="zh-CN"/>
        </w:rPr>
        <w:t>业务</w:t>
      </w:r>
      <w:r>
        <w:rPr>
          <w:rFonts w:hint="eastAsia" w:ascii="Times New Roman" w:hAnsi="Times New Roman" w:eastAsia="方正仿宋_GBK" w:cs="Times New Roman"/>
          <w:color w:val="000000"/>
          <w:sz w:val="28"/>
        </w:rPr>
        <w:t>经费</w:t>
      </w:r>
      <w:r>
        <w:rPr>
          <w:rFonts w:hint="eastAsia" w:ascii="Times New Roman" w:hAnsi="Times New Roman" w:eastAsia="方正仿宋_GBK" w:cs="Times New Roman"/>
          <w:color w:val="000000"/>
          <w:sz w:val="28"/>
          <w:lang w:val="en-US" w:eastAsia="zh-CN"/>
        </w:rPr>
        <w:t>和政法网传输维保费</w:t>
      </w:r>
      <w:r>
        <w:rPr>
          <w:rFonts w:hint="eastAsia" w:ascii="Times New Roman" w:hAnsi="Times New Roman" w:eastAsia="方正仿宋_GBK" w:cs="Times New Roman"/>
          <w:color w:val="000000"/>
          <w:sz w:val="28"/>
        </w:rPr>
        <w:t>。</w:t>
      </w:r>
    </w:p>
    <w:p>
      <w:pPr>
        <w:pStyle w:val="20"/>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3、比上年增减变化情况</w:t>
      </w:r>
    </w:p>
    <w:p>
      <w:pPr>
        <w:pStyle w:val="20"/>
        <w:ind w:left="0" w:leftChars="0" w:firstLine="560" w:firstLineChars="200"/>
        <w:rPr>
          <w:rFonts w:hint="eastAsia" w:cs="Times New Roman"/>
          <w:color w:val="000000"/>
          <w:sz w:val="28"/>
          <w:lang w:val="en-US" w:eastAsia="zh-CN"/>
        </w:rPr>
      </w:pPr>
      <w:r>
        <w:rPr>
          <w:rFonts w:hint="eastAsia" w:ascii="Times New Roman" w:hAnsi="Times New Roman" w:eastAsia="方正仿宋_GBK" w:cs="Times New Roman"/>
          <w:color w:val="000000"/>
          <w:sz w:val="28"/>
        </w:rPr>
        <w:t>202</w:t>
      </w:r>
      <w:r>
        <w:rPr>
          <w:rFonts w:hint="eastAsia" w:cs="Times New Roman"/>
          <w:color w:val="000000"/>
          <w:sz w:val="28"/>
          <w:lang w:val="en-US" w:eastAsia="zh-CN"/>
        </w:rPr>
        <w:t>4</w:t>
      </w:r>
      <w:r>
        <w:rPr>
          <w:rFonts w:hint="eastAsia" w:ascii="Times New Roman" w:hAnsi="Times New Roman" w:eastAsia="方正仿宋_GBK" w:cs="Times New Roman"/>
          <w:color w:val="000000"/>
          <w:sz w:val="28"/>
        </w:rPr>
        <w:t>年预算收支安排</w:t>
      </w:r>
      <w:r>
        <w:rPr>
          <w:rFonts w:hint="eastAsia" w:cs="Times New Roman"/>
          <w:color w:val="000000"/>
          <w:sz w:val="28"/>
          <w:lang w:val="en-US" w:eastAsia="zh-CN"/>
        </w:rPr>
        <w:t>381.09</w:t>
      </w:r>
      <w:r>
        <w:rPr>
          <w:rFonts w:hint="eastAsia" w:ascii="Times New Roman" w:hAnsi="Times New Roman" w:eastAsia="方正仿宋_GBK" w:cs="Times New Roman"/>
          <w:color w:val="000000"/>
          <w:sz w:val="28"/>
        </w:rPr>
        <w:t>万元，较20</w:t>
      </w:r>
      <w:r>
        <w:rPr>
          <w:rFonts w:hint="eastAsia" w:ascii="Times New Roman" w:hAnsi="Times New Roman" w:eastAsia="方正仿宋_GBK" w:cs="Times New Roman"/>
          <w:color w:val="000000"/>
          <w:sz w:val="28"/>
          <w:lang w:val="en-US" w:eastAsia="zh-CN"/>
        </w:rPr>
        <w:t>2</w:t>
      </w:r>
      <w:r>
        <w:rPr>
          <w:rFonts w:hint="eastAsia" w:cs="Times New Roman"/>
          <w:color w:val="000000"/>
          <w:sz w:val="28"/>
          <w:lang w:val="en-US" w:eastAsia="zh-CN"/>
        </w:rPr>
        <w:t>3</w:t>
      </w:r>
      <w:r>
        <w:rPr>
          <w:rFonts w:hint="eastAsia" w:ascii="Times New Roman" w:hAnsi="Times New Roman" w:eastAsia="方正仿宋_GBK" w:cs="Times New Roman"/>
          <w:color w:val="000000"/>
          <w:sz w:val="28"/>
        </w:rPr>
        <w:t>年预算</w:t>
      </w:r>
      <w:r>
        <w:rPr>
          <w:rFonts w:hint="eastAsia" w:cs="Times New Roman"/>
          <w:color w:val="000000"/>
          <w:sz w:val="28"/>
          <w:lang w:val="en-US" w:eastAsia="zh-CN"/>
        </w:rPr>
        <w:t>减少68.98</w:t>
      </w:r>
      <w:r>
        <w:rPr>
          <w:rFonts w:hint="eastAsia" w:ascii="Times New Roman" w:hAnsi="Times New Roman" w:eastAsia="方正仿宋_GBK" w:cs="Times New Roman"/>
          <w:color w:val="000000"/>
          <w:sz w:val="28"/>
        </w:rPr>
        <w:t>万元，主要原因：</w:t>
      </w:r>
      <w:r>
        <w:rPr>
          <w:rFonts w:hint="eastAsia" w:cs="Times New Roman"/>
          <w:color w:val="000000"/>
          <w:sz w:val="28"/>
          <w:lang w:val="en-US" w:eastAsia="zh-CN"/>
        </w:rPr>
        <w:t>人员变动。</w:t>
      </w:r>
    </w:p>
    <w:p>
      <w:pPr>
        <w:pStyle w:val="20"/>
        <w:ind w:left="0" w:leftChars="0" w:firstLine="560" w:firstLineChars="200"/>
        <w:rPr>
          <w:rFonts w:hint="eastAsia" w:cs="Times New Roman"/>
          <w:color w:val="000000"/>
          <w:sz w:val="28"/>
          <w:lang w:val="en-US" w:eastAsia="zh-CN"/>
        </w:rPr>
      </w:pP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keepNext w:val="0"/>
        <w:keepLines w:val="0"/>
        <w:pageBreakBefore w:val="0"/>
        <w:widowControl/>
        <w:kinsoku/>
        <w:wordWrap/>
        <w:overflowPunct/>
        <w:topLinePunct w:val="0"/>
        <w:autoSpaceDE/>
        <w:autoSpaceDN/>
        <w:bidi w:val="0"/>
        <w:adjustRightInd/>
        <w:snapToGrid/>
        <w:spacing w:line="560" w:lineRule="exact"/>
        <w:ind w:firstLine="640"/>
        <w:textAlignment w:val="auto"/>
      </w:pPr>
      <w:r>
        <w:rPr>
          <w:rFonts w:hint="eastAsia" w:ascii="Times New Roman" w:hAnsi="Times New Roman" w:eastAsia="方正仿宋_GBK" w:cs="Times New Roman"/>
          <w:color w:val="000000"/>
          <w:sz w:val="28"/>
        </w:rPr>
        <w:t>日常公用经费安排</w:t>
      </w:r>
      <w:r>
        <w:rPr>
          <w:rFonts w:hint="eastAsia" w:eastAsia="方正仿宋_GBK" w:cs="Times New Roman"/>
          <w:color w:val="000000"/>
          <w:sz w:val="28"/>
          <w:lang w:val="en-US" w:eastAsia="zh-CN"/>
        </w:rPr>
        <w:t>40.38</w:t>
      </w:r>
      <w:r>
        <w:rPr>
          <w:rFonts w:hint="eastAsia" w:ascii="Times New Roman" w:hAnsi="Times New Roman" w:eastAsia="方正仿宋_GBK" w:cs="Times New Roman"/>
          <w:color w:val="000000"/>
          <w:sz w:val="28"/>
        </w:rPr>
        <w:t>万元，包括：办公费、差旅费、会议费、印刷费、车辆运行和维护费、其他交通费和其他支出等。</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2"/>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ascii="Times New Roman" w:hAnsi="Times New Roman" w:eastAsia="方正仿宋_GBK" w:cs="Times New Roman"/>
          <w:color w:val="000000"/>
          <w:sz w:val="28"/>
          <w:szCs w:val="24"/>
          <w:lang w:val="en-US" w:eastAsia="uk-UA" w:bidi="ar-SA"/>
        </w:rPr>
        <w:t>202</w:t>
      </w:r>
      <w:r>
        <w:rPr>
          <w:rFonts w:hint="eastAsia" w:cs="Times New Roman"/>
          <w:color w:val="000000"/>
          <w:sz w:val="28"/>
          <w:szCs w:val="24"/>
          <w:lang w:val="en-US" w:eastAsia="zh-CN" w:bidi="ar-SA"/>
        </w:rPr>
        <w:t>4</w:t>
      </w:r>
      <w:r>
        <w:rPr>
          <w:rFonts w:hint="eastAsia" w:ascii="Times New Roman" w:hAnsi="Times New Roman" w:eastAsia="方正仿宋_GBK" w:cs="Times New Roman"/>
          <w:color w:val="000000"/>
          <w:sz w:val="28"/>
          <w:szCs w:val="24"/>
          <w:lang w:val="en-US" w:eastAsia="uk-UA" w:bidi="ar-SA"/>
        </w:rPr>
        <w:t>年度“三公”预算支出</w:t>
      </w:r>
      <w:r>
        <w:rPr>
          <w:rFonts w:hint="eastAsia" w:cs="Times New Roman"/>
          <w:color w:val="000000"/>
          <w:sz w:val="28"/>
          <w:szCs w:val="24"/>
          <w:lang w:val="en-US" w:eastAsia="zh-CN" w:bidi="ar-SA"/>
        </w:rPr>
        <w:t>2</w:t>
      </w:r>
      <w:r>
        <w:rPr>
          <w:rFonts w:hint="eastAsia" w:ascii="Times New Roman" w:hAnsi="Times New Roman" w:eastAsia="方正仿宋_GBK" w:cs="Times New Roman"/>
          <w:color w:val="000000"/>
          <w:sz w:val="28"/>
          <w:szCs w:val="24"/>
          <w:lang w:val="en-US" w:eastAsia="uk-UA" w:bidi="ar-SA"/>
        </w:rPr>
        <w:t>万元，其中，因公出国（境）费0元，安排公务用车维护费</w:t>
      </w:r>
      <w:r>
        <w:rPr>
          <w:rFonts w:hint="eastAsia" w:cs="Times New Roman"/>
          <w:color w:val="000000"/>
          <w:sz w:val="28"/>
          <w:szCs w:val="24"/>
          <w:lang w:val="en-US" w:eastAsia="zh-CN" w:bidi="ar-SA"/>
        </w:rPr>
        <w:t>2</w:t>
      </w:r>
      <w:r>
        <w:rPr>
          <w:rFonts w:hint="eastAsia" w:ascii="Times New Roman" w:hAnsi="Times New Roman" w:eastAsia="方正仿宋_GBK" w:cs="Times New Roman"/>
          <w:color w:val="000000"/>
          <w:sz w:val="28"/>
          <w:szCs w:val="24"/>
          <w:lang w:val="en-US" w:eastAsia="zh-CN" w:bidi="ar-SA"/>
        </w:rPr>
        <w:t>万</w:t>
      </w:r>
      <w:r>
        <w:rPr>
          <w:rFonts w:hint="eastAsia" w:ascii="Times New Roman" w:hAnsi="Times New Roman" w:eastAsia="方正仿宋_GBK" w:cs="Times New Roman"/>
          <w:color w:val="000000"/>
          <w:sz w:val="28"/>
          <w:szCs w:val="24"/>
          <w:lang w:val="en-US" w:eastAsia="uk-UA" w:bidi="ar-SA"/>
        </w:rPr>
        <w:t>元，（其中公务用车购置费0元，公务用车运行维护费</w:t>
      </w:r>
      <w:r>
        <w:rPr>
          <w:rFonts w:hint="eastAsia" w:cs="Times New Roman"/>
          <w:color w:val="000000"/>
          <w:sz w:val="28"/>
          <w:szCs w:val="24"/>
          <w:lang w:val="en-US" w:eastAsia="zh-CN" w:bidi="ar-SA"/>
        </w:rPr>
        <w:t>2</w:t>
      </w:r>
      <w:r>
        <w:rPr>
          <w:rFonts w:hint="eastAsia" w:ascii="Times New Roman" w:hAnsi="Times New Roman" w:eastAsia="方正仿宋_GBK" w:cs="Times New Roman"/>
          <w:color w:val="000000"/>
          <w:sz w:val="28"/>
          <w:szCs w:val="24"/>
          <w:lang w:val="en-US" w:eastAsia="uk-UA" w:bidi="ar-SA"/>
        </w:rPr>
        <w:t>万元），公务接待费0万元，因</w:t>
      </w:r>
      <w:r>
        <w:rPr>
          <w:rFonts w:hint="eastAsia" w:cs="Times New Roman"/>
          <w:color w:val="000000"/>
          <w:sz w:val="28"/>
          <w:szCs w:val="24"/>
          <w:lang w:val="en-US" w:eastAsia="zh-CN" w:bidi="ar-SA"/>
        </w:rPr>
        <w:t>公</w:t>
      </w:r>
      <w:r>
        <w:rPr>
          <w:rFonts w:hint="eastAsia" w:ascii="Times New Roman" w:hAnsi="Times New Roman" w:eastAsia="方正仿宋_GBK" w:cs="Times New Roman"/>
          <w:color w:val="000000"/>
          <w:sz w:val="28"/>
          <w:szCs w:val="24"/>
          <w:lang w:val="en-US" w:eastAsia="uk-UA" w:bidi="ar-SA"/>
        </w:rPr>
        <w:t>出国（境）费与202</w:t>
      </w:r>
      <w:r>
        <w:rPr>
          <w:rFonts w:hint="eastAsia" w:cs="Times New Roman"/>
          <w:color w:val="000000"/>
          <w:sz w:val="28"/>
          <w:szCs w:val="24"/>
          <w:lang w:val="en-US" w:eastAsia="zh-CN" w:bidi="ar-SA"/>
        </w:rPr>
        <w:t>3</w:t>
      </w:r>
      <w:r>
        <w:rPr>
          <w:rFonts w:hint="eastAsia" w:ascii="Times New Roman" w:hAnsi="Times New Roman" w:eastAsia="方正仿宋_GBK" w:cs="Times New Roman"/>
          <w:color w:val="000000"/>
          <w:sz w:val="28"/>
          <w:szCs w:val="24"/>
          <w:lang w:val="en-US" w:eastAsia="uk-UA" w:bidi="ar-SA"/>
        </w:rPr>
        <w:t>年持平，公务接待费与202</w:t>
      </w:r>
      <w:r>
        <w:rPr>
          <w:rFonts w:hint="eastAsia" w:cs="Times New Roman"/>
          <w:color w:val="000000"/>
          <w:sz w:val="28"/>
          <w:szCs w:val="24"/>
          <w:lang w:val="en-US" w:eastAsia="zh-CN" w:bidi="ar-SA"/>
        </w:rPr>
        <w:t>3</w:t>
      </w:r>
      <w:r>
        <w:rPr>
          <w:rFonts w:hint="eastAsia" w:ascii="Times New Roman" w:hAnsi="Times New Roman" w:eastAsia="方正仿宋_GBK" w:cs="Times New Roman"/>
          <w:color w:val="000000"/>
          <w:sz w:val="28"/>
          <w:szCs w:val="24"/>
          <w:lang w:val="en-US" w:eastAsia="uk-UA" w:bidi="ar-SA"/>
        </w:rPr>
        <w:t>年持平，公务用车运行维护费与202</w:t>
      </w:r>
      <w:r>
        <w:rPr>
          <w:rFonts w:hint="eastAsia" w:cs="Times New Roman"/>
          <w:color w:val="000000"/>
          <w:sz w:val="28"/>
          <w:szCs w:val="24"/>
          <w:lang w:val="en-US" w:eastAsia="zh-CN" w:bidi="ar-SA"/>
        </w:rPr>
        <w:t>3</w:t>
      </w:r>
      <w:r>
        <w:rPr>
          <w:rFonts w:hint="eastAsia" w:ascii="Times New Roman" w:hAnsi="Times New Roman" w:eastAsia="方正仿宋_GBK" w:cs="Times New Roman"/>
          <w:color w:val="000000"/>
          <w:sz w:val="28"/>
          <w:szCs w:val="24"/>
          <w:lang w:val="en-US" w:eastAsia="uk-UA" w:bidi="ar-SA"/>
        </w:rPr>
        <w:t>年持平</w:t>
      </w:r>
      <w:r>
        <w:rPr>
          <w:rFonts w:hint="eastAsia" w:cs="Times New Roman"/>
          <w:color w:val="000000"/>
          <w:sz w:val="28"/>
          <w:szCs w:val="24"/>
          <w:lang w:val="en-US" w:eastAsia="zh-CN" w:bidi="ar-SA"/>
        </w:rPr>
        <w:t>。</w:t>
      </w: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widowControl/>
        <w:spacing w:before="0" w:after="0" w:line="500" w:lineRule="exact"/>
        <w:ind w:firstLine="560"/>
        <w:jc w:val="left"/>
        <w:outlineLvl w:val="9"/>
        <w:rPr>
          <w:rFonts w:hint="eastAsia" w:ascii="Times New Roman" w:hAnsi="Times New Roman" w:eastAsia="方正仿宋_GBK" w:cs="Times New Roman"/>
          <w:color w:val="000000"/>
          <w:kern w:val="0"/>
          <w:sz w:val="28"/>
          <w:lang w:val="en-US" w:eastAsia="zh-CN"/>
        </w:rPr>
      </w:pPr>
      <w:r>
        <w:rPr>
          <w:rFonts w:hint="eastAsia" w:ascii="Times New Roman" w:hAnsi="Times New Roman" w:eastAsia="方正仿宋_GBK" w:cs="Times New Roman"/>
          <w:color w:val="000000"/>
          <w:kern w:val="0"/>
          <w:sz w:val="28"/>
          <w:lang w:val="en-US" w:eastAsia="zh-CN"/>
        </w:rPr>
        <w:t>贯彻落实党中央和省、市委、县委关于政法工作的政策法规，加强</w:t>
      </w:r>
      <w:r>
        <w:rPr>
          <w:rFonts w:hint="eastAsia" w:eastAsia="方正仿宋_GBK" w:cs="Times New Roman"/>
          <w:color w:val="000000"/>
          <w:kern w:val="0"/>
          <w:sz w:val="28"/>
          <w:lang w:val="en-US" w:eastAsia="zh-CN"/>
        </w:rPr>
        <w:t>法治建设</w:t>
      </w:r>
      <w:r>
        <w:rPr>
          <w:rFonts w:hint="eastAsia" w:ascii="Times New Roman" w:hAnsi="Times New Roman" w:eastAsia="方正仿宋_GBK" w:cs="Times New Roman"/>
          <w:color w:val="000000"/>
          <w:kern w:val="0"/>
          <w:sz w:val="28"/>
          <w:lang w:val="en-US" w:eastAsia="zh-CN"/>
        </w:rPr>
        <w:t>、维护社会稳定、加强执法监督。</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widowControl/>
        <w:spacing w:before="0" w:after="0" w:line="500" w:lineRule="exact"/>
        <w:ind w:firstLine="560"/>
        <w:jc w:val="left"/>
        <w:outlineLvl w:val="9"/>
        <w:rPr>
          <w:rFonts w:hint="eastAsia" w:ascii="Times New Roman" w:hAnsi="Times New Roman" w:eastAsia="方正仿宋_GBK" w:cs="Times New Roman"/>
          <w:color w:val="000000"/>
          <w:kern w:val="0"/>
          <w:sz w:val="28"/>
          <w:lang w:val="en-US" w:eastAsia="uk-UA"/>
        </w:rPr>
      </w:pPr>
      <w:r>
        <w:rPr>
          <w:rFonts w:hint="eastAsia" w:ascii="Times New Roman" w:hAnsi="Times New Roman" w:eastAsia="方正仿宋_GBK" w:cs="Times New Roman"/>
          <w:color w:val="000000"/>
          <w:kern w:val="0"/>
          <w:sz w:val="28"/>
          <w:lang w:val="en-US" w:eastAsia="zh-CN"/>
        </w:rPr>
        <w:t>1、</w:t>
      </w:r>
      <w:r>
        <w:rPr>
          <w:rFonts w:hint="eastAsia" w:ascii="Times New Roman" w:hAnsi="Times New Roman" w:eastAsia="方正仿宋_GBK" w:cs="Times New Roman"/>
          <w:color w:val="000000"/>
          <w:kern w:val="0"/>
          <w:sz w:val="28"/>
          <w:lang w:eastAsia="uk-UA"/>
        </w:rPr>
        <w:t>2024年政法网传输维保费</w:t>
      </w:r>
    </w:p>
    <w:p>
      <w:pPr>
        <w:widowControl/>
        <w:spacing w:before="0" w:after="0" w:line="500" w:lineRule="exact"/>
        <w:ind w:firstLine="560"/>
        <w:jc w:val="left"/>
        <w:outlineLvl w:val="9"/>
        <w:rPr>
          <w:rFonts w:hint="eastAsia" w:ascii="Times New Roman" w:hAnsi="Times New Roman" w:eastAsia="方正仿宋_GBK" w:cs="Times New Roman"/>
          <w:color w:val="000000"/>
          <w:kern w:val="0"/>
          <w:sz w:val="28"/>
          <w:lang w:val="en-US" w:eastAsia="zh-CN"/>
        </w:rPr>
      </w:pPr>
      <w:r>
        <w:rPr>
          <w:rFonts w:hint="eastAsia" w:ascii="Times New Roman" w:hAnsi="Times New Roman" w:eastAsia="方正仿宋_GBK" w:cs="Times New Roman"/>
          <w:color w:val="000000"/>
          <w:kern w:val="0"/>
          <w:sz w:val="28"/>
          <w:lang w:val="en-US" w:eastAsia="uk-UA"/>
        </w:rPr>
        <w:t>绩效目标：切实加强做好政治信息化应用工作</w:t>
      </w:r>
      <w:r>
        <w:rPr>
          <w:rFonts w:hint="eastAsia" w:ascii="Times New Roman" w:hAnsi="Times New Roman" w:eastAsia="方正仿宋_GBK" w:cs="Times New Roman"/>
          <w:color w:val="000000"/>
          <w:kern w:val="0"/>
          <w:sz w:val="28"/>
          <w:lang w:val="en-US" w:eastAsia="zh-CN"/>
        </w:rPr>
        <w:t>。</w:t>
      </w:r>
    </w:p>
    <w:p>
      <w:pPr>
        <w:widowControl/>
        <w:spacing w:before="0" w:after="0" w:line="500" w:lineRule="exact"/>
        <w:ind w:firstLine="560"/>
        <w:jc w:val="left"/>
        <w:outlineLvl w:val="9"/>
        <w:rPr>
          <w:rFonts w:hint="eastAsia" w:ascii="Times New Roman" w:hAnsi="Times New Roman" w:eastAsia="方正仿宋_GBK" w:cs="Times New Roman"/>
          <w:color w:val="000000"/>
          <w:kern w:val="0"/>
          <w:sz w:val="28"/>
          <w:lang w:val="en-US" w:eastAsia="uk-UA"/>
        </w:rPr>
      </w:pPr>
      <w:r>
        <w:rPr>
          <w:rFonts w:hint="eastAsia" w:ascii="Times New Roman" w:hAnsi="Times New Roman" w:eastAsia="方正仿宋_GBK" w:cs="Times New Roman"/>
          <w:color w:val="000000"/>
          <w:kern w:val="0"/>
          <w:sz w:val="28"/>
          <w:lang w:val="en-US" w:eastAsia="uk-UA"/>
        </w:rPr>
        <w:t>绩效指标：根据上级时间要求有序推进各项工作。</w:t>
      </w:r>
    </w:p>
    <w:p>
      <w:pPr>
        <w:widowControl/>
        <w:spacing w:before="0" w:after="0" w:line="500" w:lineRule="exact"/>
        <w:ind w:firstLine="560"/>
        <w:jc w:val="left"/>
        <w:outlineLvl w:val="9"/>
        <w:rPr>
          <w:rFonts w:hint="eastAsia"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val="en-US" w:eastAsia="zh-CN"/>
        </w:rPr>
        <w:t>2、</w:t>
      </w:r>
      <w:r>
        <w:rPr>
          <w:rFonts w:hint="eastAsia" w:ascii="Times New Roman" w:hAnsi="Times New Roman" w:eastAsia="方正仿宋_GBK" w:cs="Times New Roman"/>
          <w:color w:val="000000"/>
          <w:kern w:val="0"/>
          <w:sz w:val="28"/>
          <w:lang w:eastAsia="uk-UA"/>
        </w:rPr>
        <w:t>2024年常态化扫黑除恶专项斗争工作经费</w:t>
      </w:r>
    </w:p>
    <w:p>
      <w:pPr>
        <w:widowControl/>
        <w:spacing w:before="0" w:after="0" w:line="500" w:lineRule="exact"/>
        <w:ind w:firstLine="560"/>
        <w:jc w:val="left"/>
        <w:outlineLvl w:val="9"/>
        <w:rPr>
          <w:rFonts w:hint="eastAsia" w:ascii="Times New Roman" w:hAnsi="Times New Roman" w:eastAsia="方正仿宋_GBK" w:cs="Times New Roman"/>
          <w:color w:val="000000"/>
          <w:kern w:val="0"/>
          <w:sz w:val="28"/>
          <w:lang w:val="en-US" w:eastAsia="zh-CN"/>
        </w:rPr>
      </w:pPr>
      <w:r>
        <w:rPr>
          <w:rFonts w:hint="eastAsia" w:ascii="Times New Roman" w:hAnsi="Times New Roman" w:eastAsia="方正仿宋_GBK" w:cs="Times New Roman"/>
          <w:color w:val="000000"/>
          <w:kern w:val="0"/>
          <w:sz w:val="28"/>
          <w:lang w:val="en-US" w:eastAsia="uk-UA"/>
        </w:rPr>
        <w:t>绩效目标：</w:t>
      </w:r>
      <w:r>
        <w:rPr>
          <w:rFonts w:hint="eastAsia" w:ascii="Times New Roman" w:hAnsi="Times New Roman" w:eastAsia="方正仿宋_GBK" w:cs="Times New Roman"/>
          <w:color w:val="000000"/>
          <w:kern w:val="0"/>
          <w:sz w:val="28"/>
          <w:lang w:val="en-US" w:eastAsia="zh-CN"/>
        </w:rPr>
        <w:t>为全县经济社会健康、协调、可持续发展营造安全稳定的社会环境。</w:t>
      </w:r>
    </w:p>
    <w:p>
      <w:pPr>
        <w:widowControl/>
        <w:spacing w:before="0" w:after="0" w:line="500" w:lineRule="exact"/>
        <w:ind w:firstLine="560"/>
        <w:jc w:val="left"/>
        <w:outlineLvl w:val="9"/>
        <w:rPr>
          <w:rFonts w:hint="eastAsia" w:ascii="Times New Roman" w:hAnsi="Times New Roman" w:eastAsia="方正仿宋_GBK" w:cs="Times New Roman"/>
          <w:color w:val="000000"/>
          <w:kern w:val="0"/>
          <w:sz w:val="28"/>
          <w:lang w:val="en-US" w:eastAsia="uk-UA"/>
        </w:rPr>
      </w:pPr>
      <w:r>
        <w:rPr>
          <w:rFonts w:hint="eastAsia" w:ascii="Times New Roman" w:hAnsi="Times New Roman" w:eastAsia="方正仿宋_GBK" w:cs="Times New Roman"/>
          <w:color w:val="000000"/>
          <w:kern w:val="0"/>
          <w:sz w:val="28"/>
          <w:lang w:val="en-US" w:eastAsia="uk-UA"/>
        </w:rPr>
        <w:t>绩效指标：根据上级时间要求有序推进各项工作。</w:t>
      </w:r>
    </w:p>
    <w:p>
      <w:pPr>
        <w:widowControl/>
        <w:spacing w:before="0" w:after="0" w:line="500" w:lineRule="exact"/>
        <w:ind w:firstLine="560"/>
        <w:jc w:val="left"/>
        <w:outlineLvl w:val="9"/>
        <w:rPr>
          <w:rFonts w:hint="eastAsia"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val="en-US" w:eastAsia="zh-CN"/>
        </w:rPr>
        <w:t>3、</w:t>
      </w:r>
      <w:r>
        <w:rPr>
          <w:rFonts w:hint="eastAsia" w:ascii="Times New Roman" w:hAnsi="Times New Roman" w:eastAsia="方正仿宋_GBK" w:cs="Times New Roman"/>
          <w:color w:val="000000"/>
          <w:kern w:val="0"/>
          <w:sz w:val="28"/>
          <w:lang w:eastAsia="uk-UA"/>
        </w:rPr>
        <w:t>2024年严重精神病障碍患者监护人责任险</w:t>
      </w:r>
    </w:p>
    <w:p>
      <w:pPr>
        <w:widowControl/>
        <w:spacing w:before="0" w:after="0" w:line="500" w:lineRule="exact"/>
        <w:ind w:firstLine="560"/>
        <w:jc w:val="left"/>
        <w:outlineLvl w:val="9"/>
        <w:rPr>
          <w:rFonts w:hint="eastAsia" w:ascii="Times New Roman" w:hAnsi="Times New Roman" w:eastAsia="方正仿宋_GBK" w:cs="Times New Roman"/>
          <w:color w:val="000000"/>
          <w:kern w:val="0"/>
          <w:sz w:val="28"/>
          <w:lang w:eastAsia="zh-CN"/>
        </w:rPr>
      </w:pPr>
      <w:r>
        <w:rPr>
          <w:rFonts w:hint="eastAsia" w:ascii="Times New Roman" w:hAnsi="Times New Roman" w:eastAsia="方正仿宋_GBK" w:cs="Times New Roman"/>
          <w:color w:val="000000"/>
          <w:kern w:val="0"/>
          <w:sz w:val="28"/>
          <w:lang w:val="en-US" w:eastAsia="uk-UA"/>
        </w:rPr>
        <w:t>绩效目标：</w:t>
      </w:r>
      <w:r>
        <w:rPr>
          <w:rFonts w:hint="eastAsia" w:ascii="Times New Roman" w:hAnsi="Times New Roman" w:eastAsia="方正仿宋_GBK" w:cs="Times New Roman"/>
          <w:color w:val="000000"/>
          <w:kern w:val="0"/>
          <w:sz w:val="28"/>
          <w:lang w:eastAsia="uk-UA"/>
        </w:rPr>
        <w:t>督促落实严重精神障碍患者监护人“以奖代补”政策和监护人责任险工作，把以奖代补政策工作和监护人责任险工作纳入平安建设考核内容</w:t>
      </w:r>
      <w:r>
        <w:rPr>
          <w:rFonts w:hint="eastAsia" w:ascii="Times New Roman" w:hAnsi="Times New Roman" w:eastAsia="方正仿宋_GBK" w:cs="Times New Roman"/>
          <w:color w:val="000000"/>
          <w:kern w:val="0"/>
          <w:sz w:val="28"/>
          <w:lang w:eastAsia="zh-CN"/>
        </w:rPr>
        <w:t>。</w:t>
      </w:r>
    </w:p>
    <w:p>
      <w:pPr>
        <w:widowControl/>
        <w:spacing w:before="0" w:after="0" w:line="500" w:lineRule="exact"/>
        <w:ind w:firstLine="560"/>
        <w:jc w:val="left"/>
        <w:outlineLvl w:val="9"/>
        <w:rPr>
          <w:rFonts w:hint="eastAsia" w:ascii="Times New Roman" w:hAnsi="Times New Roman" w:eastAsia="方正仿宋_GBK" w:cs="Times New Roman"/>
          <w:color w:val="000000"/>
          <w:kern w:val="0"/>
          <w:sz w:val="28"/>
          <w:lang w:val="en-US" w:eastAsia="uk-UA"/>
        </w:rPr>
      </w:pPr>
      <w:r>
        <w:rPr>
          <w:rFonts w:hint="eastAsia" w:ascii="Times New Roman" w:hAnsi="Times New Roman" w:eastAsia="方正仿宋_GBK" w:cs="Times New Roman"/>
          <w:color w:val="000000"/>
          <w:kern w:val="0"/>
          <w:sz w:val="28"/>
          <w:lang w:val="en-US" w:eastAsia="uk-UA"/>
        </w:rPr>
        <w:t>绩效指标：根据上级时间要求有序推进各项工作。</w:t>
      </w:r>
    </w:p>
    <w:p>
      <w:pPr>
        <w:widowControl/>
        <w:spacing w:before="0" w:after="0" w:line="500" w:lineRule="exact"/>
        <w:ind w:firstLine="560"/>
        <w:jc w:val="left"/>
        <w:outlineLvl w:val="9"/>
        <w:rPr>
          <w:rFonts w:hint="eastAsia"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val="en-US" w:eastAsia="zh-CN"/>
        </w:rPr>
        <w:t>4、</w:t>
      </w:r>
      <w:r>
        <w:rPr>
          <w:rFonts w:hint="eastAsia" w:ascii="Times New Roman" w:hAnsi="Times New Roman" w:eastAsia="方正仿宋_GBK" w:cs="Times New Roman"/>
          <w:color w:val="000000"/>
          <w:kern w:val="0"/>
          <w:sz w:val="28"/>
          <w:lang w:eastAsia="uk-UA"/>
        </w:rPr>
        <w:t>2024年治安保险业参与平安建设</w:t>
      </w:r>
    </w:p>
    <w:p>
      <w:pPr>
        <w:widowControl/>
        <w:spacing w:before="0" w:after="0" w:line="500" w:lineRule="exact"/>
        <w:ind w:firstLine="560"/>
        <w:jc w:val="left"/>
        <w:outlineLvl w:val="9"/>
        <w:rPr>
          <w:rFonts w:hint="eastAsia" w:ascii="Times New Roman" w:hAnsi="Times New Roman" w:eastAsia="方正仿宋_GBK" w:cs="Times New Roman"/>
          <w:color w:val="000000"/>
          <w:kern w:val="0"/>
          <w:sz w:val="28"/>
          <w:lang w:val="en-US" w:eastAsia="uk-UA"/>
        </w:rPr>
      </w:pPr>
      <w:r>
        <w:rPr>
          <w:rFonts w:hint="eastAsia" w:ascii="Times New Roman" w:hAnsi="Times New Roman" w:eastAsia="方正仿宋_GBK" w:cs="Times New Roman"/>
          <w:color w:val="000000"/>
          <w:kern w:val="0"/>
          <w:sz w:val="28"/>
          <w:lang w:val="en-US" w:eastAsia="uk-UA"/>
        </w:rPr>
        <w:t>绩效目标：保障全县人民群众家庭财产和人身安全，特别是当人民群众遭受突发事件，不可抗力自然灾害，精神病患者侵害，见义勇为，肇事车辆逃逸造成的人身伤亡及其他不可预见的财产损失等情况进行托底保障，为全县人民群众购买惠普型保险产品。</w:t>
      </w:r>
    </w:p>
    <w:p>
      <w:pPr>
        <w:widowControl/>
        <w:spacing w:before="0" w:after="0" w:line="500" w:lineRule="exact"/>
        <w:ind w:firstLine="560"/>
        <w:jc w:val="left"/>
        <w:outlineLvl w:val="9"/>
        <w:rPr>
          <w:rFonts w:hint="eastAsia" w:ascii="Times New Roman" w:hAnsi="Times New Roman" w:eastAsia="方正仿宋_GBK" w:cs="Times New Roman"/>
          <w:color w:val="000000"/>
          <w:kern w:val="0"/>
          <w:sz w:val="28"/>
          <w:lang w:eastAsia="uk-UA"/>
        </w:rPr>
      </w:pPr>
      <w:r>
        <w:rPr>
          <w:rFonts w:hint="eastAsia" w:ascii="Times New Roman" w:hAnsi="Times New Roman" w:eastAsia="方正仿宋_GBK" w:cs="Times New Roman"/>
          <w:color w:val="000000"/>
          <w:kern w:val="0"/>
          <w:sz w:val="28"/>
          <w:lang w:val="en-US" w:eastAsia="uk-UA"/>
        </w:rPr>
        <w:t>绩效指标：根据上级时间要求有序推进各项工作。</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widowControl/>
        <w:spacing w:before="0" w:after="0" w:line="500" w:lineRule="exact"/>
        <w:ind w:firstLine="560"/>
        <w:jc w:val="left"/>
        <w:outlineLvl w:val="9"/>
        <w:rPr>
          <w:rFonts w:hint="eastAsia" w:ascii="Times New Roman" w:hAnsi="Times New Roman" w:eastAsia="方正仿宋_GBK" w:cs="Times New Roman"/>
          <w:color w:val="000000"/>
          <w:kern w:val="0"/>
          <w:sz w:val="28"/>
          <w:lang w:val="en-US" w:eastAsia="uk-UA"/>
        </w:rPr>
      </w:pPr>
      <w:bookmarkStart w:id="14" w:name="_Toc_3_3_0000000015"/>
      <w:r>
        <w:rPr>
          <w:rFonts w:hint="eastAsia" w:ascii="Times New Roman" w:hAnsi="Times New Roman" w:eastAsia="方正仿宋_GBK" w:cs="Times New Roman"/>
          <w:color w:val="000000"/>
          <w:kern w:val="0"/>
          <w:sz w:val="28"/>
          <w:lang w:val="en-US" w:eastAsia="zh-CN"/>
        </w:rPr>
        <w:t>1、</w:t>
      </w:r>
      <w:r>
        <w:rPr>
          <w:rFonts w:hint="eastAsia" w:ascii="Times New Roman" w:hAnsi="Times New Roman" w:eastAsia="方正仿宋_GBK" w:cs="Times New Roman"/>
          <w:color w:val="000000"/>
          <w:kern w:val="0"/>
          <w:sz w:val="28"/>
          <w:lang w:val="en-US" w:eastAsia="uk-UA"/>
        </w:rPr>
        <w:t>完善制度建设。对财务制度以及相关配套制度进行更新和完善，规范票据管理和报销流程，确保有章可循和有章必循，进一步提升财政资金管理使用科学化规范化水平，为全年预算绩效目标的实现奠定制度基础。</w:t>
      </w:r>
    </w:p>
    <w:p>
      <w:pPr>
        <w:widowControl/>
        <w:spacing w:before="0" w:after="0" w:line="500" w:lineRule="exact"/>
        <w:ind w:firstLine="560"/>
        <w:jc w:val="left"/>
        <w:outlineLvl w:val="9"/>
        <w:rPr>
          <w:rFonts w:hint="eastAsia" w:ascii="Times New Roman" w:hAnsi="Times New Roman" w:eastAsia="方正仿宋_GBK" w:cs="Times New Roman"/>
          <w:color w:val="000000"/>
          <w:kern w:val="0"/>
          <w:sz w:val="28"/>
          <w:lang w:val="en-US" w:eastAsia="uk-UA"/>
        </w:rPr>
      </w:pPr>
      <w:r>
        <w:rPr>
          <w:rFonts w:hint="eastAsia" w:ascii="Times New Roman" w:hAnsi="Times New Roman" w:eastAsia="方正仿宋_GBK" w:cs="Times New Roman"/>
          <w:color w:val="000000"/>
          <w:kern w:val="0"/>
          <w:sz w:val="28"/>
          <w:lang w:val="en-US" w:eastAsia="zh-CN"/>
        </w:rPr>
        <w:t>2、</w:t>
      </w:r>
      <w:r>
        <w:rPr>
          <w:rFonts w:hint="eastAsia" w:ascii="Times New Roman" w:hAnsi="Times New Roman" w:eastAsia="方正仿宋_GBK" w:cs="Times New Roman"/>
          <w:color w:val="000000"/>
          <w:kern w:val="0"/>
          <w:sz w:val="28"/>
          <w:lang w:val="en-US" w:eastAsia="uk-UA"/>
        </w:rPr>
        <w:t>加强支出管理。结合年度目标任务将全面工作进行细化分解，按月按活动制定支出计划，明确指出分类，不断优化支出结构，同时，严格经费使用管理，严把各个环节支出流程，确保资金使用合规。加快资金支付进度，与工作同时跟进，杜绝滞后现象，通过优化支出结构、编细编实预算、加快履行政府采购手续、尽快启动项目、及时支付资金、细化代编预算、按规定及时安排资金等多种措施，确保支出进度达标。</w:t>
      </w:r>
    </w:p>
    <w:p>
      <w:pPr>
        <w:widowControl/>
        <w:spacing w:before="0" w:after="0" w:line="500" w:lineRule="exact"/>
        <w:ind w:firstLine="560"/>
        <w:jc w:val="left"/>
        <w:outlineLvl w:val="9"/>
        <w:rPr>
          <w:rFonts w:hint="eastAsia" w:ascii="Times New Roman" w:hAnsi="Times New Roman" w:eastAsia="方正仿宋_GBK" w:cs="Times New Roman"/>
          <w:color w:val="000000"/>
          <w:kern w:val="0"/>
          <w:sz w:val="28"/>
          <w:lang w:val="en-US" w:eastAsia="uk-UA"/>
        </w:rPr>
      </w:pPr>
      <w:r>
        <w:rPr>
          <w:rFonts w:hint="eastAsia" w:ascii="Times New Roman" w:hAnsi="Times New Roman" w:eastAsia="方正仿宋_GBK" w:cs="Times New Roman"/>
          <w:color w:val="000000"/>
          <w:kern w:val="0"/>
          <w:sz w:val="28"/>
          <w:lang w:val="en-US" w:eastAsia="zh-CN"/>
        </w:rPr>
        <w:t>3、</w:t>
      </w:r>
      <w:r>
        <w:rPr>
          <w:rFonts w:hint="eastAsia" w:ascii="Times New Roman" w:hAnsi="Times New Roman" w:eastAsia="方正仿宋_GBK" w:cs="Times New Roman"/>
          <w:color w:val="000000"/>
          <w:kern w:val="0"/>
          <w:sz w:val="28"/>
          <w:lang w:val="en-US" w:eastAsia="uk-UA"/>
        </w:rPr>
        <w:t>加强绩效运行监控。按要求开展绩效运行监控，建立健全加强绩效监督管理运行长效机制，按月进行自查自纠，发现问题及时采取措施，确保绩效目标如期保质实现。</w:t>
      </w:r>
    </w:p>
    <w:p>
      <w:pPr>
        <w:spacing w:before="0" w:after="0" w:line="500" w:lineRule="exact"/>
        <w:ind w:firstLine="640" w:firstLineChars="200"/>
        <w:jc w:val="left"/>
        <w:outlineLvl w:val="9"/>
        <w:rPr>
          <w:rFonts w:ascii="黑体" w:hAnsi="黑体" w:eastAsia="黑体" w:cs="黑体"/>
          <w:color w:val="000000"/>
          <w:sz w:val="32"/>
        </w:rPr>
      </w:pPr>
    </w:p>
    <w:p>
      <w:pPr>
        <w:spacing w:before="0" w:after="0" w:line="500" w:lineRule="exact"/>
        <w:ind w:firstLine="640" w:firstLineChars="200"/>
        <w:jc w:val="left"/>
        <w:outlineLvl w:val="9"/>
        <w:rPr>
          <w:rFonts w:ascii="黑体" w:hAnsi="黑体" w:eastAsia="黑体" w:cs="黑体"/>
          <w:color w:val="000000"/>
          <w:sz w:val="32"/>
        </w:rPr>
      </w:pPr>
      <w:r>
        <w:rPr>
          <w:rFonts w:ascii="黑体" w:hAnsi="黑体" w:eastAsia="黑体" w:cs="黑体"/>
          <w:color w:val="000000"/>
          <w:sz w:val="32"/>
        </w:rPr>
        <w:t>六、部门主管专项资金预算安排情况及绩效目标</w:t>
      </w:r>
      <w:bookmarkEnd w:id="14"/>
    </w:p>
    <w:p>
      <w:pPr>
        <w:ind w:firstLine="560" w:firstLineChars="200"/>
        <w:rPr>
          <w:rFonts w:hint="default" w:ascii="Times New Roman" w:hAnsi="Times New Roman" w:eastAsia="黑体" w:cs="Times New Roman"/>
          <w:b w:val="0"/>
          <w:sz w:val="28"/>
          <w:szCs w:val="24"/>
          <w:lang w:val="en-US" w:eastAsia="zh-CN" w:bidi="ar-SA"/>
        </w:rPr>
        <w:sectPr>
          <w:pgSz w:w="16840" w:h="11900" w:orient="landscape"/>
          <w:pgMar w:top="1361" w:right="1020" w:bottom="1134" w:left="1020" w:header="720" w:footer="720" w:gutter="0"/>
          <w:cols w:space="720" w:num="1"/>
        </w:sectPr>
      </w:pPr>
      <w:r>
        <w:rPr>
          <w:rFonts w:hint="eastAsia" w:eastAsia="方正仿宋_GBK" w:cs="Times New Roman"/>
          <w:color w:val="000000"/>
          <w:kern w:val="0"/>
          <w:sz w:val="28"/>
          <w:lang w:val="en-US" w:eastAsia="zh-CN"/>
        </w:rPr>
        <w:t>注</w:t>
      </w:r>
      <w:r>
        <w:rPr>
          <w:rFonts w:hint="eastAsia" w:ascii="Times New Roman" w:hAnsi="Times New Roman" w:eastAsia="方正仿宋_GBK" w:cs="Times New Roman"/>
          <w:color w:val="000000"/>
          <w:kern w:val="0"/>
          <w:sz w:val="28"/>
          <w:lang w:val="en-US" w:eastAsia="zh-CN"/>
        </w:rPr>
        <w:t>：我单位无部门主管专项资金，空表列示</w:t>
      </w:r>
      <w:r>
        <w:rPr>
          <w:rFonts w:hint="eastAsia" w:ascii="黑体" w:hAnsi="黑体" w:eastAsia="黑体" w:cs="黑体"/>
          <w:color w:val="000000"/>
          <w:sz w:val="32"/>
          <w:lang w:val="en-US" w:eastAsia="zh-CN"/>
        </w:rPr>
        <w:t>。</w:t>
      </w:r>
    </w:p>
    <w:p>
      <w:pPr>
        <w:spacing w:before="10" w:after="10" w:line="360" w:lineRule="auto"/>
        <w:ind w:firstLine="640"/>
        <w:jc w:val="left"/>
        <w:outlineLvl w:val="2"/>
        <w:sectPr>
          <w:pgSz w:w="16840" w:h="11900" w:orient="landscape"/>
          <w:pgMar w:top="1361" w:right="1020" w:bottom="1134" w:left="1020" w:header="720" w:footer="720" w:gutter="0"/>
          <w:cols w:space="720" w:num="1"/>
        </w:sectPr>
      </w:pPr>
      <w:bookmarkStart w:id="15" w:name="_Toc_3_3_0000000016"/>
      <w:r>
        <w:rPr>
          <w:rFonts w:ascii="黑体" w:hAnsi="黑体" w:eastAsia="黑体" w:cs="黑体"/>
          <w:color w:val="000000"/>
          <w:sz w:val="32"/>
        </w:rPr>
        <w:t>七、部门项目预算安排情况及绩效目标</w:t>
      </w:r>
      <w:bookmarkEnd w:id="15"/>
    </w:p>
    <w:p>
      <w:pPr>
        <w:spacing w:before="0" w:after="0"/>
        <w:ind w:firstLine="560"/>
        <w:jc w:val="left"/>
        <w:outlineLvl w:val="9"/>
      </w:pPr>
      <w:r>
        <w:rPr>
          <w:rFonts w:ascii="方正仿宋_GBK" w:hAnsi="方正仿宋_GBK" w:eastAsia="方正仿宋_GBK" w:cs="方正仿宋_GBK"/>
          <w:color w:val="000000"/>
          <w:sz w:val="28"/>
        </w:rPr>
        <w:t>1、2024年常态化扫黑除恶专项斗争工作经费绩效目标表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13042424P001PDR10311D</w:t>
            </w:r>
          </w:p>
        </w:tc>
        <w:tc>
          <w:tcPr>
            <w:tcW w:w="2835" w:type="dxa"/>
            <w:vAlign w:val="center"/>
          </w:tcPr>
          <w:p>
            <w:pPr>
              <w:pStyle w:val="12"/>
            </w:pPr>
            <w:r>
              <w:t>项目名称</w:t>
            </w:r>
          </w:p>
        </w:tc>
        <w:tc>
          <w:tcPr>
            <w:tcW w:w="6094" w:type="dxa"/>
            <w:gridSpan w:val="3"/>
            <w:vAlign w:val="center"/>
          </w:tcPr>
          <w:p>
            <w:pPr>
              <w:pStyle w:val="14"/>
            </w:pPr>
            <w:r>
              <w:t>2024年常态化扫黑除恶专项斗争工作经费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20.00</w:t>
            </w:r>
          </w:p>
        </w:tc>
        <w:tc>
          <w:tcPr>
            <w:tcW w:w="2835" w:type="dxa"/>
            <w:vAlign w:val="center"/>
          </w:tcPr>
          <w:p>
            <w:pPr>
              <w:pStyle w:val="12"/>
            </w:pPr>
            <w:r>
              <w:t>其中：财政    资金</w:t>
            </w:r>
          </w:p>
        </w:tc>
        <w:tc>
          <w:tcPr>
            <w:tcW w:w="2551" w:type="dxa"/>
            <w:vAlign w:val="center"/>
          </w:tcPr>
          <w:p>
            <w:pPr>
              <w:pStyle w:val="14"/>
            </w:pPr>
            <w:r>
              <w:t>20.00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巩固深化扫黑除恶专项斗争成果，常态化、机制化开展扫黑除恶斗争，确保人民安居乐业、社会安定有序、国家长治久安。</w:t>
            </w:r>
            <w:r>
              <w:tab/>
            </w:r>
            <w:r>
              <w:tab/>
            </w:r>
            <w:r>
              <w:tab/>
            </w:r>
            <w:r>
              <w:tab/>
            </w:r>
            <w:r>
              <w:tab/>
            </w:r>
            <w:r>
              <w:tab/>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5.00</w:t>
            </w:r>
          </w:p>
        </w:tc>
        <w:tc>
          <w:tcPr>
            <w:tcW w:w="2835" w:type="dxa"/>
            <w:vAlign w:val="center"/>
          </w:tcPr>
          <w:p>
            <w:pPr>
              <w:pStyle w:val="15"/>
            </w:pPr>
            <w:r>
              <w:t>5.00</w:t>
            </w:r>
          </w:p>
        </w:tc>
        <w:tc>
          <w:tcPr>
            <w:tcW w:w="2551" w:type="dxa"/>
            <w:vAlign w:val="center"/>
          </w:tcPr>
          <w:p>
            <w:pPr>
              <w:pStyle w:val="15"/>
            </w:pPr>
            <w:r>
              <w:t>5.00</w:t>
            </w:r>
          </w:p>
        </w:tc>
        <w:tc>
          <w:tcPr>
            <w:tcW w:w="3543" w:type="dxa"/>
            <w:gridSpan w:val="2"/>
            <w:vAlign w:val="center"/>
          </w:tcPr>
          <w:p>
            <w:pPr>
              <w:pStyle w:val="15"/>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1.一步巩固深化扫黑除恶专项斗争成果，常态化、机制化开展扫黑除恶斗争，确保人民安居乐业、社会安定有序、国家长治久安。</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宣传品数量</w:t>
            </w:r>
          </w:p>
        </w:tc>
        <w:tc>
          <w:tcPr>
            <w:tcW w:w="5386" w:type="dxa"/>
            <w:vAlign w:val="center"/>
          </w:tcPr>
          <w:p>
            <w:pPr>
              <w:pStyle w:val="14"/>
            </w:pPr>
            <w:r>
              <w:t>制作扫黑除恶宣传袋、册、页10元每份</w:t>
            </w:r>
          </w:p>
        </w:tc>
        <w:tc>
          <w:tcPr>
            <w:tcW w:w="2268" w:type="dxa"/>
            <w:vAlign w:val="center"/>
          </w:tcPr>
          <w:p>
            <w:pPr>
              <w:pStyle w:val="14"/>
            </w:pPr>
            <w:r>
              <w:t>≥5000份</w:t>
            </w:r>
          </w:p>
        </w:tc>
        <w:tc>
          <w:tcPr>
            <w:tcW w:w="1276" w:type="dxa"/>
            <w:vAlign w:val="center"/>
          </w:tcPr>
          <w:p>
            <w:pPr>
              <w:pStyle w:val="14"/>
            </w:pPr>
            <w:r>
              <w:t>关于常态化开展</w:t>
            </w:r>
            <w:r>
              <w:rPr>
                <w:rFonts w:hint="eastAsia"/>
                <w:lang w:eastAsia="zh-CN"/>
              </w:rPr>
              <w:t>扫黑除恶专项斗争</w:t>
            </w:r>
            <w:bookmarkStart w:id="20" w:name="_GoBack"/>
            <w:bookmarkEnd w:id="20"/>
            <w:r>
              <w:t>巩固专项斗争成果的意见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5386" w:type="dxa"/>
            <w:vAlign w:val="center"/>
          </w:tcPr>
          <w:p>
            <w:pPr>
              <w:pStyle w:val="14"/>
            </w:pPr>
            <w:r>
              <w:t>验收合格率</w:t>
            </w:r>
          </w:p>
        </w:tc>
        <w:tc>
          <w:tcPr>
            <w:tcW w:w="2268" w:type="dxa"/>
            <w:vAlign w:val="center"/>
          </w:tcPr>
          <w:p>
            <w:pPr>
              <w:pStyle w:val="14"/>
            </w:pPr>
            <w:r>
              <w:t>≥95百分比</w:t>
            </w:r>
          </w:p>
        </w:tc>
        <w:tc>
          <w:tcPr>
            <w:tcW w:w="1276" w:type="dxa"/>
            <w:vAlign w:val="center"/>
          </w:tcPr>
          <w:p>
            <w:pPr>
              <w:pStyle w:val="14"/>
            </w:pPr>
            <w:r>
              <w:t>关于常态化开展扫黑除恶斗争巩固专项斗争成果的意见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完成时间</w:t>
            </w:r>
          </w:p>
        </w:tc>
        <w:tc>
          <w:tcPr>
            <w:tcW w:w="5386" w:type="dxa"/>
            <w:vAlign w:val="center"/>
          </w:tcPr>
          <w:p>
            <w:pPr>
              <w:pStyle w:val="14"/>
            </w:pPr>
            <w:r>
              <w:t>完成期限</w:t>
            </w:r>
          </w:p>
        </w:tc>
        <w:tc>
          <w:tcPr>
            <w:tcW w:w="2268" w:type="dxa"/>
            <w:vAlign w:val="center"/>
          </w:tcPr>
          <w:p>
            <w:pPr>
              <w:pStyle w:val="14"/>
            </w:pPr>
            <w:r>
              <w:t>1年</w:t>
            </w:r>
          </w:p>
        </w:tc>
        <w:tc>
          <w:tcPr>
            <w:tcW w:w="1276" w:type="dxa"/>
            <w:vAlign w:val="center"/>
          </w:tcPr>
          <w:p>
            <w:pPr>
              <w:pStyle w:val="14"/>
            </w:pPr>
            <w:r>
              <w:t>关于常态化开展扫黑除恶斗争巩固专项斗争成果的意见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宣传品成本</w:t>
            </w:r>
          </w:p>
        </w:tc>
        <w:tc>
          <w:tcPr>
            <w:tcW w:w="5386" w:type="dxa"/>
            <w:vAlign w:val="center"/>
          </w:tcPr>
          <w:p>
            <w:pPr>
              <w:pStyle w:val="14"/>
            </w:pPr>
            <w:r>
              <w:t>印刷宣传资料、传单、宣传品等成本</w:t>
            </w:r>
          </w:p>
        </w:tc>
        <w:tc>
          <w:tcPr>
            <w:tcW w:w="2268" w:type="dxa"/>
            <w:vAlign w:val="center"/>
          </w:tcPr>
          <w:p>
            <w:pPr>
              <w:pStyle w:val="14"/>
            </w:pPr>
            <w:r>
              <w:t>20万元</w:t>
            </w:r>
          </w:p>
        </w:tc>
        <w:tc>
          <w:tcPr>
            <w:tcW w:w="1276" w:type="dxa"/>
            <w:vAlign w:val="center"/>
          </w:tcPr>
          <w:p>
            <w:pPr>
              <w:pStyle w:val="14"/>
            </w:pPr>
            <w:r>
              <w:t>关于常态化开展扫黑除恶斗争巩固专项斗争成果的意见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关于常态化开展扫黑除恶斗争巩固专项斗争成果的意见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全县人民群众对扫黑除恶的满意度</w:t>
            </w:r>
          </w:p>
        </w:tc>
        <w:tc>
          <w:tcPr>
            <w:tcW w:w="5386" w:type="dxa"/>
            <w:vAlign w:val="center"/>
          </w:tcPr>
          <w:p>
            <w:pPr>
              <w:pStyle w:val="14"/>
            </w:pPr>
            <w:r>
              <w:t>确保扫黑除恶始终合民意、护民利、得民心</w:t>
            </w:r>
          </w:p>
        </w:tc>
        <w:tc>
          <w:tcPr>
            <w:tcW w:w="2268" w:type="dxa"/>
            <w:vAlign w:val="center"/>
          </w:tcPr>
          <w:p>
            <w:pPr>
              <w:pStyle w:val="14"/>
            </w:pPr>
            <w:r>
              <w:t>有所提高</w:t>
            </w:r>
          </w:p>
        </w:tc>
        <w:tc>
          <w:tcPr>
            <w:tcW w:w="1276" w:type="dxa"/>
            <w:vAlign w:val="center"/>
          </w:tcPr>
          <w:p>
            <w:pPr>
              <w:pStyle w:val="14"/>
            </w:pPr>
            <w:r>
              <w:t>关于常态化开展扫黑除恶斗争巩固专项斗争成果的意见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关于常态化开展扫黑除恶斗争巩固专项斗争成果的意见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全县人民群众获得感</w:t>
            </w:r>
          </w:p>
        </w:tc>
        <w:tc>
          <w:tcPr>
            <w:tcW w:w="5386" w:type="dxa"/>
            <w:vAlign w:val="center"/>
          </w:tcPr>
          <w:p>
            <w:pPr>
              <w:pStyle w:val="14"/>
            </w:pPr>
            <w:r>
              <w:t>提高全县人民群众安全感</w:t>
            </w:r>
          </w:p>
        </w:tc>
        <w:tc>
          <w:tcPr>
            <w:tcW w:w="2268" w:type="dxa"/>
            <w:vAlign w:val="center"/>
          </w:tcPr>
          <w:p>
            <w:pPr>
              <w:pStyle w:val="14"/>
            </w:pPr>
            <w:r>
              <w:t>有所提高</w:t>
            </w:r>
          </w:p>
        </w:tc>
        <w:tc>
          <w:tcPr>
            <w:tcW w:w="1276" w:type="dxa"/>
            <w:vAlign w:val="center"/>
          </w:tcPr>
          <w:p>
            <w:pPr>
              <w:pStyle w:val="14"/>
            </w:pPr>
            <w:r>
              <w:t>关于常态化开展扫黑除恶斗争巩固专项斗争成果的意见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全县人民群众满意和较满意的</w:t>
            </w:r>
          </w:p>
        </w:tc>
        <w:tc>
          <w:tcPr>
            <w:tcW w:w="2268" w:type="dxa"/>
            <w:vAlign w:val="center"/>
          </w:tcPr>
          <w:p>
            <w:pPr>
              <w:pStyle w:val="14"/>
            </w:pPr>
            <w:r>
              <w:t>≥95百分比</w:t>
            </w:r>
          </w:p>
        </w:tc>
        <w:tc>
          <w:tcPr>
            <w:tcW w:w="1276" w:type="dxa"/>
            <w:vAlign w:val="center"/>
          </w:tcPr>
          <w:p>
            <w:pPr>
              <w:pStyle w:val="14"/>
            </w:pPr>
            <w:r>
              <w:t>关于常态化开展扫黑除恶斗争巩固专项斗争成果的意见</w:t>
            </w:r>
          </w:p>
        </w:tc>
      </w:tr>
    </w:tbl>
    <w:p>
      <w:pPr>
        <w:sectPr>
          <w:type w:val="continuous"/>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2、2024年严重精神病障碍患者监护人责任险绩效目标表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13042424P001PDR10310R</w:t>
            </w:r>
          </w:p>
        </w:tc>
        <w:tc>
          <w:tcPr>
            <w:tcW w:w="2835" w:type="dxa"/>
            <w:vAlign w:val="center"/>
          </w:tcPr>
          <w:p>
            <w:pPr>
              <w:pStyle w:val="12"/>
            </w:pPr>
            <w:r>
              <w:t>项目名称</w:t>
            </w:r>
          </w:p>
        </w:tc>
        <w:tc>
          <w:tcPr>
            <w:tcW w:w="6094" w:type="dxa"/>
            <w:gridSpan w:val="3"/>
            <w:vAlign w:val="center"/>
          </w:tcPr>
          <w:p>
            <w:pPr>
              <w:pStyle w:val="14"/>
            </w:pPr>
            <w:r>
              <w:t>2024年严重精神病障碍患者监护人责任险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25.20</w:t>
            </w:r>
          </w:p>
        </w:tc>
        <w:tc>
          <w:tcPr>
            <w:tcW w:w="2835" w:type="dxa"/>
            <w:vAlign w:val="center"/>
          </w:tcPr>
          <w:p>
            <w:pPr>
              <w:pStyle w:val="12"/>
            </w:pPr>
            <w:r>
              <w:t>其中：财政    资金</w:t>
            </w:r>
          </w:p>
        </w:tc>
        <w:tc>
          <w:tcPr>
            <w:tcW w:w="2551" w:type="dxa"/>
            <w:vAlign w:val="center"/>
          </w:tcPr>
          <w:p>
            <w:pPr>
              <w:pStyle w:val="14"/>
            </w:pPr>
            <w:r>
              <w:t>25.20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督促落实严重精神障碍患者监护人“以奖代补”政策和监护人责任险工作，把以奖代补政策工作和监护人责任险工作纳入平安建设考核内容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25.20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1.督促落实严重精神障碍患者监护人“以奖代补”政策和监护人责任险工作，把以奖代补政策工作和监护人责任险工作纳入平安建设考核内容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缴纳严重精神障碍患者户数</w:t>
            </w:r>
          </w:p>
        </w:tc>
        <w:tc>
          <w:tcPr>
            <w:tcW w:w="5386" w:type="dxa"/>
            <w:vAlign w:val="center"/>
          </w:tcPr>
          <w:p>
            <w:pPr>
              <w:pStyle w:val="14"/>
            </w:pPr>
            <w:r>
              <w:t>缴纳严重精神障碍监护人以奖代补有奖监护户数</w:t>
            </w:r>
          </w:p>
        </w:tc>
        <w:tc>
          <w:tcPr>
            <w:tcW w:w="2268" w:type="dxa"/>
            <w:vAlign w:val="center"/>
          </w:tcPr>
          <w:p>
            <w:pPr>
              <w:pStyle w:val="14"/>
            </w:pPr>
            <w:r>
              <w:t>18户</w:t>
            </w:r>
          </w:p>
        </w:tc>
        <w:tc>
          <w:tcPr>
            <w:tcW w:w="1276" w:type="dxa"/>
            <w:vAlign w:val="center"/>
          </w:tcPr>
          <w:p>
            <w:pPr>
              <w:pStyle w:val="14"/>
            </w:pPr>
            <w:r>
              <w:t>省综治委（2016）4号文件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缴纳全县精神病障碍患者人数</w:t>
            </w:r>
          </w:p>
        </w:tc>
        <w:tc>
          <w:tcPr>
            <w:tcW w:w="5386" w:type="dxa"/>
            <w:vAlign w:val="center"/>
          </w:tcPr>
          <w:p>
            <w:pPr>
              <w:pStyle w:val="14"/>
            </w:pPr>
            <w:r>
              <w:t>缴纳全县精神病障碍患者人数</w:t>
            </w:r>
          </w:p>
        </w:tc>
        <w:tc>
          <w:tcPr>
            <w:tcW w:w="2268" w:type="dxa"/>
            <w:vAlign w:val="center"/>
          </w:tcPr>
          <w:p>
            <w:pPr>
              <w:pStyle w:val="14"/>
            </w:pPr>
            <w:r>
              <w:t>2088人</w:t>
            </w:r>
          </w:p>
        </w:tc>
        <w:tc>
          <w:tcPr>
            <w:tcW w:w="1276" w:type="dxa"/>
            <w:vAlign w:val="center"/>
          </w:tcPr>
          <w:p>
            <w:pPr>
              <w:pStyle w:val="14"/>
            </w:pPr>
            <w:r>
              <w:t>省综治委（2016）4号文件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保费参保率</w:t>
            </w:r>
          </w:p>
        </w:tc>
        <w:tc>
          <w:tcPr>
            <w:tcW w:w="5386" w:type="dxa"/>
            <w:vAlign w:val="center"/>
          </w:tcPr>
          <w:p>
            <w:pPr>
              <w:pStyle w:val="14"/>
            </w:pPr>
            <w:r>
              <w:t>保费参保率</w:t>
            </w:r>
          </w:p>
        </w:tc>
        <w:tc>
          <w:tcPr>
            <w:tcW w:w="2268" w:type="dxa"/>
            <w:vAlign w:val="center"/>
          </w:tcPr>
          <w:p>
            <w:pPr>
              <w:pStyle w:val="14"/>
            </w:pPr>
            <w:r>
              <w:t>100百分比</w:t>
            </w:r>
          </w:p>
        </w:tc>
        <w:tc>
          <w:tcPr>
            <w:tcW w:w="1276" w:type="dxa"/>
            <w:vAlign w:val="center"/>
          </w:tcPr>
          <w:p>
            <w:pPr>
              <w:pStyle w:val="14"/>
            </w:pPr>
            <w:r>
              <w:t>省综治委（2016）4号文件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保费期限</w:t>
            </w:r>
          </w:p>
        </w:tc>
        <w:tc>
          <w:tcPr>
            <w:tcW w:w="5386" w:type="dxa"/>
            <w:vAlign w:val="center"/>
          </w:tcPr>
          <w:p>
            <w:pPr>
              <w:pStyle w:val="14"/>
            </w:pPr>
            <w:r>
              <w:t>2024年期间全县购买责任险和以奖代补</w:t>
            </w:r>
          </w:p>
        </w:tc>
        <w:tc>
          <w:tcPr>
            <w:tcW w:w="2268" w:type="dxa"/>
            <w:vAlign w:val="center"/>
          </w:tcPr>
          <w:p>
            <w:pPr>
              <w:pStyle w:val="14"/>
            </w:pPr>
            <w:r>
              <w:t>1年</w:t>
            </w:r>
          </w:p>
        </w:tc>
        <w:tc>
          <w:tcPr>
            <w:tcW w:w="1276" w:type="dxa"/>
            <w:vAlign w:val="center"/>
          </w:tcPr>
          <w:p>
            <w:pPr>
              <w:pStyle w:val="14"/>
            </w:pPr>
            <w:r>
              <w:t>省综治委（2016）4号文件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每人保费标准</w:t>
            </w:r>
          </w:p>
        </w:tc>
        <w:tc>
          <w:tcPr>
            <w:tcW w:w="5386" w:type="dxa"/>
            <w:vAlign w:val="center"/>
          </w:tcPr>
          <w:p>
            <w:pPr>
              <w:pStyle w:val="14"/>
            </w:pPr>
            <w:r>
              <w:t>人均缴纳标准</w:t>
            </w:r>
          </w:p>
        </w:tc>
        <w:tc>
          <w:tcPr>
            <w:tcW w:w="2268" w:type="dxa"/>
            <w:vAlign w:val="center"/>
          </w:tcPr>
          <w:p>
            <w:pPr>
              <w:pStyle w:val="14"/>
            </w:pPr>
            <w:r>
              <w:t>100元</w:t>
            </w:r>
          </w:p>
        </w:tc>
        <w:tc>
          <w:tcPr>
            <w:tcW w:w="1276" w:type="dxa"/>
            <w:vAlign w:val="center"/>
          </w:tcPr>
          <w:p>
            <w:pPr>
              <w:pStyle w:val="14"/>
            </w:pPr>
            <w:r>
              <w:t>省综治委（2016）4号文件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每户保费标准</w:t>
            </w:r>
          </w:p>
        </w:tc>
        <w:tc>
          <w:tcPr>
            <w:tcW w:w="5386" w:type="dxa"/>
            <w:vAlign w:val="center"/>
          </w:tcPr>
          <w:p>
            <w:pPr>
              <w:pStyle w:val="14"/>
            </w:pPr>
            <w:r>
              <w:t>每户缴纳标准</w:t>
            </w:r>
          </w:p>
        </w:tc>
        <w:tc>
          <w:tcPr>
            <w:tcW w:w="2268" w:type="dxa"/>
            <w:vAlign w:val="center"/>
          </w:tcPr>
          <w:p>
            <w:pPr>
              <w:pStyle w:val="14"/>
            </w:pPr>
            <w:r>
              <w:t>200元</w:t>
            </w:r>
          </w:p>
        </w:tc>
        <w:tc>
          <w:tcPr>
            <w:tcW w:w="1276" w:type="dxa"/>
            <w:vAlign w:val="center"/>
          </w:tcPr>
          <w:p>
            <w:pPr>
              <w:pStyle w:val="14"/>
            </w:pPr>
            <w:r>
              <w:t>省综治委（2016）4号文件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省综治委（2016）4号文件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创新社会治理体制</w:t>
            </w:r>
          </w:p>
        </w:tc>
        <w:tc>
          <w:tcPr>
            <w:tcW w:w="5386" w:type="dxa"/>
            <w:vAlign w:val="center"/>
          </w:tcPr>
          <w:p>
            <w:pPr>
              <w:pStyle w:val="14"/>
            </w:pPr>
            <w:r>
              <w:t>使严重精神障碍患者监护人更好履行看护责任</w:t>
            </w:r>
          </w:p>
        </w:tc>
        <w:tc>
          <w:tcPr>
            <w:tcW w:w="2268" w:type="dxa"/>
            <w:vAlign w:val="center"/>
          </w:tcPr>
          <w:p>
            <w:pPr>
              <w:pStyle w:val="14"/>
            </w:pPr>
            <w:r>
              <w:t>有所提高</w:t>
            </w:r>
          </w:p>
        </w:tc>
        <w:tc>
          <w:tcPr>
            <w:tcW w:w="1276" w:type="dxa"/>
            <w:vAlign w:val="center"/>
          </w:tcPr>
          <w:p>
            <w:pPr>
              <w:pStyle w:val="14"/>
            </w:pPr>
            <w:r>
              <w:t>省综治委（2016）4号文件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省综治委（2016）4号文件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可持续影响</w:t>
            </w:r>
          </w:p>
        </w:tc>
        <w:tc>
          <w:tcPr>
            <w:tcW w:w="5386" w:type="dxa"/>
            <w:vAlign w:val="center"/>
          </w:tcPr>
          <w:p>
            <w:pPr>
              <w:pStyle w:val="14"/>
            </w:pPr>
            <w:r>
              <w:t>在全县产生的重要影响</w:t>
            </w:r>
          </w:p>
        </w:tc>
        <w:tc>
          <w:tcPr>
            <w:tcW w:w="2268" w:type="dxa"/>
            <w:vAlign w:val="center"/>
          </w:tcPr>
          <w:p>
            <w:pPr>
              <w:pStyle w:val="14"/>
            </w:pPr>
            <w:r>
              <w:t>全县人民群众安全意识有所提高</w:t>
            </w:r>
          </w:p>
        </w:tc>
        <w:tc>
          <w:tcPr>
            <w:tcW w:w="1276" w:type="dxa"/>
            <w:vAlign w:val="center"/>
          </w:tcPr>
          <w:p>
            <w:pPr>
              <w:pStyle w:val="14"/>
            </w:pPr>
            <w:r>
              <w:t>省综治委（2016）4号文件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受益群众满意度</w:t>
            </w:r>
          </w:p>
        </w:tc>
        <w:tc>
          <w:tcPr>
            <w:tcW w:w="5386" w:type="dxa"/>
            <w:vAlign w:val="center"/>
          </w:tcPr>
          <w:p>
            <w:pPr>
              <w:pStyle w:val="14"/>
            </w:pPr>
            <w:r>
              <w:t>购买保险受益群众中满意和较满意的</w:t>
            </w:r>
          </w:p>
        </w:tc>
        <w:tc>
          <w:tcPr>
            <w:tcW w:w="2268" w:type="dxa"/>
            <w:vAlign w:val="center"/>
          </w:tcPr>
          <w:p>
            <w:pPr>
              <w:pStyle w:val="14"/>
            </w:pPr>
            <w:r>
              <w:t>≥95百分比</w:t>
            </w:r>
          </w:p>
        </w:tc>
        <w:tc>
          <w:tcPr>
            <w:tcW w:w="1276" w:type="dxa"/>
            <w:vAlign w:val="center"/>
          </w:tcPr>
          <w:p>
            <w:pPr>
              <w:pStyle w:val="14"/>
            </w:pPr>
            <w:r>
              <w:t>省综治委（2016）4号文件</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3、2024年政法网传输维保费绩效目标表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13042424P001PDR103121</w:t>
            </w:r>
          </w:p>
        </w:tc>
        <w:tc>
          <w:tcPr>
            <w:tcW w:w="2835" w:type="dxa"/>
            <w:vAlign w:val="center"/>
          </w:tcPr>
          <w:p>
            <w:pPr>
              <w:pStyle w:val="12"/>
            </w:pPr>
            <w:r>
              <w:t>项目名称</w:t>
            </w:r>
          </w:p>
        </w:tc>
        <w:tc>
          <w:tcPr>
            <w:tcW w:w="6094" w:type="dxa"/>
            <w:gridSpan w:val="3"/>
            <w:vAlign w:val="center"/>
          </w:tcPr>
          <w:p>
            <w:pPr>
              <w:pStyle w:val="14"/>
            </w:pPr>
            <w:r>
              <w:t>2024年政法网传输维保费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18.20</w:t>
            </w:r>
          </w:p>
        </w:tc>
        <w:tc>
          <w:tcPr>
            <w:tcW w:w="2835" w:type="dxa"/>
            <w:vAlign w:val="center"/>
          </w:tcPr>
          <w:p>
            <w:pPr>
              <w:pStyle w:val="12"/>
            </w:pPr>
            <w:r>
              <w:t>其中：财政    资金</w:t>
            </w:r>
          </w:p>
        </w:tc>
        <w:tc>
          <w:tcPr>
            <w:tcW w:w="2551" w:type="dxa"/>
            <w:vAlign w:val="center"/>
          </w:tcPr>
          <w:p>
            <w:pPr>
              <w:pStyle w:val="14"/>
            </w:pPr>
            <w:r>
              <w:t>18.20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切实加强做好政治信息化应用工作</w:t>
            </w:r>
            <w:r>
              <w:tab/>
            </w:r>
            <w:r>
              <w:tab/>
            </w:r>
            <w:r>
              <w:tab/>
            </w:r>
            <w:r>
              <w:tab/>
            </w:r>
            <w:r>
              <w:tab/>
            </w:r>
            <w:r>
              <w:tab/>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18.20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1.切实加强做好政治信息化应用工作</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节点数量</w:t>
            </w:r>
          </w:p>
        </w:tc>
        <w:tc>
          <w:tcPr>
            <w:tcW w:w="5386" w:type="dxa"/>
            <w:vAlign w:val="center"/>
          </w:tcPr>
          <w:p>
            <w:pPr>
              <w:pStyle w:val="14"/>
            </w:pPr>
            <w:r>
              <w:t>接入网节点数量。</w:t>
            </w:r>
          </w:p>
        </w:tc>
        <w:tc>
          <w:tcPr>
            <w:tcW w:w="2268" w:type="dxa"/>
            <w:vAlign w:val="center"/>
          </w:tcPr>
          <w:p>
            <w:pPr>
              <w:pStyle w:val="14"/>
            </w:pPr>
            <w:r>
              <w:t>55个</w:t>
            </w:r>
          </w:p>
        </w:tc>
        <w:tc>
          <w:tcPr>
            <w:tcW w:w="1276" w:type="dxa"/>
            <w:vAlign w:val="center"/>
          </w:tcPr>
          <w:p>
            <w:pPr>
              <w:pStyle w:val="14"/>
            </w:pPr>
            <w:r>
              <w:t>邯政法字（2012）136号文件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政法网运行质量</w:t>
            </w:r>
          </w:p>
        </w:tc>
        <w:tc>
          <w:tcPr>
            <w:tcW w:w="5386" w:type="dxa"/>
            <w:vAlign w:val="center"/>
          </w:tcPr>
          <w:p>
            <w:pPr>
              <w:pStyle w:val="14"/>
            </w:pPr>
            <w:r>
              <w:t>政法网运行稳定率。</w:t>
            </w:r>
          </w:p>
        </w:tc>
        <w:tc>
          <w:tcPr>
            <w:tcW w:w="2268" w:type="dxa"/>
            <w:vAlign w:val="center"/>
          </w:tcPr>
          <w:p>
            <w:pPr>
              <w:pStyle w:val="14"/>
            </w:pPr>
            <w:r>
              <w:t>100百分比</w:t>
            </w:r>
          </w:p>
        </w:tc>
        <w:tc>
          <w:tcPr>
            <w:tcW w:w="1276" w:type="dxa"/>
            <w:vAlign w:val="center"/>
          </w:tcPr>
          <w:p>
            <w:pPr>
              <w:pStyle w:val="14"/>
            </w:pPr>
            <w:r>
              <w:t>邯政法字（2012）136号文件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接入网节点成本。</w:t>
            </w:r>
          </w:p>
        </w:tc>
        <w:tc>
          <w:tcPr>
            <w:tcW w:w="5386" w:type="dxa"/>
            <w:vAlign w:val="center"/>
          </w:tcPr>
          <w:p>
            <w:pPr>
              <w:pStyle w:val="14"/>
            </w:pPr>
            <w:r>
              <w:t>政法网接入网节点成本。</w:t>
            </w:r>
          </w:p>
        </w:tc>
        <w:tc>
          <w:tcPr>
            <w:tcW w:w="2268" w:type="dxa"/>
            <w:vAlign w:val="center"/>
          </w:tcPr>
          <w:p>
            <w:pPr>
              <w:pStyle w:val="14"/>
            </w:pPr>
            <w:r>
              <w:t>2400元</w:t>
            </w:r>
          </w:p>
        </w:tc>
        <w:tc>
          <w:tcPr>
            <w:tcW w:w="1276" w:type="dxa"/>
            <w:vAlign w:val="center"/>
          </w:tcPr>
          <w:p>
            <w:pPr>
              <w:pStyle w:val="14"/>
            </w:pPr>
            <w:r>
              <w:t>邯政法字（2012）136号文件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政法网时效。</w:t>
            </w:r>
          </w:p>
        </w:tc>
        <w:tc>
          <w:tcPr>
            <w:tcW w:w="5386" w:type="dxa"/>
            <w:vAlign w:val="center"/>
          </w:tcPr>
          <w:p>
            <w:pPr>
              <w:pStyle w:val="14"/>
            </w:pPr>
            <w:r>
              <w:t>政法网运行时效。</w:t>
            </w:r>
          </w:p>
        </w:tc>
        <w:tc>
          <w:tcPr>
            <w:tcW w:w="2268" w:type="dxa"/>
            <w:vAlign w:val="center"/>
          </w:tcPr>
          <w:p>
            <w:pPr>
              <w:pStyle w:val="14"/>
            </w:pPr>
            <w:r>
              <w:t>1年</w:t>
            </w:r>
          </w:p>
        </w:tc>
        <w:tc>
          <w:tcPr>
            <w:tcW w:w="1276" w:type="dxa"/>
            <w:vAlign w:val="center"/>
          </w:tcPr>
          <w:p>
            <w:pPr>
              <w:pStyle w:val="14"/>
            </w:pPr>
            <w:r>
              <w:t>邯政法字（2012）136号文件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社会稳定水平</w:t>
            </w:r>
          </w:p>
        </w:tc>
        <w:tc>
          <w:tcPr>
            <w:tcW w:w="5386" w:type="dxa"/>
            <w:vAlign w:val="center"/>
          </w:tcPr>
          <w:p>
            <w:pPr>
              <w:pStyle w:val="14"/>
            </w:pPr>
            <w:r>
              <w:t>确保机关办公网络正常运行</w:t>
            </w:r>
          </w:p>
        </w:tc>
        <w:tc>
          <w:tcPr>
            <w:tcW w:w="2268" w:type="dxa"/>
            <w:vAlign w:val="center"/>
          </w:tcPr>
          <w:p>
            <w:pPr>
              <w:pStyle w:val="14"/>
            </w:pPr>
            <w:r>
              <w:t>有所提高</w:t>
            </w:r>
          </w:p>
        </w:tc>
        <w:tc>
          <w:tcPr>
            <w:tcW w:w="1276" w:type="dxa"/>
            <w:vAlign w:val="center"/>
          </w:tcPr>
          <w:p>
            <w:pPr>
              <w:pStyle w:val="14"/>
            </w:pPr>
            <w:r>
              <w:t>邯政法字（2012）136号文件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提高办公效率</w:t>
            </w:r>
          </w:p>
        </w:tc>
        <w:tc>
          <w:tcPr>
            <w:tcW w:w="5386" w:type="dxa"/>
            <w:vAlign w:val="center"/>
          </w:tcPr>
          <w:p>
            <w:pPr>
              <w:pStyle w:val="14"/>
            </w:pPr>
            <w:r>
              <w:t>提高办公效率</w:t>
            </w:r>
          </w:p>
        </w:tc>
        <w:tc>
          <w:tcPr>
            <w:tcW w:w="2268" w:type="dxa"/>
            <w:vAlign w:val="center"/>
          </w:tcPr>
          <w:p>
            <w:pPr>
              <w:pStyle w:val="14"/>
            </w:pPr>
            <w:r>
              <w:t>有所改善</w:t>
            </w:r>
          </w:p>
        </w:tc>
        <w:tc>
          <w:tcPr>
            <w:tcW w:w="1276" w:type="dxa"/>
            <w:vAlign w:val="center"/>
          </w:tcPr>
          <w:p>
            <w:pPr>
              <w:pStyle w:val="14"/>
            </w:pPr>
            <w:r>
              <w:t>邯政法字（2012）136号文件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工作人员满意度占总数的比例。</w:t>
            </w:r>
          </w:p>
        </w:tc>
        <w:tc>
          <w:tcPr>
            <w:tcW w:w="5386" w:type="dxa"/>
            <w:vAlign w:val="center"/>
          </w:tcPr>
          <w:p>
            <w:pPr>
              <w:pStyle w:val="14"/>
            </w:pPr>
            <w:r>
              <w:t>工作人员满意度占总数的比例。</w:t>
            </w:r>
          </w:p>
        </w:tc>
        <w:tc>
          <w:tcPr>
            <w:tcW w:w="2268" w:type="dxa"/>
            <w:vAlign w:val="center"/>
          </w:tcPr>
          <w:p>
            <w:pPr>
              <w:pStyle w:val="14"/>
            </w:pPr>
            <w:r>
              <w:t>≥95百分比</w:t>
            </w:r>
          </w:p>
        </w:tc>
        <w:tc>
          <w:tcPr>
            <w:tcW w:w="1276"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4、2024年治安保险业参与平安建设绩效目标表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13042424P001PDR10309E</w:t>
            </w:r>
          </w:p>
        </w:tc>
        <w:tc>
          <w:tcPr>
            <w:tcW w:w="2835" w:type="dxa"/>
            <w:vAlign w:val="center"/>
          </w:tcPr>
          <w:p>
            <w:pPr>
              <w:pStyle w:val="12"/>
            </w:pPr>
            <w:r>
              <w:t>项目名称</w:t>
            </w:r>
          </w:p>
        </w:tc>
        <w:tc>
          <w:tcPr>
            <w:tcW w:w="6094" w:type="dxa"/>
            <w:gridSpan w:val="3"/>
            <w:vAlign w:val="center"/>
          </w:tcPr>
          <w:p>
            <w:pPr>
              <w:pStyle w:val="14"/>
            </w:pPr>
            <w:r>
              <w:t>2024年治安保险业参与平安建设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68.00</w:t>
            </w:r>
          </w:p>
        </w:tc>
        <w:tc>
          <w:tcPr>
            <w:tcW w:w="2835" w:type="dxa"/>
            <w:vAlign w:val="center"/>
          </w:tcPr>
          <w:p>
            <w:pPr>
              <w:pStyle w:val="12"/>
            </w:pPr>
            <w:r>
              <w:t>其中：财政    资金</w:t>
            </w:r>
          </w:p>
        </w:tc>
        <w:tc>
          <w:tcPr>
            <w:tcW w:w="2551" w:type="dxa"/>
            <w:vAlign w:val="center"/>
          </w:tcPr>
          <w:p>
            <w:pPr>
              <w:pStyle w:val="14"/>
            </w:pPr>
            <w:r>
              <w:t>68.00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保障全县人民群众家庭财产和人身安全，特别是当人民群众遭受突发事件，不可抗力自然灾害，精神病患者侵害，见义勇为，肇事车辆逃逸造成的人身伤亡及其他不可预见的财产损失等情况进行托底保障，为全县人民群众购买惠普型保险产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68.00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保障全县人民群众家庭财产和人身安全，特别是当人民群众遭受突发事件，不可抗力自然灾害，精神病患者侵害，见义勇为，肇事车辆逃逸造成的人身伤亡及其他不可预见的财产损失等情况进行托底保障，为全县人民群众购买惠普型保险产品。</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购买保险户数</w:t>
            </w:r>
          </w:p>
        </w:tc>
        <w:tc>
          <w:tcPr>
            <w:tcW w:w="5386" w:type="dxa"/>
            <w:vAlign w:val="center"/>
          </w:tcPr>
          <w:p>
            <w:pPr>
              <w:pStyle w:val="14"/>
            </w:pPr>
            <w:r>
              <w:t>购买保险户数</w:t>
            </w:r>
          </w:p>
        </w:tc>
        <w:tc>
          <w:tcPr>
            <w:tcW w:w="2268" w:type="dxa"/>
            <w:vAlign w:val="center"/>
          </w:tcPr>
          <w:p>
            <w:pPr>
              <w:pStyle w:val="14"/>
            </w:pPr>
            <w:r>
              <w:t>113333户</w:t>
            </w:r>
          </w:p>
        </w:tc>
        <w:tc>
          <w:tcPr>
            <w:tcW w:w="1276" w:type="dxa"/>
            <w:vAlign w:val="center"/>
          </w:tcPr>
          <w:p>
            <w:pPr>
              <w:pStyle w:val="14"/>
            </w:pPr>
            <w:r>
              <w:t>邯郸市2017年治安保险参与平安建设推广实施方案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已在保险人数</w:t>
            </w:r>
          </w:p>
        </w:tc>
        <w:tc>
          <w:tcPr>
            <w:tcW w:w="5386" w:type="dxa"/>
            <w:vAlign w:val="center"/>
          </w:tcPr>
          <w:p>
            <w:pPr>
              <w:pStyle w:val="14"/>
            </w:pPr>
            <w:r>
              <w:t>已在保险人数占计划人数比例</w:t>
            </w:r>
          </w:p>
        </w:tc>
        <w:tc>
          <w:tcPr>
            <w:tcW w:w="2268" w:type="dxa"/>
            <w:vAlign w:val="center"/>
          </w:tcPr>
          <w:p>
            <w:pPr>
              <w:pStyle w:val="14"/>
            </w:pPr>
            <w:r>
              <w:t>100百分比</w:t>
            </w:r>
          </w:p>
        </w:tc>
        <w:tc>
          <w:tcPr>
            <w:tcW w:w="1276" w:type="dxa"/>
            <w:vAlign w:val="center"/>
          </w:tcPr>
          <w:p>
            <w:pPr>
              <w:pStyle w:val="14"/>
            </w:pPr>
            <w:r>
              <w:t>邯郸市2017年治安保险参与平安建设推广实施方案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完成时间</w:t>
            </w:r>
          </w:p>
        </w:tc>
        <w:tc>
          <w:tcPr>
            <w:tcW w:w="5386" w:type="dxa"/>
            <w:vAlign w:val="center"/>
          </w:tcPr>
          <w:p>
            <w:pPr>
              <w:pStyle w:val="14"/>
            </w:pPr>
            <w:r>
              <w:t>完成期限</w:t>
            </w:r>
          </w:p>
        </w:tc>
        <w:tc>
          <w:tcPr>
            <w:tcW w:w="2268" w:type="dxa"/>
            <w:vAlign w:val="center"/>
          </w:tcPr>
          <w:p>
            <w:pPr>
              <w:pStyle w:val="14"/>
            </w:pPr>
            <w:r>
              <w:t>年初完成</w:t>
            </w:r>
          </w:p>
        </w:tc>
        <w:tc>
          <w:tcPr>
            <w:tcW w:w="1276" w:type="dxa"/>
            <w:vAlign w:val="center"/>
          </w:tcPr>
          <w:p>
            <w:pPr>
              <w:pStyle w:val="14"/>
            </w:pPr>
            <w:r>
              <w:t>邯郸市2017年治安保险参与平安建设推广实施方案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每户保费金额</w:t>
            </w:r>
          </w:p>
        </w:tc>
        <w:tc>
          <w:tcPr>
            <w:tcW w:w="5386" w:type="dxa"/>
            <w:vAlign w:val="center"/>
          </w:tcPr>
          <w:p>
            <w:pPr>
              <w:pStyle w:val="14"/>
            </w:pPr>
            <w:r>
              <w:t>为全县人民群众购买惠普型保险产品</w:t>
            </w:r>
          </w:p>
        </w:tc>
        <w:tc>
          <w:tcPr>
            <w:tcW w:w="2268" w:type="dxa"/>
            <w:vAlign w:val="center"/>
          </w:tcPr>
          <w:p>
            <w:pPr>
              <w:pStyle w:val="14"/>
            </w:pPr>
            <w:r>
              <w:t>6元</w:t>
            </w:r>
          </w:p>
        </w:tc>
        <w:tc>
          <w:tcPr>
            <w:tcW w:w="1276" w:type="dxa"/>
            <w:vAlign w:val="center"/>
          </w:tcPr>
          <w:p>
            <w:pPr>
              <w:pStyle w:val="14"/>
            </w:pPr>
            <w:r>
              <w:t>邯郸市2017年治安保险参与平安建设推广实施方案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事故赔偿和累计限额</w:t>
            </w:r>
          </w:p>
        </w:tc>
        <w:tc>
          <w:tcPr>
            <w:tcW w:w="5386" w:type="dxa"/>
            <w:vAlign w:val="center"/>
          </w:tcPr>
          <w:p>
            <w:pPr>
              <w:pStyle w:val="14"/>
            </w:pPr>
            <w:r>
              <w:t>保险条款中人身伤残或死亡赔偿</w:t>
            </w:r>
          </w:p>
        </w:tc>
        <w:tc>
          <w:tcPr>
            <w:tcW w:w="2268" w:type="dxa"/>
            <w:vAlign w:val="center"/>
          </w:tcPr>
          <w:p>
            <w:pPr>
              <w:pStyle w:val="14"/>
            </w:pPr>
            <w:r>
              <w:t>1300万元</w:t>
            </w:r>
          </w:p>
        </w:tc>
        <w:tc>
          <w:tcPr>
            <w:tcW w:w="1276" w:type="dxa"/>
            <w:vAlign w:val="center"/>
          </w:tcPr>
          <w:p>
            <w:pPr>
              <w:pStyle w:val="14"/>
            </w:pPr>
            <w:r>
              <w:t>邯郸市2017年治安保险参与平安建设推广实施方案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经济效益指标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邯郸市2017年治安保险参与平安建设推广实施方案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不涉及</w:t>
            </w:r>
          </w:p>
        </w:tc>
        <w:tc>
          <w:tcPr>
            <w:tcW w:w="5386" w:type="dxa"/>
            <w:vAlign w:val="center"/>
          </w:tcPr>
          <w:p>
            <w:pPr>
              <w:pStyle w:val="14"/>
            </w:pPr>
            <w:r>
              <w:t>不涉及</w:t>
            </w:r>
          </w:p>
        </w:tc>
        <w:tc>
          <w:tcPr>
            <w:tcW w:w="2268" w:type="dxa"/>
            <w:vAlign w:val="center"/>
          </w:tcPr>
          <w:p>
            <w:pPr>
              <w:pStyle w:val="14"/>
            </w:pPr>
            <w:r>
              <w:t>不涉及</w:t>
            </w:r>
          </w:p>
        </w:tc>
        <w:tc>
          <w:tcPr>
            <w:tcW w:w="1276" w:type="dxa"/>
            <w:vAlign w:val="center"/>
          </w:tcPr>
          <w:p>
            <w:pPr>
              <w:pStyle w:val="14"/>
            </w:pPr>
            <w:r>
              <w:t>邯郸市2017年治安保险参与平安建设推广实施方案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全县人民群众满意度</w:t>
            </w:r>
          </w:p>
        </w:tc>
        <w:tc>
          <w:tcPr>
            <w:tcW w:w="5386" w:type="dxa"/>
            <w:vAlign w:val="center"/>
          </w:tcPr>
          <w:p>
            <w:pPr>
              <w:pStyle w:val="14"/>
            </w:pPr>
            <w:r>
              <w:t>通过为全县人民群众购买保险，保障人民家庭财产和人身安全</w:t>
            </w:r>
          </w:p>
        </w:tc>
        <w:tc>
          <w:tcPr>
            <w:tcW w:w="2268" w:type="dxa"/>
            <w:vAlign w:val="center"/>
          </w:tcPr>
          <w:p>
            <w:pPr>
              <w:pStyle w:val="14"/>
            </w:pPr>
            <w:r>
              <w:t>有所提高</w:t>
            </w:r>
          </w:p>
        </w:tc>
        <w:tc>
          <w:tcPr>
            <w:tcW w:w="1276" w:type="dxa"/>
            <w:vAlign w:val="center"/>
          </w:tcPr>
          <w:p>
            <w:pPr>
              <w:pStyle w:val="14"/>
            </w:pPr>
            <w:r>
              <w:t>邯郸市2017年治安保险参与平安建设推广实施方案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人民群众中满意和较满意的</w:t>
            </w:r>
          </w:p>
        </w:tc>
        <w:tc>
          <w:tcPr>
            <w:tcW w:w="2268" w:type="dxa"/>
            <w:vAlign w:val="center"/>
          </w:tcPr>
          <w:p>
            <w:pPr>
              <w:pStyle w:val="14"/>
            </w:pPr>
            <w:r>
              <w:t>≥95百分比</w:t>
            </w:r>
          </w:p>
        </w:tc>
        <w:tc>
          <w:tcPr>
            <w:tcW w:w="1276" w:type="dxa"/>
            <w:vAlign w:val="center"/>
          </w:tcPr>
          <w:p>
            <w:pPr>
              <w:pStyle w:val="14"/>
            </w:pPr>
            <w:r>
              <w:t>人民群众中满意和较满意的</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6" w:name="_Toc_3_3_0000000017"/>
      <w:r>
        <w:rPr>
          <w:rFonts w:ascii="黑体" w:hAnsi="黑体" w:eastAsia="黑体" w:cs="黑体"/>
          <w:color w:val="000000"/>
          <w:sz w:val="32"/>
        </w:rPr>
        <w:t>八、政府采购预算情况</w:t>
      </w:r>
      <w:bookmarkEnd w:id="16"/>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562成安县政法委</w:t>
            </w:r>
          </w:p>
        </w:tc>
        <w:tc>
          <w:tcPr>
            <w:tcW w:w="7710" w:type="dxa"/>
            <w:gridSpan w:val="8"/>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6746" w:type="dxa"/>
            <w:gridSpan w:val="7"/>
            <w:vAlign w:val="center"/>
          </w:tcPr>
          <w:p>
            <w:pPr>
              <w:pStyle w:val="12"/>
            </w:pPr>
            <w:r>
              <w:t>政府采购金额（当年部门预算安排资金）</w:t>
            </w:r>
          </w:p>
        </w:tc>
        <w:tc>
          <w:tcPr>
            <w:tcW w:w="964"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8"/>
      <w:r>
        <w:rPr>
          <w:rFonts w:ascii="黑体" w:hAnsi="黑体" w:eastAsia="黑体" w:cs="黑体"/>
          <w:color w:val="000000"/>
          <w:sz w:val="32"/>
        </w:rPr>
        <w:t>九、国有资产信息</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成安县政法委（含所属单位）上年末固定资产金额为</w:t>
      </w:r>
      <w:r>
        <w:rPr>
          <w:rFonts w:hint="eastAsia" w:eastAsia="方正仿宋_GBK" w:cs="Times New Roman"/>
          <w:b w:val="0"/>
          <w:color w:val="000000"/>
          <w:sz w:val="28"/>
          <w:lang w:val="en-US" w:eastAsia="zh-CN"/>
        </w:rPr>
        <w:t>15</w:t>
      </w:r>
      <w:r>
        <w:rPr>
          <w:rFonts w:ascii="Times New Roman" w:hAnsi="Times New Roman" w:eastAsia="方正仿宋_GBK" w:cs="Times New Roman"/>
          <w:b w:val="0"/>
          <w:color w:val="000000"/>
          <w:sz w:val="28"/>
        </w:rPr>
        <w:t>.00万元（详见下表）。本年度拟购置固定资产总额为0.00万元，已按要求列入政府采购预算，详见政府采购预算表。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562001成安县政法委(本级)</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w:t>
            </w:r>
            <w:r>
              <w:rPr>
                <w:rFonts w:hint="eastAsia"/>
                <w:lang w:val="en-US" w:eastAsia="zh-CN"/>
              </w:rPr>
              <w:t>3</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ind w:firstLine="0" w:firstLineChars="0"/>
              <w:jc w:val="center"/>
              <w:rPr>
                <w:rFonts w:ascii="方正书宋_GBK" w:hAnsi="方正书宋_GBK" w:eastAsia="方正书宋_GBK" w:cs="方正书宋_GBK"/>
                <w:kern w:val="2"/>
                <w:sz w:val="21"/>
                <w:szCs w:val="24"/>
                <w:lang w:val="en-US" w:eastAsia="zh-CN" w:bidi="ar-SA"/>
              </w:rPr>
            </w:pPr>
            <w:r>
              <w:rPr>
                <w:rFonts w:hint="eastAsia"/>
              </w:rPr>
              <w:t>资产总额</w:t>
            </w:r>
          </w:p>
        </w:tc>
        <w:tc>
          <w:tcPr>
            <w:tcW w:w="4933" w:type="dxa"/>
            <w:vAlign w:val="center"/>
          </w:tcPr>
          <w:p>
            <w:pPr>
              <w:pStyle w:val="14"/>
              <w:ind w:firstLine="0" w:firstLineChars="0"/>
              <w:jc w:val="center"/>
              <w:rPr>
                <w:rFonts w:hint="eastAsia" w:ascii="方正书宋_GBK" w:hAnsi="方正书宋_GBK" w:eastAsia="方正书宋_GBK" w:cs="方正书宋_GBK"/>
                <w:kern w:val="2"/>
                <w:sz w:val="21"/>
                <w:szCs w:val="24"/>
                <w:lang w:val="en-US" w:eastAsia="zh-CN" w:bidi="ar-SA"/>
              </w:rPr>
            </w:pPr>
            <w:r>
              <w:rPr>
                <w:rFonts w:hint="eastAsia"/>
              </w:rPr>
              <w:t>——</w:t>
            </w:r>
          </w:p>
        </w:tc>
        <w:tc>
          <w:tcPr>
            <w:tcW w:w="4933" w:type="dxa"/>
            <w:vAlign w:val="center"/>
          </w:tcPr>
          <w:p>
            <w:pPr>
              <w:pStyle w:val="14"/>
              <w:ind w:firstLine="0" w:firstLineChars="0"/>
              <w:jc w:val="center"/>
              <w:rPr>
                <w:rFonts w:hint="eastAsia" w:ascii="方正书宋_GBK" w:hAnsi="方正书宋_GBK" w:eastAsia="方正书宋_GBK" w:cs="方正书宋_GBK"/>
                <w:kern w:val="2"/>
                <w:sz w:val="21"/>
                <w:szCs w:val="24"/>
                <w:lang w:val="en-US" w:eastAsia="zh-CN" w:bidi="ar-SA"/>
              </w:rPr>
            </w:pPr>
            <w:r>
              <w:rPr>
                <w:rFonts w:hint="eastAsia"/>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933" w:type="dxa"/>
            <w:vAlign w:val="center"/>
          </w:tcPr>
          <w:p>
            <w:pPr>
              <w:pStyle w:val="14"/>
              <w:ind w:firstLine="0" w:firstLineChars="0"/>
              <w:jc w:val="center"/>
              <w:rPr>
                <w:rFonts w:hint="eastAsia" w:ascii="仿宋" w:hAnsi="仿宋" w:eastAsia="仿宋" w:cs="仿宋"/>
                <w:kern w:val="0"/>
                <w:sz w:val="32"/>
                <w:szCs w:val="32"/>
                <w:lang w:val="en-US" w:eastAsia="zh-CN" w:bidi="ar-SA"/>
              </w:rPr>
            </w:pPr>
            <w:r>
              <w:rPr>
                <w:rFonts w:hint="eastAsia"/>
              </w:rPr>
              <w:t>1、房屋（平方米）</w:t>
            </w:r>
          </w:p>
        </w:tc>
        <w:tc>
          <w:tcPr>
            <w:tcW w:w="4933" w:type="dxa"/>
            <w:vAlign w:val="center"/>
          </w:tcPr>
          <w:p>
            <w:pPr>
              <w:pStyle w:val="14"/>
              <w:ind w:firstLine="0" w:firstLineChars="0"/>
              <w:jc w:val="center"/>
              <w:rPr>
                <w:rFonts w:hint="default" w:ascii="方正书宋_GBK" w:hAnsi="方正书宋_GBK" w:eastAsia="方正书宋_GBK" w:cs="方正书宋_GBK"/>
                <w:kern w:val="2"/>
                <w:sz w:val="21"/>
                <w:szCs w:val="24"/>
                <w:lang w:val="en-US" w:eastAsia="zh-CN" w:bidi="ar-SA"/>
              </w:rPr>
            </w:pPr>
            <w:r>
              <w:rPr>
                <w:rFonts w:hint="eastAsia"/>
                <w:lang w:val="en-US" w:eastAsia="zh-CN"/>
              </w:rPr>
              <w:t>318</w:t>
            </w:r>
          </w:p>
        </w:tc>
        <w:tc>
          <w:tcPr>
            <w:tcW w:w="4933" w:type="dxa"/>
            <w:vAlign w:val="center"/>
          </w:tcPr>
          <w:p>
            <w:pPr>
              <w:pStyle w:val="13"/>
              <w:ind w:firstLine="0" w:firstLineChars="0"/>
              <w:jc w:val="center"/>
              <w:rPr>
                <w:rFonts w:hint="eastAsia" w:ascii="仿宋" w:hAnsi="仿宋" w:eastAsia="仿宋" w:cs="仿宋"/>
                <w:kern w:val="0"/>
                <w:sz w:val="32"/>
                <w:szCs w:val="3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ind w:firstLine="0" w:firstLineChars="0"/>
              <w:jc w:val="center"/>
              <w:rPr>
                <w:rFonts w:hint="eastAsia" w:ascii="方正书宋_GBK" w:hAnsi="方正书宋_GBK" w:eastAsia="方正书宋_GBK" w:cs="方正书宋_GBK"/>
                <w:kern w:val="2"/>
                <w:sz w:val="21"/>
                <w:szCs w:val="24"/>
                <w:lang w:val="en-US" w:eastAsia="zh-CN" w:bidi="ar-SA"/>
              </w:rPr>
            </w:pPr>
            <w:r>
              <w:rPr>
                <w:rFonts w:hint="eastAsia"/>
              </w:rPr>
              <w:t>其中：办公用房（平方米）</w:t>
            </w:r>
          </w:p>
        </w:tc>
        <w:tc>
          <w:tcPr>
            <w:tcW w:w="4933" w:type="dxa"/>
            <w:vAlign w:val="center"/>
          </w:tcPr>
          <w:p>
            <w:pPr>
              <w:pStyle w:val="14"/>
              <w:ind w:firstLine="0" w:firstLineChars="0"/>
              <w:jc w:val="center"/>
              <w:rPr>
                <w:rFonts w:hint="default" w:ascii="方正书宋_GBK" w:hAnsi="方正书宋_GBK" w:eastAsia="方正书宋_GBK" w:cs="方正书宋_GBK"/>
                <w:kern w:val="2"/>
                <w:sz w:val="21"/>
                <w:szCs w:val="24"/>
                <w:lang w:val="en-US" w:eastAsia="zh-CN" w:bidi="ar-SA"/>
              </w:rPr>
            </w:pPr>
            <w:r>
              <w:rPr>
                <w:rFonts w:hint="eastAsia"/>
                <w:lang w:val="en-US" w:eastAsia="zh-CN"/>
              </w:rPr>
              <w:t>318</w:t>
            </w:r>
          </w:p>
        </w:tc>
        <w:tc>
          <w:tcPr>
            <w:tcW w:w="4933" w:type="dxa"/>
            <w:vAlign w:val="center"/>
          </w:tcPr>
          <w:p>
            <w:pPr>
              <w:pStyle w:val="14"/>
              <w:ind w:firstLine="0" w:firstLineChars="0"/>
              <w:jc w:val="center"/>
              <w:rPr>
                <w:rFonts w:hint="eastAsia" w:ascii="方正书宋_GBK" w:hAnsi="方正书宋_GBK" w:eastAsia="方正书宋_GBK" w:cs="方正书宋_GBK"/>
                <w:kern w:val="2"/>
                <w:sz w:val="21"/>
                <w:szCs w:val="24"/>
                <w:lang w:val="en-US" w:eastAsia="zh-CN" w:bidi="ar-SA"/>
              </w:rPr>
            </w:pPr>
            <w:r>
              <w:rPr>
                <w:rFonts w:hint="eastAsia"/>
              </w:rPr>
              <w:t>在政府集中办公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933" w:type="dxa"/>
            <w:vAlign w:val="center"/>
          </w:tcPr>
          <w:p>
            <w:pPr>
              <w:pStyle w:val="14"/>
              <w:ind w:firstLine="0" w:firstLineChars="0"/>
              <w:jc w:val="center"/>
              <w:rPr>
                <w:rFonts w:hint="eastAsia" w:ascii="方正书宋_GBK" w:hAnsi="方正书宋_GBK" w:eastAsia="方正书宋_GBK" w:cs="方正书宋_GBK"/>
                <w:kern w:val="2"/>
                <w:sz w:val="21"/>
                <w:szCs w:val="24"/>
                <w:lang w:val="en-US" w:eastAsia="zh-CN" w:bidi="ar-SA"/>
              </w:rPr>
            </w:pPr>
            <w:r>
              <w:rPr>
                <w:rFonts w:hint="eastAsia"/>
              </w:rPr>
              <w:t>2、车辆（台、辆）</w:t>
            </w:r>
          </w:p>
        </w:tc>
        <w:tc>
          <w:tcPr>
            <w:tcW w:w="4933" w:type="dxa"/>
            <w:vAlign w:val="center"/>
          </w:tcPr>
          <w:p>
            <w:pPr>
              <w:pStyle w:val="14"/>
              <w:ind w:firstLine="0" w:firstLineChars="0"/>
              <w:jc w:val="center"/>
              <w:rPr>
                <w:rFonts w:hint="eastAsia" w:ascii="方正书宋_GBK" w:hAnsi="方正书宋_GBK" w:eastAsia="方正书宋_GBK" w:cs="方正书宋_GBK"/>
                <w:kern w:val="2"/>
                <w:sz w:val="21"/>
                <w:szCs w:val="24"/>
                <w:lang w:val="en-US" w:eastAsia="zh-CN" w:bidi="ar-SA"/>
              </w:rPr>
            </w:pPr>
            <w:r>
              <w:rPr>
                <w:rFonts w:hint="eastAsia"/>
              </w:rPr>
              <w:t>1</w:t>
            </w:r>
          </w:p>
        </w:tc>
        <w:tc>
          <w:tcPr>
            <w:tcW w:w="4933" w:type="dxa"/>
            <w:vAlign w:val="center"/>
          </w:tcPr>
          <w:p>
            <w:pPr>
              <w:pStyle w:val="14"/>
              <w:ind w:firstLine="0" w:firstLineChars="0"/>
              <w:jc w:val="center"/>
              <w:rPr>
                <w:rFonts w:hint="eastAsia" w:ascii="方正书宋_GBK" w:hAnsi="方正书宋_GBK" w:eastAsia="方正书宋_GBK" w:cs="方正书宋_GBK"/>
                <w:kern w:val="2"/>
                <w:sz w:val="21"/>
                <w:szCs w:val="24"/>
                <w:lang w:val="en-US" w:eastAsia="zh-CN" w:bidi="ar-SA"/>
              </w:rPr>
            </w:pPr>
            <w:r>
              <w:rPr>
                <w:rFonts w:hint="eastAsia"/>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ind w:firstLine="0" w:firstLineChars="0"/>
              <w:jc w:val="center"/>
              <w:rPr>
                <w:rFonts w:hint="eastAsia" w:ascii="方正书宋_GBK" w:hAnsi="方正书宋_GBK" w:eastAsia="方正书宋_GBK" w:cs="方正书宋_GBK"/>
                <w:kern w:val="2"/>
                <w:sz w:val="21"/>
                <w:szCs w:val="24"/>
                <w:lang w:val="en-US" w:eastAsia="zh-CN" w:bidi="ar-SA"/>
              </w:rPr>
            </w:pPr>
            <w:r>
              <w:rPr>
                <w:rFonts w:hint="eastAsia"/>
              </w:rPr>
              <w:t>3、单价在50万元以上的设备</w:t>
            </w:r>
          </w:p>
        </w:tc>
        <w:tc>
          <w:tcPr>
            <w:tcW w:w="4933" w:type="dxa"/>
            <w:vAlign w:val="center"/>
          </w:tcPr>
          <w:p>
            <w:pPr>
              <w:pStyle w:val="15"/>
              <w:ind w:firstLine="0" w:firstLineChars="0"/>
              <w:jc w:val="center"/>
              <w:rPr>
                <w:rFonts w:hint="eastAsia" w:ascii="仿宋" w:hAnsi="仿宋" w:eastAsia="仿宋" w:cs="仿宋"/>
                <w:kern w:val="0"/>
                <w:sz w:val="32"/>
                <w:szCs w:val="32"/>
                <w:lang w:val="en-US" w:eastAsia="zh-CN" w:bidi="ar-SA"/>
              </w:rPr>
            </w:pPr>
          </w:p>
        </w:tc>
        <w:tc>
          <w:tcPr>
            <w:tcW w:w="4933" w:type="dxa"/>
            <w:vAlign w:val="center"/>
          </w:tcPr>
          <w:p>
            <w:pPr>
              <w:pStyle w:val="13"/>
              <w:ind w:firstLine="0" w:firstLineChars="0"/>
              <w:jc w:val="center"/>
              <w:rPr>
                <w:rFonts w:hint="eastAsia" w:ascii="仿宋" w:hAnsi="仿宋" w:eastAsia="仿宋" w:cs="仿宋"/>
                <w:kern w:val="0"/>
                <w:sz w:val="32"/>
                <w:szCs w:val="32"/>
                <w:lang w:val="en-US" w:eastAsia="zh-CN" w:bidi="ar-SA"/>
              </w:rPr>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8" w:name="_Toc_3_3_0000000019"/>
      <w:r>
        <w:rPr>
          <w:rFonts w:ascii="黑体" w:hAnsi="黑体" w:eastAsia="黑体" w:cs="黑体"/>
          <w:color w:val="000000"/>
          <w:sz w:val="32"/>
        </w:rPr>
        <w:t>十、名词解释</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9" w:name="_Toc_3_3_0000000020"/>
      <w:r>
        <w:rPr>
          <w:rFonts w:ascii="黑体" w:hAnsi="黑体" w:eastAsia="黑体" w:cs="黑体"/>
          <w:color w:val="000000"/>
          <w:sz w:val="32"/>
        </w:rPr>
        <w:t>十一、其他需要说明的事项</w:t>
      </w:r>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微锟斤拷锟脚猴拷">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E4ZDYyMzY3NDdhZTFkNGY4YTFmZTNhNGIzZDU0N2UifQ=="/>
  </w:docVars>
  <w:rsids>
    <w:rsidRoot w:val="00000000"/>
    <w:rsid w:val="06E21639"/>
    <w:rsid w:val="09573DC8"/>
    <w:rsid w:val="0D6A2699"/>
    <w:rsid w:val="0E5E2435"/>
    <w:rsid w:val="1FD32F07"/>
    <w:rsid w:val="2E371675"/>
    <w:rsid w:val="32253D65"/>
    <w:rsid w:val="343B0F52"/>
    <w:rsid w:val="3DBF4370"/>
    <w:rsid w:val="42E72311"/>
    <w:rsid w:val="48E73651"/>
    <w:rsid w:val="4DE80F7C"/>
    <w:rsid w:val="4FF6443B"/>
    <w:rsid w:val="54FB3A70"/>
    <w:rsid w:val="56B768B9"/>
    <w:rsid w:val="5C34538D"/>
    <w:rsid w:val="6621369A"/>
    <w:rsid w:val="6FC807FC"/>
    <w:rsid w:val="73277678"/>
    <w:rsid w:val="7D6F2271"/>
    <w:rsid w:val="7DC31CF5"/>
    <w:rsid w:val="7EC34F75"/>
    <w:rsid w:val="7F3E49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toc 3"/>
    <w:basedOn w:val="1"/>
    <w:next w:val="1"/>
    <w:qFormat/>
    <w:uiPriority w:val="0"/>
    <w:pPr>
      <w:ind w:left="480"/>
    </w:pPr>
  </w:style>
  <w:style w:type="paragraph" w:styleId="4">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Office_11.8.6.11719_F1E327BC-269C-435d-A152-05C5408002CA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2024-02-23T17:25:00Z</dcterms:created>
  <dc:creator>lenovo</dc:creator>
  <cp:lastModifiedBy>Administrator</cp:lastModifiedBy>
  <dcterms:modified xsi:type="dcterms:W3CDTF">2024-03-21T03:47:13Z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3F91DC0604334F8594FDD99EF5349731_12</vt:lpwstr>
  </property>
</Properties>
</file>