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562成安县政法委</w:t>
      </w:r>
    </w:p>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562成安县政法委</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381.09</w:t>
            </w:r>
          </w:p>
        </w:tc>
        <w:tc>
          <w:tcPr>
            <w:tcW w:w="4535" w:type="dxa"/>
            <w:vAlign w:val="center"/>
          </w:tcPr>
          <w:p>
            <w:pPr>
              <w:pStyle w:val="14"/>
            </w:pPr>
            <w:r>
              <w:t>一、一般公共服务支出</w:t>
            </w:r>
          </w:p>
        </w:tc>
        <w:tc>
          <w:tcPr>
            <w:tcW w:w="2126" w:type="dxa"/>
            <w:vAlign w:val="center"/>
          </w:tcPr>
          <w:p>
            <w:pPr>
              <w:pStyle w:val="13"/>
            </w:pPr>
            <w:r>
              <w:t>325.60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381.09</w:t>
            </w:r>
          </w:p>
        </w:tc>
        <w:tc>
          <w:tcPr>
            <w:tcW w:w="4535" w:type="dxa"/>
            <w:vAlign w:val="center"/>
          </w:tcPr>
          <w:p>
            <w:pPr>
              <w:pStyle w:val="16"/>
            </w:pPr>
            <w:r>
              <w:t>本年支出合计</w:t>
            </w:r>
          </w:p>
        </w:tc>
        <w:tc>
          <w:tcPr>
            <w:tcW w:w="2126" w:type="dxa"/>
            <w:vAlign w:val="center"/>
          </w:tcPr>
          <w:p>
            <w:pPr>
              <w:pStyle w:val="17"/>
            </w:pPr>
            <w:r>
              <w:t>381.09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381.09</w:t>
            </w:r>
          </w:p>
        </w:tc>
        <w:tc>
          <w:tcPr>
            <w:tcW w:w="4535" w:type="dxa"/>
            <w:vAlign w:val="center"/>
          </w:tcPr>
          <w:p>
            <w:pPr>
              <w:pStyle w:val="16"/>
            </w:pPr>
            <w:r>
              <w:t>支出总计</w:t>
            </w:r>
          </w:p>
        </w:tc>
        <w:tc>
          <w:tcPr>
            <w:tcW w:w="2126" w:type="dxa"/>
            <w:vAlign w:val="center"/>
          </w:tcPr>
          <w:p>
            <w:pPr>
              <w:pStyle w:val="17"/>
            </w:pPr>
            <w:r>
              <w:t>381.09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562成安县政法委</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381.09</w:t>
            </w:r>
          </w:p>
        </w:tc>
        <w:tc>
          <w:tcPr>
            <w:tcW w:w="1134" w:type="dxa"/>
            <w:vAlign w:val="center"/>
          </w:tcPr>
          <w:p>
            <w:pPr>
              <w:pStyle w:val="17"/>
            </w:pPr>
            <w:r>
              <w:t>381.09</w:t>
            </w:r>
          </w:p>
        </w:tc>
        <w:tc>
          <w:tcPr>
            <w:tcW w:w="1134" w:type="dxa"/>
            <w:vAlign w:val="center"/>
          </w:tcPr>
          <w:p>
            <w:pPr>
              <w:pStyle w:val="17"/>
            </w:pPr>
            <w:r>
              <w:t>381.09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325.60</w:t>
            </w:r>
          </w:p>
        </w:tc>
        <w:tc>
          <w:tcPr>
            <w:tcW w:w="1134" w:type="dxa"/>
            <w:vAlign w:val="center"/>
          </w:tcPr>
          <w:p>
            <w:pPr>
              <w:pStyle w:val="13"/>
            </w:pPr>
            <w:r>
              <w:t>325.60</w:t>
            </w:r>
          </w:p>
        </w:tc>
        <w:tc>
          <w:tcPr>
            <w:tcW w:w="1134" w:type="dxa"/>
            <w:vAlign w:val="center"/>
          </w:tcPr>
          <w:p>
            <w:pPr>
              <w:pStyle w:val="13"/>
            </w:pPr>
            <w:r>
              <w:t>325.60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194.20</w:t>
            </w:r>
          </w:p>
        </w:tc>
        <w:tc>
          <w:tcPr>
            <w:tcW w:w="1134" w:type="dxa"/>
            <w:vAlign w:val="center"/>
          </w:tcPr>
          <w:p>
            <w:pPr>
              <w:pStyle w:val="13"/>
            </w:pPr>
            <w:r>
              <w:t>194.20</w:t>
            </w:r>
          </w:p>
        </w:tc>
        <w:tc>
          <w:tcPr>
            <w:tcW w:w="1134" w:type="dxa"/>
            <w:vAlign w:val="center"/>
          </w:tcPr>
          <w:p>
            <w:pPr>
              <w:pStyle w:val="13"/>
            </w:pPr>
            <w:r>
              <w:t>194.20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194.20</w:t>
            </w:r>
          </w:p>
        </w:tc>
        <w:tc>
          <w:tcPr>
            <w:tcW w:w="1134" w:type="dxa"/>
            <w:vAlign w:val="center"/>
          </w:tcPr>
          <w:p>
            <w:pPr>
              <w:pStyle w:val="13"/>
            </w:pPr>
            <w:r>
              <w:t>194.20</w:t>
            </w:r>
          </w:p>
        </w:tc>
        <w:tc>
          <w:tcPr>
            <w:tcW w:w="1134" w:type="dxa"/>
            <w:vAlign w:val="center"/>
          </w:tcPr>
          <w:p>
            <w:pPr>
              <w:pStyle w:val="13"/>
            </w:pPr>
            <w:r>
              <w:t>194.20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131.40</w:t>
            </w:r>
          </w:p>
        </w:tc>
        <w:tc>
          <w:tcPr>
            <w:tcW w:w="1134" w:type="dxa"/>
            <w:vAlign w:val="center"/>
          </w:tcPr>
          <w:p>
            <w:pPr>
              <w:pStyle w:val="13"/>
            </w:pPr>
            <w:r>
              <w:t>131.40</w:t>
            </w:r>
          </w:p>
        </w:tc>
        <w:tc>
          <w:tcPr>
            <w:tcW w:w="1134" w:type="dxa"/>
            <w:vAlign w:val="center"/>
          </w:tcPr>
          <w:p>
            <w:pPr>
              <w:pStyle w:val="13"/>
            </w:pPr>
            <w:r>
              <w:t>131.40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2013699</w:t>
            </w:r>
          </w:p>
        </w:tc>
        <w:tc>
          <w:tcPr>
            <w:tcW w:w="1559" w:type="dxa"/>
            <w:vAlign w:val="center"/>
          </w:tcPr>
          <w:p>
            <w:pPr>
              <w:pStyle w:val="14"/>
            </w:pPr>
            <w:r>
              <w:t>其他共产党事务支出</w:t>
            </w:r>
          </w:p>
        </w:tc>
        <w:tc>
          <w:tcPr>
            <w:tcW w:w="1134" w:type="dxa"/>
            <w:vAlign w:val="center"/>
          </w:tcPr>
          <w:p>
            <w:pPr>
              <w:pStyle w:val="13"/>
            </w:pPr>
            <w:r>
              <w:t>131.40</w:t>
            </w:r>
          </w:p>
        </w:tc>
        <w:tc>
          <w:tcPr>
            <w:tcW w:w="1134" w:type="dxa"/>
            <w:vAlign w:val="center"/>
          </w:tcPr>
          <w:p>
            <w:pPr>
              <w:pStyle w:val="13"/>
            </w:pPr>
            <w:r>
              <w:t>131.40</w:t>
            </w:r>
          </w:p>
        </w:tc>
        <w:tc>
          <w:tcPr>
            <w:tcW w:w="1134" w:type="dxa"/>
            <w:vAlign w:val="center"/>
          </w:tcPr>
          <w:p>
            <w:pPr>
              <w:pStyle w:val="13"/>
            </w:pPr>
            <w:r>
              <w:t>131.40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29.85</w:t>
            </w:r>
          </w:p>
        </w:tc>
        <w:tc>
          <w:tcPr>
            <w:tcW w:w="1134" w:type="dxa"/>
            <w:vAlign w:val="center"/>
          </w:tcPr>
          <w:p>
            <w:pPr>
              <w:pStyle w:val="13"/>
            </w:pPr>
            <w:r>
              <w:t>29.85</w:t>
            </w:r>
          </w:p>
        </w:tc>
        <w:tc>
          <w:tcPr>
            <w:tcW w:w="1134" w:type="dxa"/>
            <w:vAlign w:val="center"/>
          </w:tcPr>
          <w:p>
            <w:pPr>
              <w:pStyle w:val="13"/>
            </w:pPr>
            <w:r>
              <w:t>29.85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29.85</w:t>
            </w:r>
          </w:p>
        </w:tc>
        <w:tc>
          <w:tcPr>
            <w:tcW w:w="1134" w:type="dxa"/>
            <w:vAlign w:val="center"/>
          </w:tcPr>
          <w:p>
            <w:pPr>
              <w:pStyle w:val="13"/>
            </w:pPr>
            <w:r>
              <w:t>29.85</w:t>
            </w:r>
          </w:p>
        </w:tc>
        <w:tc>
          <w:tcPr>
            <w:tcW w:w="1134" w:type="dxa"/>
            <w:vAlign w:val="center"/>
          </w:tcPr>
          <w:p>
            <w:pPr>
              <w:pStyle w:val="13"/>
            </w:pPr>
            <w:r>
              <w:t>29.85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9.85</w:t>
            </w:r>
          </w:p>
        </w:tc>
        <w:tc>
          <w:tcPr>
            <w:tcW w:w="1134" w:type="dxa"/>
            <w:vAlign w:val="center"/>
          </w:tcPr>
          <w:p>
            <w:pPr>
              <w:pStyle w:val="13"/>
            </w:pPr>
            <w:r>
              <w:t>9.85</w:t>
            </w:r>
          </w:p>
        </w:tc>
        <w:tc>
          <w:tcPr>
            <w:tcW w:w="1134" w:type="dxa"/>
            <w:vAlign w:val="center"/>
          </w:tcPr>
          <w:p>
            <w:pPr>
              <w:pStyle w:val="13"/>
            </w:pPr>
            <w:r>
              <w:t>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10.64</w:t>
            </w:r>
          </w:p>
        </w:tc>
        <w:tc>
          <w:tcPr>
            <w:tcW w:w="1134" w:type="dxa"/>
            <w:vAlign w:val="center"/>
          </w:tcPr>
          <w:p>
            <w:pPr>
              <w:pStyle w:val="13"/>
            </w:pPr>
            <w:r>
              <w:t>10.64</w:t>
            </w:r>
          </w:p>
        </w:tc>
        <w:tc>
          <w:tcPr>
            <w:tcW w:w="1134" w:type="dxa"/>
            <w:vAlign w:val="center"/>
          </w:tcPr>
          <w:p>
            <w:pPr>
              <w:pStyle w:val="13"/>
            </w:pPr>
            <w:r>
              <w:t>10.64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10.64</w:t>
            </w:r>
          </w:p>
        </w:tc>
        <w:tc>
          <w:tcPr>
            <w:tcW w:w="1134" w:type="dxa"/>
            <w:vAlign w:val="center"/>
          </w:tcPr>
          <w:p>
            <w:pPr>
              <w:pStyle w:val="13"/>
            </w:pPr>
            <w:r>
              <w:t>10.64</w:t>
            </w:r>
          </w:p>
        </w:tc>
        <w:tc>
          <w:tcPr>
            <w:tcW w:w="1134" w:type="dxa"/>
            <w:vAlign w:val="center"/>
          </w:tcPr>
          <w:p>
            <w:pPr>
              <w:pStyle w:val="13"/>
            </w:pPr>
            <w:r>
              <w:t>10.64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10.64</w:t>
            </w:r>
          </w:p>
        </w:tc>
        <w:tc>
          <w:tcPr>
            <w:tcW w:w="1134" w:type="dxa"/>
            <w:vAlign w:val="center"/>
          </w:tcPr>
          <w:p>
            <w:pPr>
              <w:pStyle w:val="13"/>
            </w:pPr>
            <w:r>
              <w:t>10.64</w:t>
            </w:r>
          </w:p>
        </w:tc>
        <w:tc>
          <w:tcPr>
            <w:tcW w:w="1134" w:type="dxa"/>
            <w:vAlign w:val="center"/>
          </w:tcPr>
          <w:p>
            <w:pPr>
              <w:pStyle w:val="13"/>
            </w:pPr>
            <w:r>
              <w:t>10.64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562成安县政法委</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381.09</w:t>
            </w:r>
          </w:p>
        </w:tc>
        <w:tc>
          <w:tcPr>
            <w:tcW w:w="1361" w:type="dxa"/>
            <w:vAlign w:val="center"/>
          </w:tcPr>
          <w:p>
            <w:pPr>
              <w:pStyle w:val="17"/>
            </w:pPr>
            <w:r>
              <w:t>249.69</w:t>
            </w:r>
          </w:p>
        </w:tc>
        <w:tc>
          <w:tcPr>
            <w:tcW w:w="1361" w:type="dxa"/>
            <w:vAlign w:val="center"/>
          </w:tcPr>
          <w:p>
            <w:pPr>
              <w:pStyle w:val="17"/>
            </w:pPr>
            <w:r>
              <w:t>131.40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325.60</w:t>
            </w:r>
          </w:p>
        </w:tc>
        <w:tc>
          <w:tcPr>
            <w:tcW w:w="1361" w:type="dxa"/>
            <w:vAlign w:val="center"/>
          </w:tcPr>
          <w:p>
            <w:pPr>
              <w:pStyle w:val="13"/>
            </w:pPr>
            <w:r>
              <w:t>194.20</w:t>
            </w: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194.20</w:t>
            </w:r>
          </w:p>
        </w:tc>
        <w:tc>
          <w:tcPr>
            <w:tcW w:w="1361" w:type="dxa"/>
            <w:vAlign w:val="center"/>
          </w:tcPr>
          <w:p>
            <w:pPr>
              <w:pStyle w:val="13"/>
            </w:pPr>
            <w:r>
              <w:t>194.20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194.20</w:t>
            </w:r>
          </w:p>
        </w:tc>
        <w:tc>
          <w:tcPr>
            <w:tcW w:w="1361" w:type="dxa"/>
            <w:vAlign w:val="center"/>
          </w:tcPr>
          <w:p>
            <w:pPr>
              <w:pStyle w:val="13"/>
            </w:pPr>
            <w:r>
              <w:t>194.20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2013699</w:t>
            </w:r>
          </w:p>
        </w:tc>
        <w:tc>
          <w:tcPr>
            <w:tcW w:w="4535" w:type="dxa"/>
            <w:vAlign w:val="center"/>
          </w:tcPr>
          <w:p>
            <w:pPr>
              <w:pStyle w:val="14"/>
            </w:pPr>
            <w:r>
              <w:t>其他共产党事务支出</w:t>
            </w: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29.85</w:t>
            </w:r>
          </w:p>
        </w:tc>
        <w:tc>
          <w:tcPr>
            <w:tcW w:w="1361" w:type="dxa"/>
            <w:vAlign w:val="center"/>
          </w:tcPr>
          <w:p>
            <w:pPr>
              <w:pStyle w:val="13"/>
            </w:pPr>
            <w:r>
              <w:t>29.85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29.85</w:t>
            </w:r>
          </w:p>
        </w:tc>
        <w:tc>
          <w:tcPr>
            <w:tcW w:w="1361" w:type="dxa"/>
            <w:vAlign w:val="center"/>
          </w:tcPr>
          <w:p>
            <w:pPr>
              <w:pStyle w:val="13"/>
            </w:pPr>
            <w:r>
              <w:t>29.85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9.85</w:t>
            </w:r>
          </w:p>
        </w:tc>
        <w:tc>
          <w:tcPr>
            <w:tcW w:w="1361" w:type="dxa"/>
            <w:vAlign w:val="center"/>
          </w:tcPr>
          <w:p>
            <w:pPr>
              <w:pStyle w:val="13"/>
            </w:pPr>
            <w:r>
              <w:t>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10.64</w:t>
            </w:r>
          </w:p>
        </w:tc>
        <w:tc>
          <w:tcPr>
            <w:tcW w:w="1361" w:type="dxa"/>
            <w:vAlign w:val="center"/>
          </w:tcPr>
          <w:p>
            <w:pPr>
              <w:pStyle w:val="13"/>
            </w:pPr>
            <w:r>
              <w:t>10.64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10.64</w:t>
            </w:r>
          </w:p>
        </w:tc>
        <w:tc>
          <w:tcPr>
            <w:tcW w:w="1361" w:type="dxa"/>
            <w:vAlign w:val="center"/>
          </w:tcPr>
          <w:p>
            <w:pPr>
              <w:pStyle w:val="13"/>
            </w:pPr>
            <w:r>
              <w:t>10.64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10.64</w:t>
            </w:r>
          </w:p>
        </w:tc>
        <w:tc>
          <w:tcPr>
            <w:tcW w:w="1361" w:type="dxa"/>
            <w:vAlign w:val="center"/>
          </w:tcPr>
          <w:p>
            <w:pPr>
              <w:pStyle w:val="13"/>
            </w:pPr>
            <w:r>
              <w:t>10.64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562成安县政法委</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381.09</w:t>
            </w:r>
          </w:p>
        </w:tc>
        <w:tc>
          <w:tcPr>
            <w:tcW w:w="3402" w:type="dxa"/>
            <w:vAlign w:val="center"/>
          </w:tcPr>
          <w:p>
            <w:pPr>
              <w:pStyle w:val="14"/>
            </w:pPr>
            <w:r>
              <w:t>一、一般公共服务支出</w:t>
            </w:r>
          </w:p>
        </w:tc>
        <w:tc>
          <w:tcPr>
            <w:tcW w:w="1474" w:type="dxa"/>
            <w:vAlign w:val="center"/>
          </w:tcPr>
          <w:p>
            <w:pPr>
              <w:pStyle w:val="13"/>
            </w:pPr>
            <w:r>
              <w:t>325.60</w:t>
            </w:r>
          </w:p>
        </w:tc>
        <w:tc>
          <w:tcPr>
            <w:tcW w:w="1474" w:type="dxa"/>
            <w:vAlign w:val="center"/>
          </w:tcPr>
          <w:p>
            <w:pPr>
              <w:pStyle w:val="13"/>
            </w:pPr>
            <w:r>
              <w:t>325.60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29.85</w:t>
            </w:r>
          </w:p>
        </w:tc>
        <w:tc>
          <w:tcPr>
            <w:tcW w:w="1474" w:type="dxa"/>
            <w:vAlign w:val="center"/>
          </w:tcPr>
          <w:p>
            <w:pPr>
              <w:pStyle w:val="13"/>
            </w:pPr>
            <w:r>
              <w:t>29.85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10.64</w:t>
            </w:r>
          </w:p>
        </w:tc>
        <w:tc>
          <w:tcPr>
            <w:tcW w:w="1474" w:type="dxa"/>
            <w:vAlign w:val="center"/>
          </w:tcPr>
          <w:p>
            <w:pPr>
              <w:pStyle w:val="13"/>
            </w:pPr>
            <w:r>
              <w:t>10.64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15.00</w:t>
            </w:r>
          </w:p>
        </w:tc>
        <w:tc>
          <w:tcPr>
            <w:tcW w:w="1474" w:type="dxa"/>
            <w:vAlign w:val="center"/>
          </w:tcPr>
          <w:p>
            <w:pPr>
              <w:pStyle w:val="13"/>
            </w:pPr>
            <w:r>
              <w:t>15.00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381.09</w:t>
            </w:r>
          </w:p>
        </w:tc>
        <w:tc>
          <w:tcPr>
            <w:tcW w:w="3402" w:type="dxa"/>
            <w:vAlign w:val="center"/>
          </w:tcPr>
          <w:p>
            <w:pPr>
              <w:pStyle w:val="16"/>
            </w:pPr>
            <w:r>
              <w:t>本年支出合计</w:t>
            </w:r>
          </w:p>
        </w:tc>
        <w:tc>
          <w:tcPr>
            <w:tcW w:w="1474" w:type="dxa"/>
            <w:vAlign w:val="center"/>
          </w:tcPr>
          <w:p>
            <w:pPr>
              <w:pStyle w:val="17"/>
            </w:pPr>
            <w:r>
              <w:t>381.09</w:t>
            </w:r>
          </w:p>
        </w:tc>
        <w:tc>
          <w:tcPr>
            <w:tcW w:w="1474" w:type="dxa"/>
            <w:vAlign w:val="center"/>
          </w:tcPr>
          <w:p>
            <w:pPr>
              <w:pStyle w:val="17"/>
            </w:pPr>
            <w:r>
              <w:t>381.09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381.09</w:t>
            </w:r>
          </w:p>
        </w:tc>
        <w:tc>
          <w:tcPr>
            <w:tcW w:w="3402" w:type="dxa"/>
            <w:vAlign w:val="center"/>
          </w:tcPr>
          <w:p>
            <w:pPr>
              <w:pStyle w:val="16"/>
            </w:pPr>
            <w:r>
              <w:t>支出总计</w:t>
            </w:r>
          </w:p>
        </w:tc>
        <w:tc>
          <w:tcPr>
            <w:tcW w:w="1474" w:type="dxa"/>
            <w:vAlign w:val="center"/>
          </w:tcPr>
          <w:p>
            <w:pPr>
              <w:pStyle w:val="17"/>
            </w:pPr>
            <w:r>
              <w:t>381.09</w:t>
            </w:r>
          </w:p>
        </w:tc>
        <w:tc>
          <w:tcPr>
            <w:tcW w:w="1474" w:type="dxa"/>
            <w:vAlign w:val="center"/>
          </w:tcPr>
          <w:p>
            <w:pPr>
              <w:pStyle w:val="17"/>
            </w:pPr>
            <w:r>
              <w:t>381.09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562成安县政法委</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381.09</w:t>
            </w:r>
          </w:p>
        </w:tc>
        <w:tc>
          <w:tcPr>
            <w:tcW w:w="2551" w:type="dxa"/>
            <w:vAlign w:val="center"/>
          </w:tcPr>
          <w:p>
            <w:pPr>
              <w:pStyle w:val="17"/>
            </w:pPr>
            <w:r>
              <w:t>249.69</w:t>
            </w:r>
          </w:p>
        </w:tc>
        <w:tc>
          <w:tcPr>
            <w:tcW w:w="2551" w:type="dxa"/>
            <w:vAlign w:val="center"/>
          </w:tcPr>
          <w:p>
            <w:pPr>
              <w:pStyle w:val="17"/>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325.60</w:t>
            </w:r>
          </w:p>
        </w:tc>
        <w:tc>
          <w:tcPr>
            <w:tcW w:w="2551" w:type="dxa"/>
            <w:vAlign w:val="center"/>
          </w:tcPr>
          <w:p>
            <w:pPr>
              <w:pStyle w:val="13"/>
            </w:pPr>
            <w:r>
              <w:t>194.20</w:t>
            </w:r>
          </w:p>
        </w:tc>
        <w:tc>
          <w:tcPr>
            <w:tcW w:w="2551" w:type="dxa"/>
            <w:vAlign w:val="center"/>
          </w:tcPr>
          <w:p>
            <w:pPr>
              <w:pStyle w:val="13"/>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194.20</w:t>
            </w:r>
          </w:p>
        </w:tc>
        <w:tc>
          <w:tcPr>
            <w:tcW w:w="2551" w:type="dxa"/>
            <w:vAlign w:val="center"/>
          </w:tcPr>
          <w:p>
            <w:pPr>
              <w:pStyle w:val="13"/>
            </w:pPr>
            <w:r>
              <w:t>194.20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194.20</w:t>
            </w:r>
          </w:p>
        </w:tc>
        <w:tc>
          <w:tcPr>
            <w:tcW w:w="2551" w:type="dxa"/>
            <w:vAlign w:val="center"/>
          </w:tcPr>
          <w:p>
            <w:pPr>
              <w:pStyle w:val="13"/>
            </w:pPr>
            <w:r>
              <w:t>194.20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131.40</w:t>
            </w:r>
          </w:p>
        </w:tc>
        <w:tc>
          <w:tcPr>
            <w:tcW w:w="2551" w:type="dxa"/>
            <w:vAlign w:val="center"/>
          </w:tcPr>
          <w:p>
            <w:pPr>
              <w:pStyle w:val="13"/>
            </w:pPr>
          </w:p>
        </w:tc>
        <w:tc>
          <w:tcPr>
            <w:tcW w:w="2551" w:type="dxa"/>
            <w:vAlign w:val="center"/>
          </w:tcPr>
          <w:p>
            <w:pPr>
              <w:pStyle w:val="13"/>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2013699</w:t>
            </w:r>
          </w:p>
        </w:tc>
        <w:tc>
          <w:tcPr>
            <w:tcW w:w="4535" w:type="dxa"/>
            <w:vAlign w:val="center"/>
          </w:tcPr>
          <w:p>
            <w:pPr>
              <w:pStyle w:val="14"/>
            </w:pPr>
            <w:r>
              <w:t>其他共产党事务支出</w:t>
            </w:r>
          </w:p>
        </w:tc>
        <w:tc>
          <w:tcPr>
            <w:tcW w:w="2551" w:type="dxa"/>
            <w:vAlign w:val="center"/>
          </w:tcPr>
          <w:p>
            <w:pPr>
              <w:pStyle w:val="13"/>
            </w:pPr>
            <w:r>
              <w:t>131.40</w:t>
            </w:r>
          </w:p>
        </w:tc>
        <w:tc>
          <w:tcPr>
            <w:tcW w:w="2551" w:type="dxa"/>
            <w:vAlign w:val="center"/>
          </w:tcPr>
          <w:p>
            <w:pPr>
              <w:pStyle w:val="13"/>
            </w:pPr>
          </w:p>
        </w:tc>
        <w:tc>
          <w:tcPr>
            <w:tcW w:w="2551" w:type="dxa"/>
            <w:vAlign w:val="center"/>
          </w:tcPr>
          <w:p>
            <w:pPr>
              <w:pStyle w:val="13"/>
            </w:pPr>
            <w:r>
              <w:t>131.40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29.85</w:t>
            </w:r>
          </w:p>
        </w:tc>
        <w:tc>
          <w:tcPr>
            <w:tcW w:w="2551" w:type="dxa"/>
            <w:vAlign w:val="center"/>
          </w:tcPr>
          <w:p>
            <w:pPr>
              <w:pStyle w:val="13"/>
            </w:pPr>
            <w:r>
              <w:t>29.85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29.85</w:t>
            </w:r>
          </w:p>
        </w:tc>
        <w:tc>
          <w:tcPr>
            <w:tcW w:w="2551" w:type="dxa"/>
            <w:vAlign w:val="center"/>
          </w:tcPr>
          <w:p>
            <w:pPr>
              <w:pStyle w:val="13"/>
            </w:pPr>
            <w:r>
              <w:t>29.85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10.64</w:t>
            </w:r>
          </w:p>
        </w:tc>
        <w:tc>
          <w:tcPr>
            <w:tcW w:w="2551" w:type="dxa"/>
            <w:vAlign w:val="center"/>
          </w:tcPr>
          <w:p>
            <w:pPr>
              <w:pStyle w:val="13"/>
            </w:pPr>
            <w:r>
              <w:t>10.64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10.64</w:t>
            </w:r>
          </w:p>
        </w:tc>
        <w:tc>
          <w:tcPr>
            <w:tcW w:w="2551" w:type="dxa"/>
            <w:vAlign w:val="center"/>
          </w:tcPr>
          <w:p>
            <w:pPr>
              <w:pStyle w:val="13"/>
            </w:pPr>
            <w:r>
              <w:t>10.64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10.64</w:t>
            </w:r>
          </w:p>
        </w:tc>
        <w:tc>
          <w:tcPr>
            <w:tcW w:w="2551" w:type="dxa"/>
            <w:vAlign w:val="center"/>
          </w:tcPr>
          <w:p>
            <w:pPr>
              <w:pStyle w:val="13"/>
            </w:pPr>
            <w:r>
              <w:t>10.64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562成安县政法委</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249.69</w:t>
            </w:r>
          </w:p>
        </w:tc>
        <w:tc>
          <w:tcPr>
            <w:tcW w:w="2551" w:type="dxa"/>
            <w:vAlign w:val="center"/>
          </w:tcPr>
          <w:p>
            <w:pPr>
              <w:pStyle w:val="17"/>
            </w:pPr>
            <w:r>
              <w:t>209.31</w:t>
            </w:r>
          </w:p>
        </w:tc>
        <w:tc>
          <w:tcPr>
            <w:tcW w:w="2551" w:type="dxa"/>
            <w:vAlign w:val="center"/>
          </w:tcPr>
          <w:p>
            <w:pPr>
              <w:pStyle w:val="17"/>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199.46</w:t>
            </w:r>
          </w:p>
        </w:tc>
        <w:tc>
          <w:tcPr>
            <w:tcW w:w="2551" w:type="dxa"/>
            <w:vAlign w:val="center"/>
          </w:tcPr>
          <w:p>
            <w:pPr>
              <w:pStyle w:val="13"/>
            </w:pPr>
            <w:r>
              <w:t>199.46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81.25</w:t>
            </w:r>
          </w:p>
        </w:tc>
        <w:tc>
          <w:tcPr>
            <w:tcW w:w="2551" w:type="dxa"/>
            <w:vAlign w:val="center"/>
          </w:tcPr>
          <w:p>
            <w:pPr>
              <w:pStyle w:val="13"/>
            </w:pPr>
            <w:r>
              <w:t>81.25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48.54</w:t>
            </w:r>
          </w:p>
        </w:tc>
        <w:tc>
          <w:tcPr>
            <w:tcW w:w="2551" w:type="dxa"/>
            <w:vAlign w:val="center"/>
          </w:tcPr>
          <w:p>
            <w:pPr>
              <w:pStyle w:val="13"/>
            </w:pPr>
            <w:r>
              <w:t>48.54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4.29</w:t>
            </w:r>
          </w:p>
        </w:tc>
        <w:tc>
          <w:tcPr>
            <w:tcW w:w="2551" w:type="dxa"/>
            <w:vAlign w:val="center"/>
          </w:tcPr>
          <w:p>
            <w:pPr>
              <w:pStyle w:val="13"/>
            </w:pPr>
            <w:r>
              <w:t>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19.74</w:t>
            </w:r>
          </w:p>
        </w:tc>
        <w:tc>
          <w:tcPr>
            <w:tcW w:w="2551" w:type="dxa"/>
            <w:vAlign w:val="center"/>
          </w:tcPr>
          <w:p>
            <w:pPr>
              <w:pStyle w:val="13"/>
            </w:pPr>
            <w:r>
              <w:t>19.74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10.10</w:t>
            </w:r>
          </w:p>
        </w:tc>
        <w:tc>
          <w:tcPr>
            <w:tcW w:w="2551" w:type="dxa"/>
            <w:vAlign w:val="center"/>
          </w:tcPr>
          <w:p>
            <w:pPr>
              <w:pStyle w:val="13"/>
            </w:pPr>
            <w:r>
              <w:t>10.10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40.38</w:t>
            </w:r>
          </w:p>
        </w:tc>
        <w:tc>
          <w:tcPr>
            <w:tcW w:w="2551" w:type="dxa"/>
            <w:vAlign w:val="center"/>
          </w:tcPr>
          <w:p>
            <w:pPr>
              <w:pStyle w:val="13"/>
            </w:pPr>
          </w:p>
        </w:tc>
        <w:tc>
          <w:tcPr>
            <w:tcW w:w="2551" w:type="dxa"/>
            <w:vAlign w:val="center"/>
          </w:tcPr>
          <w:p>
            <w:pPr>
              <w:pStyle w:val="13"/>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5.50</w:t>
            </w:r>
          </w:p>
        </w:tc>
        <w:tc>
          <w:tcPr>
            <w:tcW w:w="2551" w:type="dxa"/>
            <w:vAlign w:val="center"/>
          </w:tcPr>
          <w:p>
            <w:pPr>
              <w:pStyle w:val="13"/>
            </w:pPr>
          </w:p>
        </w:tc>
        <w:tc>
          <w:tcPr>
            <w:tcW w:w="2551"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8.88</w:t>
            </w:r>
          </w:p>
        </w:tc>
        <w:tc>
          <w:tcPr>
            <w:tcW w:w="2551" w:type="dxa"/>
            <w:vAlign w:val="center"/>
          </w:tcPr>
          <w:p>
            <w:pPr>
              <w:pStyle w:val="13"/>
            </w:pPr>
          </w:p>
        </w:tc>
        <w:tc>
          <w:tcPr>
            <w:tcW w:w="2551" w:type="dxa"/>
            <w:vAlign w:val="center"/>
          </w:tcPr>
          <w:p>
            <w:pPr>
              <w:pStyle w:val="13"/>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562成安县政法委</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562成安县政法委</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2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3924"/>
        <w:gridCol w:w="1584"/>
        <w:gridCol w:w="1616"/>
        <w:gridCol w:w="1800"/>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11"/>
            </w:pPr>
            <w:r>
              <w:t>562001成安县政法委(本级)</w:t>
            </w:r>
          </w:p>
        </w:tc>
        <w:tc>
          <w:tcPr>
            <w:tcW w:w="161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38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pPr>
              <w:pStyle w:val="12"/>
            </w:pPr>
            <w:r>
              <w:t>序号</w:t>
            </w:r>
          </w:p>
        </w:tc>
        <w:tc>
          <w:tcPr>
            <w:tcW w:w="3924" w:type="dxa"/>
            <w:vMerge w:val="restart"/>
            <w:vAlign w:val="center"/>
          </w:tcPr>
          <w:p>
            <w:pPr>
              <w:pStyle w:val="12"/>
            </w:pPr>
            <w:r>
              <w:t>项  目</w:t>
            </w:r>
          </w:p>
        </w:tc>
        <w:tc>
          <w:tcPr>
            <w:tcW w:w="703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tc>
        <w:tc>
          <w:tcPr>
            <w:tcW w:w="3924" w:type="dxa"/>
            <w:vMerge w:val="continue"/>
          </w:tcPr>
          <w:p/>
        </w:tc>
        <w:tc>
          <w:tcPr>
            <w:tcW w:w="1584" w:type="dxa"/>
            <w:vAlign w:val="center"/>
          </w:tcPr>
          <w:p>
            <w:pPr>
              <w:pStyle w:val="12"/>
            </w:pPr>
            <w:r>
              <w:t>合计</w:t>
            </w:r>
          </w:p>
        </w:tc>
        <w:tc>
          <w:tcPr>
            <w:tcW w:w="1616" w:type="dxa"/>
            <w:vAlign w:val="center"/>
          </w:tcPr>
          <w:p>
            <w:pPr>
              <w:pStyle w:val="12"/>
            </w:pPr>
            <w:r>
              <w:t>一般公共预算              财政拨款</w:t>
            </w:r>
          </w:p>
        </w:tc>
        <w:tc>
          <w:tcPr>
            <w:tcW w:w="1800" w:type="dxa"/>
            <w:vAlign w:val="center"/>
          </w:tcPr>
          <w:p>
            <w:pPr>
              <w:pStyle w:val="12"/>
            </w:pPr>
            <w:r>
              <w:t>政府性基金                  预算拨款</w:t>
            </w:r>
          </w:p>
        </w:tc>
        <w:tc>
          <w:tcPr>
            <w:tcW w:w="203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242" w:type="dxa"/>
            <w:vAlign w:val="center"/>
          </w:tcPr>
          <w:p>
            <w:pPr>
              <w:pStyle w:val="12"/>
            </w:pPr>
            <w:r>
              <w:t>栏次</w:t>
            </w:r>
          </w:p>
        </w:tc>
        <w:tc>
          <w:tcPr>
            <w:tcW w:w="3924" w:type="dxa"/>
            <w:vAlign w:val="center"/>
          </w:tcPr>
          <w:p>
            <w:pPr>
              <w:pStyle w:val="12"/>
            </w:pPr>
            <w:r>
              <w:t>1</w:t>
            </w:r>
          </w:p>
        </w:tc>
        <w:tc>
          <w:tcPr>
            <w:tcW w:w="1584" w:type="dxa"/>
            <w:vAlign w:val="center"/>
          </w:tcPr>
          <w:p>
            <w:pPr>
              <w:pStyle w:val="12"/>
            </w:pPr>
            <w:r>
              <w:t>2</w:t>
            </w:r>
          </w:p>
        </w:tc>
        <w:tc>
          <w:tcPr>
            <w:tcW w:w="1616" w:type="dxa"/>
            <w:vAlign w:val="center"/>
          </w:tcPr>
          <w:p>
            <w:pPr>
              <w:pStyle w:val="12"/>
            </w:pPr>
            <w:r>
              <w:t>3</w:t>
            </w:r>
          </w:p>
        </w:tc>
        <w:tc>
          <w:tcPr>
            <w:tcW w:w="1800" w:type="dxa"/>
            <w:vAlign w:val="center"/>
          </w:tcPr>
          <w:p>
            <w:pPr>
              <w:pStyle w:val="12"/>
            </w:pPr>
            <w:r>
              <w:t>4</w:t>
            </w:r>
          </w:p>
        </w:tc>
        <w:tc>
          <w:tcPr>
            <w:tcW w:w="20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392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合计</w:t>
            </w:r>
          </w:p>
        </w:tc>
        <w:tc>
          <w:tcPr>
            <w:tcW w:w="1584"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616"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392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“三公”经费小计</w:t>
            </w:r>
          </w:p>
        </w:tc>
        <w:tc>
          <w:tcPr>
            <w:tcW w:w="1584"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616"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392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一、因公出国（境）费</w:t>
            </w:r>
          </w:p>
        </w:tc>
        <w:tc>
          <w:tcPr>
            <w:tcW w:w="1584"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392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其中：教学科研人员因公出国（境）费</w:t>
            </w:r>
          </w:p>
        </w:tc>
        <w:tc>
          <w:tcPr>
            <w:tcW w:w="1584"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3924" w:type="dxa"/>
            <w:vAlign w:val="center"/>
          </w:tcPr>
          <w:p>
            <w:pPr>
              <w:pStyle w:val="14"/>
              <w:ind w:firstLine="0" w:firstLineChars="0"/>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其他因公出国（境）费</w:t>
            </w:r>
          </w:p>
        </w:tc>
        <w:tc>
          <w:tcPr>
            <w:tcW w:w="1584"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二、公务用车购置及运维费</w:t>
            </w:r>
          </w:p>
        </w:tc>
        <w:tc>
          <w:tcPr>
            <w:tcW w:w="1584"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3924" w:type="dxa"/>
            <w:vAlign w:val="top"/>
          </w:tcPr>
          <w:p>
            <w:pPr>
              <w:keepNext w:val="0"/>
              <w:keepLines w:val="0"/>
              <w:widowControl/>
              <w:suppressLineNumbers w:val="0"/>
              <w:jc w:val="left"/>
              <w:textAlignment w:val="top"/>
              <w:rPr>
                <w:rFonts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其中：公务用车购置费</w:t>
            </w:r>
          </w:p>
        </w:tc>
        <w:tc>
          <w:tcPr>
            <w:tcW w:w="1584"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jc w:val="center"/>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8</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          公务用车运行维护费</w:t>
            </w:r>
          </w:p>
        </w:tc>
        <w:tc>
          <w:tcPr>
            <w:tcW w:w="1584"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616"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9</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三、公务接待费</w:t>
            </w:r>
          </w:p>
        </w:tc>
        <w:tc>
          <w:tcPr>
            <w:tcW w:w="158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四、会议费</w:t>
            </w:r>
          </w:p>
        </w:tc>
        <w:tc>
          <w:tcPr>
            <w:tcW w:w="158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sz w:val="21"/>
                <w:szCs w:val="24"/>
                <w:lang w:val="en-US" w:eastAsia="zh-CN" w:bidi="ar-SA"/>
              </w:rPr>
              <w:t>11</w:t>
            </w:r>
          </w:p>
        </w:tc>
        <w:tc>
          <w:tcPr>
            <w:tcW w:w="3924" w:type="dxa"/>
            <w:vAlign w:val="top"/>
          </w:tcPr>
          <w:p>
            <w:pPr>
              <w:keepNext w:val="0"/>
              <w:keepLines w:val="0"/>
              <w:widowControl/>
              <w:suppressLineNumbers w:val="0"/>
              <w:jc w:val="left"/>
              <w:textAlignment w:val="top"/>
              <w:rPr>
                <w:rFonts w:hint="default" w:ascii="方正书宋_GBK" w:hAnsi="方正书宋_GBK" w:eastAsia="方正书宋_GBK" w:cs="方正书宋_GBK"/>
                <w:kern w:val="2"/>
                <w:sz w:val="21"/>
                <w:szCs w:val="24"/>
                <w:lang w:val="en-US" w:eastAsia="uk-UA" w:bidi="ar-SA"/>
              </w:rPr>
            </w:pPr>
            <w:r>
              <w:rPr>
                <w:rFonts w:hint="default" w:ascii="方正书宋_GBK" w:hAnsi="方正书宋_GBK" w:eastAsia="方正书宋_GBK" w:cs="方正书宋_GBK"/>
                <w:sz w:val="21"/>
                <w:szCs w:val="24"/>
                <w:lang w:val="en-US" w:eastAsia="zh-CN" w:bidi="ar-SA"/>
              </w:rPr>
              <w:t>五、培训费</w:t>
            </w:r>
          </w:p>
        </w:tc>
        <w:tc>
          <w:tcPr>
            <w:tcW w:w="158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1616"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1800"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203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成安县政法委2024年部门预算信息公开情况说明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成安县政法委2024年部门预算信息公开情况说明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按照《中华人民共和国预算法》、《地方预决算公开操作规程》和《关于进一步推进预算公开工作的实施意见》规定，现将成安县政法委2024年部门预算公开如下：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1.根据党中央的路线、方针、政策和县委部署，统一政法部门的思想和行动。</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2.研究制定全县政法工作和社会治安综合治理工作具体政策措施，及时向县委提出建议，对一定时期内的政法工作和社会综合治理工作，作出全局性部署，并督促贯彻落实。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3.监督和支持政法部门依法行使职权，指导和协调政法部门在依法相互制约的同时密切配合，研究和讨论有争议的重大、疑难案件，参与大案要案的指导和监督工作。检查政法部门执行法律法规和党的方针、政策情况，结合实际，研究制定严肃执法，落实党的方针政策的具体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4.组织协调和指导维护社会稳定的工作。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5.组织、协调社会治安综合治理工作，推动各项措施的落实。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6.推动政法工作重大政策法律问题的调查研究，推进政法工作改革。</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7.按照县委的规定，协助党委及其组织部门考察、管理政法部门的领导干部，研究加强政法队伍建设和领导班子建设的措施。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8.办理县委和上级政法机关交办的其他事项。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成安县政法委(本级)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预算的编制实行综合预算管理，即全部收入和支出都反映在预算中。成安县</w:t>
      </w:r>
      <w:r>
        <w:rPr>
          <w:rFonts w:hint="eastAsia" w:cs="Times New Roman"/>
          <w:color w:val="000000"/>
          <w:sz w:val="28"/>
          <w:lang w:val="en-US" w:eastAsia="zh-CN"/>
        </w:rPr>
        <w:t>政法委</w:t>
      </w:r>
      <w:r>
        <w:rPr>
          <w:rFonts w:hint="eastAsia" w:ascii="Times New Roman" w:hAnsi="Times New Roman" w:eastAsia="方正仿宋_GBK" w:cs="Times New Roman"/>
          <w:color w:val="000000"/>
          <w:sz w:val="28"/>
        </w:rPr>
        <w:t>的收支包含在部门预算中。</w:t>
      </w:r>
    </w:p>
    <w:p>
      <w:pPr>
        <w:pStyle w:val="20"/>
        <w:rPr>
          <w:rFonts w:hint="eastAsia" w:ascii="黑体" w:hAnsi="黑体" w:eastAsia="黑体" w:cs="黑体"/>
          <w:color w:val="000000"/>
          <w:sz w:val="32"/>
        </w:rPr>
      </w:pPr>
      <w:r>
        <w:rPr>
          <w:rFonts w:hint="eastAsia" w:ascii="Times New Roman" w:hAnsi="Times New Roman" w:eastAsia="方正仿宋_GBK" w:cs="Times New Roman"/>
          <w:color w:val="000000"/>
          <w:sz w:val="28"/>
        </w:rPr>
        <w:t>按照预算管理有关规定，目前我</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预算的编制实行综合预算制度，即全部收入和支出都反映在预算中。</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年预算收入</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万元，其中：一般公共预算收入</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年支出预算</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万元，其中基本支出</w:t>
      </w:r>
      <w:r>
        <w:rPr>
          <w:rFonts w:hint="eastAsia" w:cs="Times New Roman"/>
          <w:color w:val="000000"/>
          <w:sz w:val="28"/>
          <w:lang w:val="en-US" w:eastAsia="zh-CN"/>
        </w:rPr>
        <w:t>249.69</w:t>
      </w:r>
      <w:r>
        <w:rPr>
          <w:rFonts w:hint="eastAsia" w:ascii="Times New Roman" w:hAnsi="Times New Roman" w:eastAsia="方正仿宋_GBK" w:cs="Times New Roman"/>
          <w:color w:val="000000"/>
          <w:sz w:val="28"/>
        </w:rPr>
        <w:t>万元，包括人员经费</w:t>
      </w:r>
      <w:r>
        <w:rPr>
          <w:rFonts w:hint="eastAsia" w:cs="Times New Roman"/>
          <w:color w:val="000000"/>
          <w:sz w:val="28"/>
          <w:lang w:val="en-US" w:eastAsia="zh-CN"/>
        </w:rPr>
        <w:t>209.31</w:t>
      </w:r>
      <w:r>
        <w:rPr>
          <w:rFonts w:hint="eastAsia" w:ascii="Times New Roman" w:hAnsi="Times New Roman" w:eastAsia="方正仿宋_GBK" w:cs="Times New Roman"/>
          <w:color w:val="000000"/>
          <w:sz w:val="28"/>
        </w:rPr>
        <w:t>万元和日常公用经费</w:t>
      </w:r>
      <w:r>
        <w:rPr>
          <w:rFonts w:hint="eastAsia" w:cs="Times New Roman"/>
          <w:color w:val="000000"/>
          <w:sz w:val="28"/>
          <w:lang w:val="en-US" w:eastAsia="zh-CN"/>
        </w:rPr>
        <w:t>40.38</w:t>
      </w:r>
      <w:r>
        <w:rPr>
          <w:rFonts w:hint="eastAsia" w:ascii="Times New Roman" w:hAnsi="Times New Roman" w:eastAsia="方正仿宋_GBK" w:cs="Times New Roman"/>
          <w:color w:val="000000"/>
          <w:sz w:val="28"/>
        </w:rPr>
        <w:t>万元。项目支出</w:t>
      </w:r>
      <w:r>
        <w:rPr>
          <w:rFonts w:hint="eastAsia" w:cs="Times New Roman"/>
          <w:color w:val="000000"/>
          <w:sz w:val="28"/>
          <w:lang w:val="en-US" w:eastAsia="zh-CN"/>
        </w:rPr>
        <w:t>131.40</w:t>
      </w:r>
      <w:r>
        <w:rPr>
          <w:rFonts w:hint="eastAsia" w:ascii="Times New Roman" w:hAnsi="Times New Roman" w:eastAsia="方正仿宋_GBK" w:cs="Times New Roman"/>
          <w:color w:val="000000"/>
          <w:sz w:val="28"/>
        </w:rPr>
        <w:t>万元，主要是</w:t>
      </w:r>
      <w:r>
        <w:rPr>
          <w:rFonts w:hint="eastAsia" w:ascii="Times New Roman" w:hAnsi="Times New Roman" w:eastAsia="方正仿宋_GBK" w:cs="Times New Roman"/>
          <w:color w:val="000000"/>
          <w:sz w:val="28"/>
          <w:lang w:val="en-US" w:eastAsia="zh-CN"/>
        </w:rPr>
        <w:t>综治参与平安建设保险</w:t>
      </w:r>
      <w:r>
        <w:rPr>
          <w:rFonts w:hint="eastAsia" w:cs="Times New Roman"/>
          <w:color w:val="000000"/>
          <w:sz w:val="28"/>
          <w:lang w:val="en-US" w:eastAsia="zh-CN"/>
        </w:rPr>
        <w:t>业务</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和政法网传输维保费</w:t>
      </w:r>
      <w:r>
        <w:rPr>
          <w:rFonts w:hint="eastAsia" w:ascii="Times New Roman" w:hAnsi="Times New Roman" w:eastAsia="方正仿宋_GBK" w:cs="Times New Roman"/>
          <w:color w:val="000000"/>
          <w:sz w:val="28"/>
        </w:rPr>
        <w:t>。</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3、比上年增减变化情况</w:t>
      </w:r>
    </w:p>
    <w:p>
      <w:pPr>
        <w:pStyle w:val="20"/>
        <w:ind w:left="0" w:leftChars="0" w:firstLine="560" w:firstLineChars="200"/>
        <w:rPr>
          <w:rFonts w:hint="eastAsia" w:cs="Times New Roman"/>
          <w:color w:val="000000"/>
          <w:sz w:val="28"/>
          <w:lang w:val="en-US" w:eastAsia="zh-CN"/>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年预算收支安排</w:t>
      </w:r>
      <w:r>
        <w:rPr>
          <w:rFonts w:hint="eastAsia" w:cs="Times New Roman"/>
          <w:color w:val="000000"/>
          <w:sz w:val="28"/>
          <w:lang w:val="en-US" w:eastAsia="zh-CN"/>
        </w:rPr>
        <w:t>381.09</w:t>
      </w:r>
      <w:r>
        <w:rPr>
          <w:rFonts w:hint="eastAsia" w:ascii="Times New Roman" w:hAnsi="Times New Roman" w:eastAsia="方正仿宋_GBK" w:cs="Times New Roman"/>
          <w:color w:val="000000"/>
          <w:sz w:val="28"/>
        </w:rPr>
        <w:t>万元，较20</w:t>
      </w:r>
      <w:r>
        <w:rPr>
          <w:rFonts w:hint="eastAsia" w:ascii="Times New Roman" w:hAnsi="Times New Roman" w:eastAsia="方正仿宋_GBK" w:cs="Times New Roman"/>
          <w:color w:val="000000"/>
          <w:sz w:val="28"/>
          <w:lang w:val="en-US" w:eastAsia="zh-CN"/>
        </w:rPr>
        <w:t>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w:t>
      </w:r>
      <w:r>
        <w:rPr>
          <w:rFonts w:hint="eastAsia" w:cs="Times New Roman"/>
          <w:color w:val="000000"/>
          <w:sz w:val="28"/>
          <w:lang w:val="en-US" w:eastAsia="zh-CN"/>
        </w:rPr>
        <w:t>减少68.98</w:t>
      </w:r>
      <w:r>
        <w:rPr>
          <w:rFonts w:hint="eastAsia" w:ascii="Times New Roman" w:hAnsi="Times New Roman" w:eastAsia="方正仿宋_GBK" w:cs="Times New Roman"/>
          <w:color w:val="000000"/>
          <w:sz w:val="28"/>
        </w:rPr>
        <w:t>万元，主要原因：</w:t>
      </w:r>
      <w:r>
        <w:rPr>
          <w:rFonts w:hint="eastAsia" w:cs="Times New Roman"/>
          <w:color w:val="000000"/>
          <w:sz w:val="28"/>
          <w:lang w:val="en-US" w:eastAsia="zh-CN"/>
        </w:rPr>
        <w:t>人员变动。</w:t>
      </w:r>
    </w:p>
    <w:p>
      <w:pPr>
        <w:pStyle w:val="20"/>
        <w:ind w:left="0" w:leftChars="0" w:firstLine="560" w:firstLineChars="200"/>
        <w:rPr>
          <w:rFonts w:hint="eastAsia" w:cs="Times New Roman"/>
          <w:color w:val="000000"/>
          <w:sz w:val="28"/>
          <w:lang w:val="en-US" w:eastAsia="zh-CN"/>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hint="eastAsia" w:ascii="Times New Roman" w:hAnsi="Times New Roman" w:eastAsia="方正仿宋_GBK" w:cs="Times New Roman"/>
          <w:color w:val="000000"/>
          <w:sz w:val="28"/>
        </w:rPr>
        <w:t>日常公用经费安排</w:t>
      </w:r>
      <w:r>
        <w:rPr>
          <w:rFonts w:hint="eastAsia" w:eastAsia="方正仿宋_GBK" w:cs="Times New Roman"/>
          <w:color w:val="000000"/>
          <w:sz w:val="28"/>
          <w:lang w:val="en-US" w:eastAsia="zh-CN"/>
        </w:rPr>
        <w:t>40.38</w:t>
      </w:r>
      <w:r>
        <w:rPr>
          <w:rFonts w:hint="eastAsia" w:ascii="Times New Roman" w:hAnsi="Times New Roman" w:eastAsia="方正仿宋_GBK" w:cs="Times New Roman"/>
          <w:color w:val="000000"/>
          <w:sz w:val="28"/>
        </w:rPr>
        <w:t>万元，包括：办公费、差旅费、会议费、印刷费、车辆运行和维护费、其他交通费和其他支出等。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年度“三公”预算支出</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万元，其中，因公出国（境）费0元，安排公务用车维护费</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万</w:t>
      </w:r>
      <w:r>
        <w:rPr>
          <w:rFonts w:hint="eastAsia" w:ascii="Times New Roman" w:hAnsi="Times New Roman" w:eastAsia="方正仿宋_GBK" w:cs="Times New Roman"/>
          <w:color w:val="000000"/>
          <w:sz w:val="28"/>
          <w:szCs w:val="24"/>
          <w:lang w:val="en-US" w:eastAsia="uk-UA" w:bidi="ar-SA"/>
        </w:rPr>
        <w:t>元，（其中公务用车购置费0元，公务用车运行维护费</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万元），公务接待费0万元，因</w:t>
      </w:r>
      <w:r>
        <w:rPr>
          <w:rFonts w:hint="eastAsia" w:cs="Times New Roman"/>
          <w:color w:val="000000"/>
          <w:sz w:val="28"/>
          <w:szCs w:val="24"/>
          <w:lang w:val="en-US" w:eastAsia="zh-CN" w:bidi="ar-SA"/>
        </w:rPr>
        <w:t>公</w:t>
      </w:r>
      <w:r>
        <w:rPr>
          <w:rFonts w:hint="eastAsia" w:ascii="Times New Roman" w:hAnsi="Times New Roman" w:eastAsia="方正仿宋_GBK" w:cs="Times New Roman"/>
          <w:color w:val="000000"/>
          <w:sz w:val="28"/>
          <w:szCs w:val="24"/>
          <w:lang w:val="en-US" w:eastAsia="uk-UA" w:bidi="ar-SA"/>
        </w:rPr>
        <w:t>出国（境）费与202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年持平，公务接待费与202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年持平，公务用车运行维护费与202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年持平</w:t>
      </w:r>
      <w:r>
        <w:rPr>
          <w:rFonts w:hint="eastAsia" w:cs="Times New Roman"/>
          <w:color w:val="000000"/>
          <w:sz w:val="28"/>
          <w:szCs w:val="24"/>
          <w:lang w:val="en-US" w:eastAsia="zh-CN" w:bidi="ar-SA"/>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贯彻落实党中央和省、市委、县委关于政法工作的政策法规，加强</w:t>
      </w:r>
      <w:r>
        <w:rPr>
          <w:rFonts w:hint="eastAsia" w:eastAsia="方正仿宋_GBK" w:cs="Times New Roman"/>
          <w:color w:val="000000"/>
          <w:kern w:val="0"/>
          <w:sz w:val="28"/>
          <w:lang w:val="en-US" w:eastAsia="zh-CN"/>
        </w:rPr>
        <w:t>法治建设</w:t>
      </w:r>
      <w:r>
        <w:rPr>
          <w:rFonts w:hint="eastAsia" w:ascii="Times New Roman" w:hAnsi="Times New Roman" w:eastAsia="方正仿宋_GBK" w:cs="Times New Roman"/>
          <w:color w:val="000000"/>
          <w:kern w:val="0"/>
          <w:sz w:val="28"/>
          <w:lang w:val="en-US" w:eastAsia="zh-CN"/>
        </w:rPr>
        <w:t>、维护社会稳定、加强执法监督。</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1、</w:t>
      </w:r>
      <w:r>
        <w:rPr>
          <w:rFonts w:hint="eastAsia" w:ascii="Times New Roman" w:hAnsi="Times New Roman" w:eastAsia="方正仿宋_GBK" w:cs="Times New Roman"/>
          <w:color w:val="000000"/>
          <w:kern w:val="0"/>
          <w:sz w:val="28"/>
          <w:lang w:eastAsia="uk-UA"/>
        </w:rPr>
        <w:t>2024年政法网传输维保费</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uk-UA"/>
        </w:rPr>
        <w:t>绩效目标：切实加强做好政治信息化应用工作</w:t>
      </w:r>
      <w:r>
        <w:rPr>
          <w:rFonts w:hint="eastAsia" w:ascii="Times New Roman" w:hAnsi="Times New Roman" w:eastAsia="方正仿宋_GBK" w:cs="Times New Roman"/>
          <w:color w:val="000000"/>
          <w:kern w:val="0"/>
          <w:sz w:val="28"/>
          <w:lang w:val="en-US" w:eastAsia="zh-CN"/>
        </w:rPr>
        <w:t>。</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val="en-US" w:eastAsia="zh-CN"/>
        </w:rPr>
        <w:t>2、</w:t>
      </w:r>
      <w:r>
        <w:rPr>
          <w:rFonts w:hint="eastAsia" w:ascii="Times New Roman" w:hAnsi="Times New Roman" w:eastAsia="方正仿宋_GBK" w:cs="Times New Roman"/>
          <w:color w:val="000000"/>
          <w:kern w:val="0"/>
          <w:sz w:val="28"/>
          <w:lang w:eastAsia="uk-UA"/>
        </w:rPr>
        <w:t>2024年常态化扫黑除恶专项斗争工作经费</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uk-UA"/>
        </w:rPr>
        <w:t>绩效目标：</w:t>
      </w:r>
      <w:r>
        <w:rPr>
          <w:rFonts w:hint="eastAsia" w:ascii="Times New Roman" w:hAnsi="Times New Roman" w:eastAsia="方正仿宋_GBK" w:cs="Times New Roman"/>
          <w:color w:val="000000"/>
          <w:kern w:val="0"/>
          <w:sz w:val="28"/>
          <w:lang w:val="en-US" w:eastAsia="zh-CN"/>
        </w:rPr>
        <w:t>为全县经济社会健康、协调、可持续发展营造安全稳定的社会环境。</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val="en-US" w:eastAsia="zh-CN"/>
        </w:rPr>
        <w:t>3、</w:t>
      </w:r>
      <w:r>
        <w:rPr>
          <w:rFonts w:hint="eastAsia" w:ascii="Times New Roman" w:hAnsi="Times New Roman" w:eastAsia="方正仿宋_GBK" w:cs="Times New Roman"/>
          <w:color w:val="000000"/>
          <w:kern w:val="0"/>
          <w:sz w:val="28"/>
          <w:lang w:eastAsia="uk-UA"/>
        </w:rPr>
        <w:t>2024年严重精神病障碍患者监护人责任险</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zh-CN"/>
        </w:rPr>
      </w:pPr>
      <w:r>
        <w:rPr>
          <w:rFonts w:hint="eastAsia" w:ascii="Times New Roman" w:hAnsi="Times New Roman" w:eastAsia="方正仿宋_GBK" w:cs="Times New Roman"/>
          <w:color w:val="000000"/>
          <w:kern w:val="0"/>
          <w:sz w:val="28"/>
          <w:lang w:val="en-US" w:eastAsia="uk-UA"/>
        </w:rPr>
        <w:t>绩效目标：</w:t>
      </w:r>
      <w:r>
        <w:rPr>
          <w:rFonts w:hint="eastAsia" w:ascii="Times New Roman" w:hAnsi="Times New Roman" w:eastAsia="方正仿宋_GBK" w:cs="Times New Roman"/>
          <w:color w:val="000000"/>
          <w:kern w:val="0"/>
          <w:sz w:val="28"/>
          <w:lang w:eastAsia="uk-UA"/>
        </w:rPr>
        <w:t>督促落实严重精神障碍患者监护人“以奖代补”政策和监护人责任险工作，把以奖代补政策工作和监护人责任险工作纳入平安建设考核内容</w:t>
      </w:r>
      <w:r>
        <w:rPr>
          <w:rFonts w:hint="eastAsia" w:ascii="Times New Roman" w:hAnsi="Times New Roman" w:eastAsia="方正仿宋_GBK" w:cs="Times New Roman"/>
          <w:color w:val="000000"/>
          <w:kern w:val="0"/>
          <w:sz w:val="28"/>
          <w:lang w:eastAsia="zh-CN"/>
        </w:rPr>
        <w:t>。</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val="en-US" w:eastAsia="zh-CN"/>
        </w:rPr>
        <w:t>4、</w:t>
      </w:r>
      <w:r>
        <w:rPr>
          <w:rFonts w:hint="eastAsia" w:ascii="Times New Roman" w:hAnsi="Times New Roman" w:eastAsia="方正仿宋_GBK" w:cs="Times New Roman"/>
          <w:color w:val="000000"/>
          <w:kern w:val="0"/>
          <w:sz w:val="28"/>
          <w:lang w:eastAsia="uk-UA"/>
        </w:rPr>
        <w:t>2024年治安保险业参与平安建设</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目标：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bookmarkStart w:id="14" w:name="_Toc_3_3_0000000015"/>
      <w:r>
        <w:rPr>
          <w:rFonts w:hint="eastAsia" w:ascii="Times New Roman" w:hAnsi="Times New Roman" w:eastAsia="方正仿宋_GBK" w:cs="Times New Roman"/>
          <w:color w:val="000000"/>
          <w:kern w:val="0"/>
          <w:sz w:val="28"/>
          <w:lang w:val="en-US" w:eastAsia="zh-CN"/>
        </w:rPr>
        <w:t>1、</w:t>
      </w:r>
      <w:r>
        <w:rPr>
          <w:rFonts w:hint="eastAsia" w:ascii="Times New Roman" w:hAnsi="Times New Roman" w:eastAsia="方正仿宋_GBK" w:cs="Times New Roman"/>
          <w:color w:val="000000"/>
          <w:kern w:val="0"/>
          <w:sz w:val="28"/>
          <w:lang w:val="en-US" w:eastAsia="uk-UA"/>
        </w:rPr>
        <w:t>完善制度建设。对财务制度以及相关配套制度进行更新和完善，规范票据管理和报销流程，确保有章可循和有章必循，进一步提升财政资金管理使用科学化规范化水平，为全年预算绩效目标的实现奠定制度基础。</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2、</w:t>
      </w:r>
      <w:r>
        <w:rPr>
          <w:rFonts w:hint="eastAsia" w:ascii="Times New Roman" w:hAnsi="Times New Roman" w:eastAsia="方正仿宋_GBK" w:cs="Times New Roman"/>
          <w:color w:val="000000"/>
          <w:kern w:val="0"/>
          <w:sz w:val="28"/>
          <w:lang w:val="en-US" w:eastAsia="uk-UA"/>
        </w:rPr>
        <w:t>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细化代编预算、按规定及时安排资金等多种措施，确保支出进度达标。</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3、</w:t>
      </w:r>
      <w:r>
        <w:rPr>
          <w:rFonts w:hint="eastAsia" w:ascii="Times New Roman" w:hAnsi="Times New Roman" w:eastAsia="方正仿宋_GBK" w:cs="Times New Roman"/>
          <w:color w:val="000000"/>
          <w:kern w:val="0"/>
          <w:sz w:val="28"/>
          <w:lang w:val="en-US" w:eastAsia="uk-UA"/>
        </w:rPr>
        <w:t>加强绩效运行监控。按要求开展绩效运行监控，建立健全加强绩效监督管理运行长效机制，按月进行自查自纠，发现问题及时采取措施，确保绩效目标如期保质实现。</w:t>
      </w:r>
    </w:p>
    <w:p>
      <w:pPr>
        <w:spacing w:before="0" w:after="0" w:line="500" w:lineRule="exact"/>
        <w:ind w:firstLine="640" w:firstLineChars="200"/>
        <w:jc w:val="left"/>
        <w:outlineLvl w:val="9"/>
        <w:rPr>
          <w:rFonts w:ascii="黑体" w:hAnsi="黑体" w:eastAsia="黑体" w:cs="黑体"/>
          <w:color w:val="000000"/>
          <w:sz w:val="32"/>
        </w:rPr>
      </w:pPr>
    </w:p>
    <w:p>
      <w:pPr>
        <w:spacing w:before="0" w:after="0" w:line="500" w:lineRule="exact"/>
        <w:ind w:firstLine="640" w:firstLineChars="200"/>
        <w:jc w:val="left"/>
        <w:outlineLvl w:val="9"/>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ind w:firstLine="560" w:firstLineChars="200"/>
        <w:rPr>
          <w:rFonts w:hint="default" w:ascii="Times New Roman" w:hAnsi="Times New Roman" w:eastAsia="黑体" w:cs="Times New Roman"/>
          <w:b w:val="0"/>
          <w:sz w:val="28"/>
          <w:szCs w:val="24"/>
          <w:lang w:val="en-US" w:eastAsia="zh-CN" w:bidi="ar-SA"/>
        </w:rPr>
        <w:sectPr>
          <w:pgSz w:w="16840" w:h="11900" w:orient="landscape"/>
          <w:pgMar w:top="1361" w:right="1020" w:bottom="1134" w:left="1020" w:header="720" w:footer="720" w:gutter="0"/>
          <w:cols w:space="720" w:num="1"/>
        </w:sectPr>
      </w:pPr>
      <w:r>
        <w:rPr>
          <w:rFonts w:hint="eastAsia" w:eastAsia="方正仿宋_GBK" w:cs="Times New Roman"/>
          <w:color w:val="000000"/>
          <w:kern w:val="0"/>
          <w:sz w:val="28"/>
          <w:lang w:val="en-US" w:eastAsia="zh-CN"/>
        </w:rPr>
        <w:t>注</w:t>
      </w:r>
      <w:r>
        <w:rPr>
          <w:rFonts w:hint="eastAsia" w:ascii="Times New Roman" w:hAnsi="Times New Roman" w:eastAsia="方正仿宋_GBK" w:cs="Times New Roman"/>
          <w:color w:val="000000"/>
          <w:kern w:val="0"/>
          <w:sz w:val="28"/>
          <w:lang w:val="en-US" w:eastAsia="zh-CN"/>
        </w:rPr>
        <w:t>：我单位无部门主管专项资金，空表列示</w:t>
      </w:r>
      <w:r>
        <w:rPr>
          <w:rFonts w:hint="eastAsia" w:ascii="黑体" w:hAnsi="黑体" w:eastAsia="黑体" w:cs="黑体"/>
          <w:color w:val="000000"/>
          <w:sz w:val="32"/>
          <w:lang w:val="en-US"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1、2024年常态化扫黑除恶专项斗争工作经费绩效目标表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13042424P001PDR10311D</w:t>
            </w:r>
          </w:p>
        </w:tc>
        <w:tc>
          <w:tcPr>
            <w:tcW w:w="2835" w:type="dxa"/>
            <w:vAlign w:val="center"/>
          </w:tcPr>
          <w:p>
            <w:pPr>
              <w:pStyle w:val="12"/>
            </w:pPr>
            <w:r>
              <w:t>项目名称</w:t>
            </w:r>
          </w:p>
        </w:tc>
        <w:tc>
          <w:tcPr>
            <w:tcW w:w="6094" w:type="dxa"/>
            <w:gridSpan w:val="3"/>
            <w:vAlign w:val="center"/>
          </w:tcPr>
          <w:p>
            <w:pPr>
              <w:pStyle w:val="14"/>
            </w:pPr>
            <w:r>
              <w:t>2024年常态化扫黑除恶专项斗争工作经费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巩固深化扫黑除恶专项斗争成果，常态化、机制化开展扫黑除恶斗争，确保人民安居乐业、社会安定有序、国家长治久安。</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5.00</w:t>
            </w:r>
          </w:p>
        </w:tc>
        <w:tc>
          <w:tcPr>
            <w:tcW w:w="2551" w:type="dxa"/>
            <w:vAlign w:val="center"/>
          </w:tcPr>
          <w:p>
            <w:pPr>
              <w:pStyle w:val="15"/>
            </w:pPr>
            <w:r>
              <w:t>5.00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1.一步巩固深化扫黑除恶专项斗争成果，常态化、机制化开展扫黑除恶斗争，确保人民安居乐业、社会安定有序、国家长治久安。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宣传品数量</w:t>
            </w:r>
          </w:p>
        </w:tc>
        <w:tc>
          <w:tcPr>
            <w:tcW w:w="5386" w:type="dxa"/>
            <w:vAlign w:val="center"/>
          </w:tcPr>
          <w:p>
            <w:pPr>
              <w:pStyle w:val="14"/>
            </w:pPr>
            <w:r>
              <w:t>制作扫黑除恶宣传袋、册、页10元每份</w:t>
            </w:r>
          </w:p>
        </w:tc>
        <w:tc>
          <w:tcPr>
            <w:tcW w:w="2268" w:type="dxa"/>
            <w:vAlign w:val="center"/>
          </w:tcPr>
          <w:p>
            <w:pPr>
              <w:pStyle w:val="14"/>
            </w:pPr>
            <w:r>
              <w:t>≥5000份</w:t>
            </w:r>
          </w:p>
        </w:tc>
        <w:tc>
          <w:tcPr>
            <w:tcW w:w="1276" w:type="dxa"/>
            <w:vAlign w:val="center"/>
          </w:tcPr>
          <w:p>
            <w:pPr>
              <w:pStyle w:val="14"/>
            </w:pPr>
            <w:r>
              <w:t>关于常态化开展</w:t>
            </w:r>
            <w:r>
              <w:rPr>
                <w:rFonts w:hint="eastAsia"/>
                <w:lang w:eastAsia="zh-CN"/>
              </w:rPr>
              <w:t>扫黑除恶专项斗争</w:t>
            </w:r>
            <w:bookmarkStart w:id="20" w:name="_GoBack"/>
            <w:bookmarkEnd w:id="20"/>
            <w:r>
              <w:t>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验收合格率</w:t>
            </w:r>
          </w:p>
        </w:tc>
        <w:tc>
          <w:tcPr>
            <w:tcW w:w="2268" w:type="dxa"/>
            <w:vAlign w:val="center"/>
          </w:tcPr>
          <w:p>
            <w:pPr>
              <w:pStyle w:val="14"/>
            </w:pPr>
            <w:r>
              <w:t>≥95百分比</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完成期限</w:t>
            </w:r>
          </w:p>
        </w:tc>
        <w:tc>
          <w:tcPr>
            <w:tcW w:w="2268" w:type="dxa"/>
            <w:vAlign w:val="center"/>
          </w:tcPr>
          <w:p>
            <w:pPr>
              <w:pStyle w:val="14"/>
            </w:pPr>
            <w:r>
              <w:t>1年</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宣传品成本</w:t>
            </w:r>
          </w:p>
        </w:tc>
        <w:tc>
          <w:tcPr>
            <w:tcW w:w="5386" w:type="dxa"/>
            <w:vAlign w:val="center"/>
          </w:tcPr>
          <w:p>
            <w:pPr>
              <w:pStyle w:val="14"/>
            </w:pPr>
            <w:r>
              <w:t>印刷宣传资料、传单、宣传品等成本</w:t>
            </w:r>
          </w:p>
        </w:tc>
        <w:tc>
          <w:tcPr>
            <w:tcW w:w="2268" w:type="dxa"/>
            <w:vAlign w:val="center"/>
          </w:tcPr>
          <w:p>
            <w:pPr>
              <w:pStyle w:val="14"/>
            </w:pPr>
            <w:r>
              <w:t>20万元</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全县人民群众对扫黑除恶的满意度</w:t>
            </w:r>
          </w:p>
        </w:tc>
        <w:tc>
          <w:tcPr>
            <w:tcW w:w="5386" w:type="dxa"/>
            <w:vAlign w:val="center"/>
          </w:tcPr>
          <w:p>
            <w:pPr>
              <w:pStyle w:val="14"/>
            </w:pPr>
            <w:r>
              <w:t>确保扫黑除恶始终合民意、护民利、得民心</w:t>
            </w:r>
          </w:p>
        </w:tc>
        <w:tc>
          <w:tcPr>
            <w:tcW w:w="2268" w:type="dxa"/>
            <w:vAlign w:val="center"/>
          </w:tcPr>
          <w:p>
            <w:pPr>
              <w:pStyle w:val="14"/>
            </w:pPr>
            <w:r>
              <w:t>有所提高</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全县人民群众获得感</w:t>
            </w:r>
          </w:p>
        </w:tc>
        <w:tc>
          <w:tcPr>
            <w:tcW w:w="5386" w:type="dxa"/>
            <w:vAlign w:val="center"/>
          </w:tcPr>
          <w:p>
            <w:pPr>
              <w:pStyle w:val="14"/>
            </w:pPr>
            <w:r>
              <w:t>提高全县人民群众安全感</w:t>
            </w:r>
          </w:p>
        </w:tc>
        <w:tc>
          <w:tcPr>
            <w:tcW w:w="2268" w:type="dxa"/>
            <w:vAlign w:val="center"/>
          </w:tcPr>
          <w:p>
            <w:pPr>
              <w:pStyle w:val="14"/>
            </w:pPr>
            <w:r>
              <w:t>有所提高</w:t>
            </w:r>
          </w:p>
        </w:tc>
        <w:tc>
          <w:tcPr>
            <w:tcW w:w="1276" w:type="dxa"/>
            <w:vAlign w:val="center"/>
          </w:tcPr>
          <w:p>
            <w:pPr>
              <w:pStyle w:val="14"/>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全县人民群众满意和较满意的</w:t>
            </w:r>
          </w:p>
        </w:tc>
        <w:tc>
          <w:tcPr>
            <w:tcW w:w="2268" w:type="dxa"/>
            <w:vAlign w:val="center"/>
          </w:tcPr>
          <w:p>
            <w:pPr>
              <w:pStyle w:val="14"/>
            </w:pPr>
            <w:r>
              <w:t>≥95百分比</w:t>
            </w:r>
          </w:p>
        </w:tc>
        <w:tc>
          <w:tcPr>
            <w:tcW w:w="1276" w:type="dxa"/>
            <w:vAlign w:val="center"/>
          </w:tcPr>
          <w:p>
            <w:pPr>
              <w:pStyle w:val="14"/>
            </w:pPr>
            <w:r>
              <w:t>关于常态化开展扫黑除恶斗争巩固专项斗争成果的意见</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2、2024年严重精神病障碍患者监护人责任险绩效目标表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13042424P001PDR10310R</w:t>
            </w:r>
          </w:p>
        </w:tc>
        <w:tc>
          <w:tcPr>
            <w:tcW w:w="2835" w:type="dxa"/>
            <w:vAlign w:val="center"/>
          </w:tcPr>
          <w:p>
            <w:pPr>
              <w:pStyle w:val="12"/>
            </w:pPr>
            <w:r>
              <w:t>项目名称</w:t>
            </w:r>
          </w:p>
        </w:tc>
        <w:tc>
          <w:tcPr>
            <w:tcW w:w="6094" w:type="dxa"/>
            <w:gridSpan w:val="3"/>
            <w:vAlign w:val="center"/>
          </w:tcPr>
          <w:p>
            <w:pPr>
              <w:pStyle w:val="14"/>
            </w:pPr>
            <w:r>
              <w:t>2024年严重精神病障碍患者监护人责任险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25.20</w:t>
            </w:r>
          </w:p>
        </w:tc>
        <w:tc>
          <w:tcPr>
            <w:tcW w:w="2835" w:type="dxa"/>
            <w:vAlign w:val="center"/>
          </w:tcPr>
          <w:p>
            <w:pPr>
              <w:pStyle w:val="12"/>
            </w:pPr>
            <w:r>
              <w:t>其中：财政    资金</w:t>
            </w:r>
          </w:p>
        </w:tc>
        <w:tc>
          <w:tcPr>
            <w:tcW w:w="2551" w:type="dxa"/>
            <w:vAlign w:val="center"/>
          </w:tcPr>
          <w:p>
            <w:pPr>
              <w:pStyle w:val="14"/>
            </w:pPr>
            <w:r>
              <w:t>25.20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督促落实严重精神障碍患者监护人“以奖代补”政策和监护人责任险工作，把以奖代补政策工作和监护人责任险工作纳入平安建设考核内容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1.督促落实严重精神障碍患者监护人“以奖代补”政策和监护人责任险工作，把以奖代补政策工作和监护人责任险工作纳入平安建设考核内容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缴纳严重精神障碍患者户数</w:t>
            </w:r>
          </w:p>
        </w:tc>
        <w:tc>
          <w:tcPr>
            <w:tcW w:w="5386" w:type="dxa"/>
            <w:vAlign w:val="center"/>
          </w:tcPr>
          <w:p>
            <w:pPr>
              <w:pStyle w:val="14"/>
            </w:pPr>
            <w:r>
              <w:t>缴纳严重精神障碍监护人以奖代补有奖监护户数</w:t>
            </w:r>
          </w:p>
        </w:tc>
        <w:tc>
          <w:tcPr>
            <w:tcW w:w="2268" w:type="dxa"/>
            <w:vAlign w:val="center"/>
          </w:tcPr>
          <w:p>
            <w:pPr>
              <w:pStyle w:val="14"/>
            </w:pPr>
            <w:r>
              <w:t>18户</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缴纳全县精神病障碍患者人数</w:t>
            </w:r>
          </w:p>
        </w:tc>
        <w:tc>
          <w:tcPr>
            <w:tcW w:w="5386" w:type="dxa"/>
            <w:vAlign w:val="center"/>
          </w:tcPr>
          <w:p>
            <w:pPr>
              <w:pStyle w:val="14"/>
            </w:pPr>
            <w:r>
              <w:t>缴纳全县精神病障碍患者人数</w:t>
            </w:r>
          </w:p>
        </w:tc>
        <w:tc>
          <w:tcPr>
            <w:tcW w:w="2268" w:type="dxa"/>
            <w:vAlign w:val="center"/>
          </w:tcPr>
          <w:p>
            <w:pPr>
              <w:pStyle w:val="14"/>
            </w:pPr>
            <w:r>
              <w:t>2088人</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保费参保率</w:t>
            </w:r>
          </w:p>
        </w:tc>
        <w:tc>
          <w:tcPr>
            <w:tcW w:w="5386" w:type="dxa"/>
            <w:vAlign w:val="center"/>
          </w:tcPr>
          <w:p>
            <w:pPr>
              <w:pStyle w:val="14"/>
            </w:pPr>
            <w:r>
              <w:t>保费参保率</w:t>
            </w:r>
          </w:p>
        </w:tc>
        <w:tc>
          <w:tcPr>
            <w:tcW w:w="2268" w:type="dxa"/>
            <w:vAlign w:val="center"/>
          </w:tcPr>
          <w:p>
            <w:pPr>
              <w:pStyle w:val="14"/>
            </w:pPr>
            <w:r>
              <w:t>100百分比</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保费期限</w:t>
            </w:r>
          </w:p>
        </w:tc>
        <w:tc>
          <w:tcPr>
            <w:tcW w:w="5386" w:type="dxa"/>
            <w:vAlign w:val="center"/>
          </w:tcPr>
          <w:p>
            <w:pPr>
              <w:pStyle w:val="14"/>
            </w:pPr>
            <w:r>
              <w:t>2024年期间全县购买责任险和以奖代补</w:t>
            </w:r>
          </w:p>
        </w:tc>
        <w:tc>
          <w:tcPr>
            <w:tcW w:w="2268" w:type="dxa"/>
            <w:vAlign w:val="center"/>
          </w:tcPr>
          <w:p>
            <w:pPr>
              <w:pStyle w:val="14"/>
            </w:pPr>
            <w:r>
              <w:t>1年</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每人保费标准</w:t>
            </w:r>
          </w:p>
        </w:tc>
        <w:tc>
          <w:tcPr>
            <w:tcW w:w="5386" w:type="dxa"/>
            <w:vAlign w:val="center"/>
          </w:tcPr>
          <w:p>
            <w:pPr>
              <w:pStyle w:val="14"/>
            </w:pPr>
            <w:r>
              <w:t>人均缴纳标准</w:t>
            </w:r>
          </w:p>
        </w:tc>
        <w:tc>
          <w:tcPr>
            <w:tcW w:w="2268" w:type="dxa"/>
            <w:vAlign w:val="center"/>
          </w:tcPr>
          <w:p>
            <w:pPr>
              <w:pStyle w:val="14"/>
            </w:pPr>
            <w:r>
              <w:t>100元</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每户保费标准</w:t>
            </w:r>
          </w:p>
        </w:tc>
        <w:tc>
          <w:tcPr>
            <w:tcW w:w="5386" w:type="dxa"/>
            <w:vAlign w:val="center"/>
          </w:tcPr>
          <w:p>
            <w:pPr>
              <w:pStyle w:val="14"/>
            </w:pPr>
            <w:r>
              <w:t>每户缴纳标准</w:t>
            </w:r>
          </w:p>
        </w:tc>
        <w:tc>
          <w:tcPr>
            <w:tcW w:w="2268" w:type="dxa"/>
            <w:vAlign w:val="center"/>
          </w:tcPr>
          <w:p>
            <w:pPr>
              <w:pStyle w:val="14"/>
            </w:pPr>
            <w:r>
              <w:t>200元</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创新社会治理体制</w:t>
            </w:r>
          </w:p>
        </w:tc>
        <w:tc>
          <w:tcPr>
            <w:tcW w:w="5386" w:type="dxa"/>
            <w:vAlign w:val="center"/>
          </w:tcPr>
          <w:p>
            <w:pPr>
              <w:pStyle w:val="14"/>
            </w:pPr>
            <w:r>
              <w:t>使严重精神障碍患者监护人更好履行看护责任</w:t>
            </w:r>
          </w:p>
        </w:tc>
        <w:tc>
          <w:tcPr>
            <w:tcW w:w="2268" w:type="dxa"/>
            <w:vAlign w:val="center"/>
          </w:tcPr>
          <w:p>
            <w:pPr>
              <w:pStyle w:val="14"/>
            </w:pPr>
            <w:r>
              <w:t>有所提高</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在全县产生的重要影响</w:t>
            </w:r>
          </w:p>
        </w:tc>
        <w:tc>
          <w:tcPr>
            <w:tcW w:w="2268" w:type="dxa"/>
            <w:vAlign w:val="center"/>
          </w:tcPr>
          <w:p>
            <w:pPr>
              <w:pStyle w:val="14"/>
            </w:pPr>
            <w:r>
              <w:t>全县人民群众安全意识有所提高</w:t>
            </w:r>
          </w:p>
        </w:tc>
        <w:tc>
          <w:tcPr>
            <w:tcW w:w="1276" w:type="dxa"/>
            <w:vAlign w:val="center"/>
          </w:tcPr>
          <w:p>
            <w:pPr>
              <w:pStyle w:val="14"/>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购买保险受益群众中满意和较满意的</w:t>
            </w:r>
          </w:p>
        </w:tc>
        <w:tc>
          <w:tcPr>
            <w:tcW w:w="2268" w:type="dxa"/>
            <w:vAlign w:val="center"/>
          </w:tcPr>
          <w:p>
            <w:pPr>
              <w:pStyle w:val="14"/>
            </w:pPr>
            <w:r>
              <w:t>≥95百分比</w:t>
            </w:r>
          </w:p>
        </w:tc>
        <w:tc>
          <w:tcPr>
            <w:tcW w:w="1276" w:type="dxa"/>
            <w:vAlign w:val="center"/>
          </w:tcPr>
          <w:p>
            <w:pPr>
              <w:pStyle w:val="14"/>
            </w:pPr>
            <w:r>
              <w:t>省综治委（2016）4号文件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3、2024年政法网传输维保费绩效目标表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13042424P001PDR103121</w:t>
            </w:r>
          </w:p>
        </w:tc>
        <w:tc>
          <w:tcPr>
            <w:tcW w:w="2835" w:type="dxa"/>
            <w:vAlign w:val="center"/>
          </w:tcPr>
          <w:p>
            <w:pPr>
              <w:pStyle w:val="12"/>
            </w:pPr>
            <w:r>
              <w:t>项目名称</w:t>
            </w:r>
          </w:p>
        </w:tc>
        <w:tc>
          <w:tcPr>
            <w:tcW w:w="6094" w:type="dxa"/>
            <w:gridSpan w:val="3"/>
            <w:vAlign w:val="center"/>
          </w:tcPr>
          <w:p>
            <w:pPr>
              <w:pStyle w:val="14"/>
            </w:pPr>
            <w:r>
              <w:t>2024年政法网传输维保费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18.20</w:t>
            </w:r>
          </w:p>
        </w:tc>
        <w:tc>
          <w:tcPr>
            <w:tcW w:w="2835" w:type="dxa"/>
            <w:vAlign w:val="center"/>
          </w:tcPr>
          <w:p>
            <w:pPr>
              <w:pStyle w:val="12"/>
            </w:pPr>
            <w:r>
              <w:t>其中：财政    资金</w:t>
            </w:r>
          </w:p>
        </w:tc>
        <w:tc>
          <w:tcPr>
            <w:tcW w:w="2551" w:type="dxa"/>
            <w:vAlign w:val="center"/>
          </w:tcPr>
          <w:p>
            <w:pPr>
              <w:pStyle w:val="14"/>
            </w:pPr>
            <w:r>
              <w:t>18.20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切实加强做好政治信息化应用工作</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18.20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1.切实加强做好政治信息化应用工作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节点数量</w:t>
            </w:r>
          </w:p>
        </w:tc>
        <w:tc>
          <w:tcPr>
            <w:tcW w:w="5386" w:type="dxa"/>
            <w:vAlign w:val="center"/>
          </w:tcPr>
          <w:p>
            <w:pPr>
              <w:pStyle w:val="14"/>
            </w:pPr>
            <w:r>
              <w:t>接入网节点数量。</w:t>
            </w:r>
          </w:p>
        </w:tc>
        <w:tc>
          <w:tcPr>
            <w:tcW w:w="2268" w:type="dxa"/>
            <w:vAlign w:val="center"/>
          </w:tcPr>
          <w:p>
            <w:pPr>
              <w:pStyle w:val="14"/>
            </w:pPr>
            <w:r>
              <w:t>55个</w:t>
            </w:r>
          </w:p>
        </w:tc>
        <w:tc>
          <w:tcPr>
            <w:tcW w:w="1276" w:type="dxa"/>
            <w:vAlign w:val="center"/>
          </w:tcPr>
          <w:p>
            <w:pPr>
              <w:pStyle w:val="14"/>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政法网运行质量</w:t>
            </w:r>
          </w:p>
        </w:tc>
        <w:tc>
          <w:tcPr>
            <w:tcW w:w="5386" w:type="dxa"/>
            <w:vAlign w:val="center"/>
          </w:tcPr>
          <w:p>
            <w:pPr>
              <w:pStyle w:val="14"/>
            </w:pPr>
            <w:r>
              <w:t>政法网运行稳定率。</w:t>
            </w:r>
          </w:p>
        </w:tc>
        <w:tc>
          <w:tcPr>
            <w:tcW w:w="2268" w:type="dxa"/>
            <w:vAlign w:val="center"/>
          </w:tcPr>
          <w:p>
            <w:pPr>
              <w:pStyle w:val="14"/>
            </w:pPr>
            <w:r>
              <w:t>100百分比</w:t>
            </w:r>
          </w:p>
        </w:tc>
        <w:tc>
          <w:tcPr>
            <w:tcW w:w="1276" w:type="dxa"/>
            <w:vAlign w:val="center"/>
          </w:tcPr>
          <w:p>
            <w:pPr>
              <w:pStyle w:val="14"/>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接入网节点成本。</w:t>
            </w:r>
          </w:p>
        </w:tc>
        <w:tc>
          <w:tcPr>
            <w:tcW w:w="5386" w:type="dxa"/>
            <w:vAlign w:val="center"/>
          </w:tcPr>
          <w:p>
            <w:pPr>
              <w:pStyle w:val="14"/>
            </w:pPr>
            <w:r>
              <w:t>政法网接入网节点成本。</w:t>
            </w:r>
          </w:p>
        </w:tc>
        <w:tc>
          <w:tcPr>
            <w:tcW w:w="2268" w:type="dxa"/>
            <w:vAlign w:val="center"/>
          </w:tcPr>
          <w:p>
            <w:pPr>
              <w:pStyle w:val="14"/>
            </w:pPr>
            <w:r>
              <w:t>2400元</w:t>
            </w:r>
          </w:p>
        </w:tc>
        <w:tc>
          <w:tcPr>
            <w:tcW w:w="1276" w:type="dxa"/>
            <w:vAlign w:val="center"/>
          </w:tcPr>
          <w:p>
            <w:pPr>
              <w:pStyle w:val="14"/>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政法网时效。</w:t>
            </w:r>
          </w:p>
        </w:tc>
        <w:tc>
          <w:tcPr>
            <w:tcW w:w="5386" w:type="dxa"/>
            <w:vAlign w:val="center"/>
          </w:tcPr>
          <w:p>
            <w:pPr>
              <w:pStyle w:val="14"/>
            </w:pPr>
            <w:r>
              <w:t>政法网运行时效。</w:t>
            </w:r>
          </w:p>
        </w:tc>
        <w:tc>
          <w:tcPr>
            <w:tcW w:w="2268" w:type="dxa"/>
            <w:vAlign w:val="center"/>
          </w:tcPr>
          <w:p>
            <w:pPr>
              <w:pStyle w:val="14"/>
            </w:pPr>
            <w:r>
              <w:t>1年</w:t>
            </w:r>
          </w:p>
        </w:tc>
        <w:tc>
          <w:tcPr>
            <w:tcW w:w="1276" w:type="dxa"/>
            <w:vAlign w:val="center"/>
          </w:tcPr>
          <w:p>
            <w:pPr>
              <w:pStyle w:val="14"/>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5386" w:type="dxa"/>
            <w:vAlign w:val="center"/>
          </w:tcPr>
          <w:p>
            <w:pPr>
              <w:pStyle w:val="14"/>
            </w:pPr>
            <w:r>
              <w:t>确保机关办公网络正常运行</w:t>
            </w:r>
          </w:p>
        </w:tc>
        <w:tc>
          <w:tcPr>
            <w:tcW w:w="2268" w:type="dxa"/>
            <w:vAlign w:val="center"/>
          </w:tcPr>
          <w:p>
            <w:pPr>
              <w:pStyle w:val="14"/>
            </w:pPr>
            <w:r>
              <w:t>有所提高</w:t>
            </w:r>
          </w:p>
        </w:tc>
        <w:tc>
          <w:tcPr>
            <w:tcW w:w="1276" w:type="dxa"/>
            <w:vAlign w:val="center"/>
          </w:tcPr>
          <w:p>
            <w:pPr>
              <w:pStyle w:val="14"/>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提高办公效率</w:t>
            </w:r>
          </w:p>
        </w:tc>
        <w:tc>
          <w:tcPr>
            <w:tcW w:w="5386" w:type="dxa"/>
            <w:vAlign w:val="center"/>
          </w:tcPr>
          <w:p>
            <w:pPr>
              <w:pStyle w:val="14"/>
            </w:pPr>
            <w:r>
              <w:t>提高办公效率</w:t>
            </w:r>
          </w:p>
        </w:tc>
        <w:tc>
          <w:tcPr>
            <w:tcW w:w="2268" w:type="dxa"/>
            <w:vAlign w:val="center"/>
          </w:tcPr>
          <w:p>
            <w:pPr>
              <w:pStyle w:val="14"/>
            </w:pPr>
            <w:r>
              <w:t>有所改善</w:t>
            </w:r>
          </w:p>
        </w:tc>
        <w:tc>
          <w:tcPr>
            <w:tcW w:w="1276" w:type="dxa"/>
            <w:vAlign w:val="center"/>
          </w:tcPr>
          <w:p>
            <w:pPr>
              <w:pStyle w:val="14"/>
            </w:pPr>
            <w:r>
              <w:t>邯政法字（2012）136号文件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工作人员满意度占总数的比例。</w:t>
            </w:r>
          </w:p>
        </w:tc>
        <w:tc>
          <w:tcPr>
            <w:tcW w:w="5386" w:type="dxa"/>
            <w:vAlign w:val="center"/>
          </w:tcPr>
          <w:p>
            <w:pPr>
              <w:pStyle w:val="14"/>
            </w:pPr>
            <w:r>
              <w:t>工作人员满意度占总数的比例。</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4、2024年治安保险业参与平安建设绩效目标表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13042424P001PDR10309E</w:t>
            </w:r>
          </w:p>
        </w:tc>
        <w:tc>
          <w:tcPr>
            <w:tcW w:w="2835" w:type="dxa"/>
            <w:vAlign w:val="center"/>
          </w:tcPr>
          <w:p>
            <w:pPr>
              <w:pStyle w:val="12"/>
            </w:pPr>
            <w:r>
              <w:t>项目名称</w:t>
            </w:r>
          </w:p>
        </w:tc>
        <w:tc>
          <w:tcPr>
            <w:tcW w:w="6094" w:type="dxa"/>
            <w:gridSpan w:val="3"/>
            <w:vAlign w:val="center"/>
          </w:tcPr>
          <w:p>
            <w:pPr>
              <w:pStyle w:val="14"/>
            </w:pPr>
            <w:r>
              <w:t>2024年治安保险业参与平安建设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68.00</w:t>
            </w:r>
          </w:p>
        </w:tc>
        <w:tc>
          <w:tcPr>
            <w:tcW w:w="2835" w:type="dxa"/>
            <w:vAlign w:val="center"/>
          </w:tcPr>
          <w:p>
            <w:pPr>
              <w:pStyle w:val="12"/>
            </w:pPr>
            <w:r>
              <w:t>其中：财政    资金</w:t>
            </w:r>
          </w:p>
        </w:tc>
        <w:tc>
          <w:tcPr>
            <w:tcW w:w="2551" w:type="dxa"/>
            <w:vAlign w:val="center"/>
          </w:tcPr>
          <w:p>
            <w:pPr>
              <w:pStyle w:val="14"/>
            </w:pPr>
            <w:r>
              <w:t>68.00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购买保险户数</w:t>
            </w:r>
          </w:p>
        </w:tc>
        <w:tc>
          <w:tcPr>
            <w:tcW w:w="5386" w:type="dxa"/>
            <w:vAlign w:val="center"/>
          </w:tcPr>
          <w:p>
            <w:pPr>
              <w:pStyle w:val="14"/>
            </w:pPr>
            <w:r>
              <w:t>购买保险户数</w:t>
            </w:r>
          </w:p>
        </w:tc>
        <w:tc>
          <w:tcPr>
            <w:tcW w:w="2268" w:type="dxa"/>
            <w:vAlign w:val="center"/>
          </w:tcPr>
          <w:p>
            <w:pPr>
              <w:pStyle w:val="14"/>
            </w:pPr>
            <w:r>
              <w:t>113333户</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已在保险人数</w:t>
            </w:r>
          </w:p>
        </w:tc>
        <w:tc>
          <w:tcPr>
            <w:tcW w:w="5386" w:type="dxa"/>
            <w:vAlign w:val="center"/>
          </w:tcPr>
          <w:p>
            <w:pPr>
              <w:pStyle w:val="14"/>
            </w:pPr>
            <w:r>
              <w:t>已在保险人数占计划人数比例</w:t>
            </w:r>
          </w:p>
        </w:tc>
        <w:tc>
          <w:tcPr>
            <w:tcW w:w="2268" w:type="dxa"/>
            <w:vAlign w:val="center"/>
          </w:tcPr>
          <w:p>
            <w:pPr>
              <w:pStyle w:val="14"/>
            </w:pPr>
            <w:r>
              <w:t>100百分比</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完成期限</w:t>
            </w:r>
          </w:p>
        </w:tc>
        <w:tc>
          <w:tcPr>
            <w:tcW w:w="2268" w:type="dxa"/>
            <w:vAlign w:val="center"/>
          </w:tcPr>
          <w:p>
            <w:pPr>
              <w:pStyle w:val="14"/>
            </w:pPr>
            <w:r>
              <w:t>年初完成</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每户保费金额</w:t>
            </w:r>
          </w:p>
        </w:tc>
        <w:tc>
          <w:tcPr>
            <w:tcW w:w="5386" w:type="dxa"/>
            <w:vAlign w:val="center"/>
          </w:tcPr>
          <w:p>
            <w:pPr>
              <w:pStyle w:val="14"/>
            </w:pPr>
            <w:r>
              <w:t>为全县人民群众购买惠普型保险产品</w:t>
            </w:r>
          </w:p>
        </w:tc>
        <w:tc>
          <w:tcPr>
            <w:tcW w:w="2268" w:type="dxa"/>
            <w:vAlign w:val="center"/>
          </w:tcPr>
          <w:p>
            <w:pPr>
              <w:pStyle w:val="14"/>
            </w:pPr>
            <w:r>
              <w:t>6元</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事故赔偿和累计限额</w:t>
            </w:r>
          </w:p>
        </w:tc>
        <w:tc>
          <w:tcPr>
            <w:tcW w:w="5386" w:type="dxa"/>
            <w:vAlign w:val="center"/>
          </w:tcPr>
          <w:p>
            <w:pPr>
              <w:pStyle w:val="14"/>
            </w:pPr>
            <w:r>
              <w:t>保险条款中人身伤残或死亡赔偿</w:t>
            </w:r>
          </w:p>
        </w:tc>
        <w:tc>
          <w:tcPr>
            <w:tcW w:w="2268" w:type="dxa"/>
            <w:vAlign w:val="center"/>
          </w:tcPr>
          <w:p>
            <w:pPr>
              <w:pStyle w:val="14"/>
            </w:pPr>
            <w:r>
              <w:t>1300万元</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全县人民群众满意度</w:t>
            </w:r>
          </w:p>
        </w:tc>
        <w:tc>
          <w:tcPr>
            <w:tcW w:w="5386" w:type="dxa"/>
            <w:vAlign w:val="center"/>
          </w:tcPr>
          <w:p>
            <w:pPr>
              <w:pStyle w:val="14"/>
            </w:pPr>
            <w:r>
              <w:t>通过为全县人民群众购买保险，保障人民家庭财产和人身安全</w:t>
            </w:r>
          </w:p>
        </w:tc>
        <w:tc>
          <w:tcPr>
            <w:tcW w:w="2268" w:type="dxa"/>
            <w:vAlign w:val="center"/>
          </w:tcPr>
          <w:p>
            <w:pPr>
              <w:pStyle w:val="14"/>
            </w:pPr>
            <w:r>
              <w:t>有所提高</w:t>
            </w:r>
          </w:p>
        </w:tc>
        <w:tc>
          <w:tcPr>
            <w:tcW w:w="1276" w:type="dxa"/>
            <w:vAlign w:val="center"/>
          </w:tcPr>
          <w:p>
            <w:pPr>
              <w:pStyle w:val="14"/>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人民群众中满意和较满意的</w:t>
            </w:r>
          </w:p>
        </w:tc>
        <w:tc>
          <w:tcPr>
            <w:tcW w:w="2268" w:type="dxa"/>
            <w:vAlign w:val="center"/>
          </w:tcPr>
          <w:p>
            <w:pPr>
              <w:pStyle w:val="14"/>
            </w:pPr>
            <w:r>
              <w:t>≥95百分比</w:t>
            </w:r>
          </w:p>
        </w:tc>
        <w:tc>
          <w:tcPr>
            <w:tcW w:w="1276" w:type="dxa"/>
            <w:vAlign w:val="center"/>
          </w:tcPr>
          <w:p>
            <w:pPr>
              <w:pStyle w:val="14"/>
            </w:pPr>
            <w:r>
              <w:t>人民群众中满意和较满意的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562成安县政法委</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成安县政法委（含所属单位）上年末固定资产金额为</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562001成安县政法委(本级)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jc w:val="center"/>
              <w:rPr>
                <w:rFonts w:ascii="方正书宋_GBK" w:hAnsi="方正书宋_GBK" w:eastAsia="方正书宋_GBK" w:cs="方正书宋_GBK"/>
                <w:kern w:val="2"/>
                <w:sz w:val="21"/>
                <w:szCs w:val="24"/>
                <w:lang w:val="en-US" w:eastAsia="zh-CN" w:bidi="ar-SA"/>
              </w:rPr>
            </w:pPr>
            <w:r>
              <w:rPr>
                <w:rFonts w:hint="eastAsia"/>
              </w:rPr>
              <w:t>资产总额</w:t>
            </w:r>
          </w:p>
        </w:tc>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w:t>
            </w:r>
          </w:p>
        </w:tc>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ind w:firstLine="0" w:firstLineChars="0"/>
              <w:jc w:val="center"/>
              <w:rPr>
                <w:rFonts w:hint="eastAsia" w:ascii="仿宋" w:hAnsi="仿宋" w:eastAsia="仿宋" w:cs="仿宋"/>
                <w:kern w:val="0"/>
                <w:sz w:val="32"/>
                <w:szCs w:val="32"/>
                <w:lang w:val="en-US" w:eastAsia="zh-CN" w:bidi="ar-SA"/>
              </w:rPr>
            </w:pPr>
            <w:r>
              <w:rPr>
                <w:rFonts w:hint="eastAsia"/>
              </w:rPr>
              <w:t>1、房屋（平方米）</w:t>
            </w:r>
          </w:p>
        </w:tc>
        <w:tc>
          <w:tcPr>
            <w:tcW w:w="4933"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4933" w:type="dxa"/>
            <w:vAlign w:val="center"/>
          </w:tcPr>
          <w:p>
            <w:pPr>
              <w:pStyle w:val="13"/>
              <w:ind w:firstLine="0" w:firstLineChars="0"/>
              <w:jc w:val="center"/>
              <w:rPr>
                <w:rFonts w:hint="eastAsia" w:ascii="仿宋" w:hAnsi="仿宋" w:eastAsia="仿宋" w:cs="仿宋"/>
                <w:kern w:val="0"/>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其中：办公用房（平方米）</w:t>
            </w:r>
          </w:p>
        </w:tc>
        <w:tc>
          <w:tcPr>
            <w:tcW w:w="4933" w:type="dxa"/>
            <w:vAlign w:val="center"/>
          </w:tcPr>
          <w:p>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2、车辆（台、辆）</w:t>
            </w:r>
          </w:p>
        </w:tc>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w:t>
            </w:r>
          </w:p>
        </w:tc>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3、单价在50万元以上的设备</w:t>
            </w:r>
          </w:p>
        </w:tc>
        <w:tc>
          <w:tcPr>
            <w:tcW w:w="4933" w:type="dxa"/>
            <w:vAlign w:val="center"/>
          </w:tcPr>
          <w:p>
            <w:pPr>
              <w:pStyle w:val="15"/>
              <w:ind w:firstLine="0" w:firstLineChars="0"/>
              <w:jc w:val="center"/>
              <w:rPr>
                <w:rFonts w:hint="eastAsia" w:ascii="仿宋" w:hAnsi="仿宋" w:eastAsia="仿宋" w:cs="仿宋"/>
                <w:kern w:val="0"/>
                <w:sz w:val="32"/>
                <w:szCs w:val="32"/>
                <w:lang w:val="en-US" w:eastAsia="zh-CN" w:bidi="ar-SA"/>
              </w:rPr>
            </w:pPr>
          </w:p>
        </w:tc>
        <w:tc>
          <w:tcPr>
            <w:tcW w:w="4933" w:type="dxa"/>
            <w:vAlign w:val="center"/>
          </w:tcPr>
          <w:p>
            <w:pPr>
              <w:pStyle w:val="13"/>
              <w:ind w:firstLine="0" w:firstLineChars="0"/>
              <w:jc w:val="center"/>
              <w:rPr>
                <w:rFonts w:hint="eastAsia" w:ascii="仿宋" w:hAnsi="仿宋" w:eastAsia="仿宋" w:cs="仿宋"/>
                <w:kern w:val="0"/>
                <w:sz w:val="32"/>
                <w:szCs w:val="32"/>
                <w:lang w:val="en-US" w:eastAsia="zh-CN" w:bidi="ar-SA"/>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ZDYyMzY3NDdhZTFkNGY4YTFmZTNhNGIzZDU0N2UifQ=="/>
  </w:docVars>
  <w:rsids>
    <w:rsidRoot w:val="00000000"/>
    <w:rsid w:val="06E21639"/>
    <w:rsid w:val="09573DC8"/>
    <w:rsid w:val="0D6A2699"/>
    <w:rsid w:val="0E5E2435"/>
    <w:rsid w:val="1FD32F07"/>
    <w:rsid w:val="2E371675"/>
    <w:rsid w:val="32253D65"/>
    <w:rsid w:val="343B0F52"/>
    <w:rsid w:val="3DBF4370"/>
    <w:rsid w:val="42E72311"/>
    <w:rsid w:val="48E73651"/>
    <w:rsid w:val="4DE80F7C"/>
    <w:rsid w:val="4FF6443B"/>
    <w:rsid w:val="54FB3A70"/>
    <w:rsid w:val="56B768B9"/>
    <w:rsid w:val="5C34538D"/>
    <w:rsid w:val="6621369A"/>
    <w:rsid w:val="6FC807FC"/>
    <w:rsid w:val="73277678"/>
    <w:rsid w:val="7D6F2271"/>
    <w:rsid w:val="7DC31CF5"/>
    <w:rsid w:val="7EC34F75"/>
    <w:rsid w:val="7F3E4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2024-02-23T17:25:00Z</dcterms:created>
  <dc:creator>lenovo</dc:creator>
  <cp:lastModifiedBy>Administrator</cp:lastModifiedBy>
  <dcterms:modified xsi:type="dcterms:W3CDTF">2024-03-21T03:47:13Z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3F91DC0604334F8594FDD99EF5349731_12</vt:lpwstr>
  </property>
</Properties>
</file>