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01"/>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pPr>
        <w:pStyle w:val="2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2</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3</w:t>
      </w:r>
    </w:p>
    <w:p>
      <w:pPr>
        <w:pStyle w:val="2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3</w:t>
      </w:r>
    </w:p>
    <w:p>
      <w:pPr>
        <w:pStyle w:val="2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3</w:t>
      </w:r>
    </w:p>
    <w:p>
      <w:pPr>
        <w:pStyle w:val="2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3</w:t>
      </w:r>
    </w:p>
    <w:p>
      <w:pPr>
        <w:pStyle w:val="2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eastAsia"/>
          <w:lang w:val="en-US" w:eastAsia="zh-CN"/>
        </w:rPr>
        <w:t>1</w:t>
      </w:r>
      <w:r>
        <w:fldChar w:fldCharType="end"/>
      </w:r>
      <w:r>
        <w:rPr>
          <w:rFonts w:hint="eastAsia"/>
          <w:lang w:val="en-US" w:eastAsia="zh-CN"/>
        </w:rPr>
        <w:t>4</w:t>
      </w:r>
    </w:p>
    <w:p>
      <w:pPr>
        <w:pStyle w:val="2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1</w:t>
      </w:r>
      <w:r>
        <w:fldChar w:fldCharType="end"/>
      </w:r>
      <w:r>
        <w:rPr>
          <w:rFonts w:hint="eastAsia"/>
          <w:lang w:val="en-US" w:eastAsia="zh-CN"/>
        </w:rPr>
        <w:t>6</w:t>
      </w:r>
    </w:p>
    <w:p>
      <w:pPr>
        <w:pStyle w:val="2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1</w:t>
      </w:r>
      <w:r>
        <w:fldChar w:fldCharType="end"/>
      </w:r>
      <w:r>
        <w:rPr>
          <w:rFonts w:hint="eastAsia"/>
          <w:lang w:val="en-US" w:eastAsia="zh-CN"/>
        </w:rPr>
        <w:t>6</w:t>
      </w:r>
    </w:p>
    <w:p>
      <w:pPr>
        <w:pStyle w:val="24"/>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fldChar w:fldCharType="begin"/>
      </w:r>
      <w:r>
        <w:instrText xml:space="preserve">PAGEREF _Toc_3_3_0000000019 \h</w:instrText>
      </w:r>
      <w:r>
        <w:fldChar w:fldCharType="separate"/>
      </w:r>
      <w:r>
        <w:t>1</w:t>
      </w:r>
      <w:r>
        <w:rPr>
          <w:rFonts w:hint="eastAsia"/>
          <w:lang w:val="en-US" w:eastAsia="zh-CN"/>
        </w:rPr>
        <w:t>7</w:t>
      </w:r>
      <w:r>
        <w:fldChar w:fldCharType="end"/>
      </w:r>
      <w:r>
        <w:fldChar w:fldCharType="end"/>
      </w:r>
    </w:p>
    <w:p>
      <w:pPr>
        <w:pStyle w:val="2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1</w:t>
      </w:r>
      <w:r>
        <w:fldChar w:fldCharType="end"/>
      </w:r>
      <w:r>
        <w:rPr>
          <w:rFonts w:hint="eastAsia"/>
          <w:lang w:val="en-US" w:eastAsia="zh-CN"/>
        </w:rPr>
        <w:t>8</w:t>
      </w:r>
    </w:p>
    <w:p>
      <w:pPr>
        <w:sectPr>
          <w:pgSz w:w="16840" w:h="11900" w:orient="landscape"/>
          <w:pgMar w:top="1587" w:right="1134" w:bottom="1361" w:left="1134" w:header="720" w:footer="720" w:gutter="0"/>
          <w:pgNumType w:start="1"/>
          <w:cols w:space="720" w:num="1"/>
        </w:sectPr>
      </w:pPr>
      <w:r>
        <w:fldChar w:fldCharType="end"/>
      </w:r>
    </w:p>
    <w:p>
      <w:pPr>
        <w:jc w:val="center"/>
        <w:outlineLvl w:val="3"/>
      </w:pPr>
      <w:r>
        <w:rPr>
          <w:rFonts w:ascii="方正小标宋_GBK" w:hAnsi="方正小标宋_GBK" w:eastAsia="方正小标宋_GBK" w:cs="方正小标宋_GBK"/>
          <w:color w:val="000000"/>
          <w:sz w:val="44"/>
        </w:rPr>
        <w:t>一、成安县机关事务管理局（本级）收支预算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430001成安县机关事务管理局（本级）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571.17</w:t>
            </w:r>
          </w:p>
        </w:tc>
        <w:tc>
          <w:tcPr>
            <w:tcW w:w="4535" w:type="dxa"/>
            <w:vAlign w:val="center"/>
          </w:tcPr>
          <w:p>
            <w:pPr>
              <w:pStyle w:val="13"/>
            </w:pPr>
            <w:r>
              <w:t>一、一般公共服务支出</w:t>
            </w:r>
          </w:p>
        </w:tc>
        <w:tc>
          <w:tcPr>
            <w:tcW w:w="2126" w:type="dxa"/>
            <w:vAlign w:val="center"/>
          </w:tcPr>
          <w:p>
            <w:pPr>
              <w:pStyle w:val="12"/>
            </w:pPr>
            <w:r>
              <w:t>534.19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571.17</w:t>
            </w:r>
          </w:p>
        </w:tc>
        <w:tc>
          <w:tcPr>
            <w:tcW w:w="4535" w:type="dxa"/>
            <w:vAlign w:val="center"/>
          </w:tcPr>
          <w:p>
            <w:pPr>
              <w:pStyle w:val="15"/>
            </w:pPr>
            <w:r>
              <w:t>本年支出合计</w:t>
            </w:r>
          </w:p>
        </w:tc>
        <w:tc>
          <w:tcPr>
            <w:tcW w:w="2126" w:type="dxa"/>
            <w:vAlign w:val="center"/>
          </w:tcPr>
          <w:p>
            <w:pPr>
              <w:pStyle w:val="16"/>
            </w:pPr>
            <w:r>
              <w:t>571.17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571.17</w:t>
            </w:r>
          </w:p>
        </w:tc>
        <w:tc>
          <w:tcPr>
            <w:tcW w:w="4535" w:type="dxa"/>
            <w:vAlign w:val="center"/>
          </w:tcPr>
          <w:p>
            <w:pPr>
              <w:pStyle w:val="15"/>
            </w:pPr>
            <w:r>
              <w:t>支出总计</w:t>
            </w:r>
          </w:p>
        </w:tc>
        <w:tc>
          <w:tcPr>
            <w:tcW w:w="2126" w:type="dxa"/>
            <w:vAlign w:val="center"/>
          </w:tcPr>
          <w:p>
            <w:pPr>
              <w:pStyle w:val="16"/>
            </w:pPr>
            <w:r>
              <w:t>571.17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430001成安县机关事务管理局（本级）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571.17</w:t>
            </w:r>
          </w:p>
        </w:tc>
        <w:tc>
          <w:tcPr>
            <w:tcW w:w="1134" w:type="dxa"/>
            <w:vAlign w:val="center"/>
          </w:tcPr>
          <w:p>
            <w:pPr>
              <w:pStyle w:val="16"/>
            </w:pPr>
            <w:r>
              <w:t>571.17</w:t>
            </w:r>
          </w:p>
        </w:tc>
        <w:tc>
          <w:tcPr>
            <w:tcW w:w="1134" w:type="dxa"/>
            <w:vAlign w:val="center"/>
          </w:tcPr>
          <w:p>
            <w:pPr>
              <w:pStyle w:val="16"/>
            </w:pPr>
            <w:r>
              <w:t>571.17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534.19</w:t>
            </w:r>
          </w:p>
        </w:tc>
        <w:tc>
          <w:tcPr>
            <w:tcW w:w="1134" w:type="dxa"/>
            <w:vAlign w:val="center"/>
          </w:tcPr>
          <w:p>
            <w:pPr>
              <w:pStyle w:val="12"/>
            </w:pPr>
            <w:r>
              <w:t>534.19</w:t>
            </w:r>
          </w:p>
        </w:tc>
        <w:tc>
          <w:tcPr>
            <w:tcW w:w="1134" w:type="dxa"/>
            <w:vAlign w:val="center"/>
          </w:tcPr>
          <w:p>
            <w:pPr>
              <w:pStyle w:val="12"/>
            </w:pPr>
            <w:r>
              <w:t>534.19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534.19</w:t>
            </w:r>
          </w:p>
        </w:tc>
        <w:tc>
          <w:tcPr>
            <w:tcW w:w="1134" w:type="dxa"/>
            <w:vAlign w:val="center"/>
          </w:tcPr>
          <w:p>
            <w:pPr>
              <w:pStyle w:val="12"/>
            </w:pPr>
            <w:r>
              <w:t>534.19</w:t>
            </w:r>
          </w:p>
        </w:tc>
        <w:tc>
          <w:tcPr>
            <w:tcW w:w="1134" w:type="dxa"/>
            <w:vAlign w:val="center"/>
          </w:tcPr>
          <w:p>
            <w:pPr>
              <w:pStyle w:val="12"/>
            </w:pPr>
            <w:r>
              <w:t>534.19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534.19</w:t>
            </w:r>
          </w:p>
        </w:tc>
        <w:tc>
          <w:tcPr>
            <w:tcW w:w="1134" w:type="dxa"/>
            <w:vAlign w:val="center"/>
          </w:tcPr>
          <w:p>
            <w:pPr>
              <w:pStyle w:val="12"/>
            </w:pPr>
            <w:r>
              <w:t>534.19</w:t>
            </w:r>
          </w:p>
        </w:tc>
        <w:tc>
          <w:tcPr>
            <w:tcW w:w="1134" w:type="dxa"/>
            <w:vAlign w:val="center"/>
          </w:tcPr>
          <w:p>
            <w:pPr>
              <w:pStyle w:val="12"/>
            </w:pPr>
            <w:r>
              <w:t>534.19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24.62</w:t>
            </w:r>
          </w:p>
        </w:tc>
        <w:tc>
          <w:tcPr>
            <w:tcW w:w="1134" w:type="dxa"/>
            <w:vAlign w:val="center"/>
          </w:tcPr>
          <w:p>
            <w:pPr>
              <w:pStyle w:val="12"/>
            </w:pPr>
            <w:r>
              <w:t>24.62</w:t>
            </w:r>
          </w:p>
        </w:tc>
        <w:tc>
          <w:tcPr>
            <w:tcW w:w="1134" w:type="dxa"/>
            <w:vAlign w:val="center"/>
          </w:tcPr>
          <w:p>
            <w:pPr>
              <w:pStyle w:val="12"/>
            </w:pPr>
            <w:r>
              <w:t>24.62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24.62</w:t>
            </w:r>
          </w:p>
        </w:tc>
        <w:tc>
          <w:tcPr>
            <w:tcW w:w="1134" w:type="dxa"/>
            <w:vAlign w:val="center"/>
          </w:tcPr>
          <w:p>
            <w:pPr>
              <w:pStyle w:val="12"/>
            </w:pPr>
            <w:r>
              <w:t>24.62</w:t>
            </w:r>
          </w:p>
        </w:tc>
        <w:tc>
          <w:tcPr>
            <w:tcW w:w="1134" w:type="dxa"/>
            <w:vAlign w:val="center"/>
          </w:tcPr>
          <w:p>
            <w:pPr>
              <w:pStyle w:val="12"/>
            </w:pPr>
            <w:r>
              <w:t>24.62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1.82</w:t>
            </w:r>
          </w:p>
        </w:tc>
        <w:tc>
          <w:tcPr>
            <w:tcW w:w="1134" w:type="dxa"/>
            <w:vAlign w:val="center"/>
          </w:tcPr>
          <w:p>
            <w:pPr>
              <w:pStyle w:val="12"/>
            </w:pPr>
            <w:r>
              <w:t>1.82</w:t>
            </w:r>
          </w:p>
        </w:tc>
        <w:tc>
          <w:tcPr>
            <w:tcW w:w="1134" w:type="dxa"/>
            <w:vAlign w:val="center"/>
          </w:tcPr>
          <w:p>
            <w:pPr>
              <w:pStyle w:val="12"/>
            </w:pPr>
            <w:r>
              <w:t>1.82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22.80</w:t>
            </w:r>
          </w:p>
        </w:tc>
        <w:tc>
          <w:tcPr>
            <w:tcW w:w="1134" w:type="dxa"/>
            <w:vAlign w:val="center"/>
          </w:tcPr>
          <w:p>
            <w:pPr>
              <w:pStyle w:val="12"/>
            </w:pPr>
            <w:r>
              <w:t>22.80</w:t>
            </w:r>
          </w:p>
        </w:tc>
        <w:tc>
          <w:tcPr>
            <w:tcW w:w="1134" w:type="dxa"/>
            <w:vAlign w:val="center"/>
          </w:tcPr>
          <w:p>
            <w:pPr>
              <w:pStyle w:val="12"/>
            </w:pPr>
            <w:r>
              <w:t>22.80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5.46</w:t>
            </w:r>
          </w:p>
        </w:tc>
        <w:tc>
          <w:tcPr>
            <w:tcW w:w="1134" w:type="dxa"/>
            <w:vAlign w:val="center"/>
          </w:tcPr>
          <w:p>
            <w:pPr>
              <w:pStyle w:val="12"/>
            </w:pPr>
            <w:r>
              <w:t>5.46</w:t>
            </w:r>
          </w:p>
        </w:tc>
        <w:tc>
          <w:tcPr>
            <w:tcW w:w="1134" w:type="dxa"/>
            <w:vAlign w:val="center"/>
          </w:tcPr>
          <w:p>
            <w:pPr>
              <w:pStyle w:val="12"/>
            </w:pPr>
            <w:r>
              <w:t>5.46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5.46</w:t>
            </w:r>
          </w:p>
        </w:tc>
        <w:tc>
          <w:tcPr>
            <w:tcW w:w="1134" w:type="dxa"/>
            <w:vAlign w:val="center"/>
          </w:tcPr>
          <w:p>
            <w:pPr>
              <w:pStyle w:val="12"/>
            </w:pPr>
            <w:r>
              <w:t>5.46</w:t>
            </w:r>
          </w:p>
        </w:tc>
        <w:tc>
          <w:tcPr>
            <w:tcW w:w="1134" w:type="dxa"/>
            <w:vAlign w:val="center"/>
          </w:tcPr>
          <w:p>
            <w:pPr>
              <w:pStyle w:val="12"/>
            </w:pPr>
            <w:r>
              <w:t>5.46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5.46</w:t>
            </w:r>
          </w:p>
        </w:tc>
        <w:tc>
          <w:tcPr>
            <w:tcW w:w="1134" w:type="dxa"/>
            <w:vAlign w:val="center"/>
          </w:tcPr>
          <w:p>
            <w:pPr>
              <w:pStyle w:val="12"/>
            </w:pPr>
            <w:r>
              <w:t>5.46</w:t>
            </w:r>
          </w:p>
        </w:tc>
        <w:tc>
          <w:tcPr>
            <w:tcW w:w="1134" w:type="dxa"/>
            <w:vAlign w:val="center"/>
          </w:tcPr>
          <w:p>
            <w:pPr>
              <w:pStyle w:val="12"/>
            </w:pPr>
            <w:r>
              <w:t>5.46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6.90</w:t>
            </w:r>
          </w:p>
        </w:tc>
        <w:tc>
          <w:tcPr>
            <w:tcW w:w="1134" w:type="dxa"/>
            <w:vAlign w:val="center"/>
          </w:tcPr>
          <w:p>
            <w:pPr>
              <w:pStyle w:val="12"/>
            </w:pPr>
            <w:r>
              <w:t>6.90</w:t>
            </w:r>
          </w:p>
        </w:tc>
        <w:tc>
          <w:tcPr>
            <w:tcW w:w="1134" w:type="dxa"/>
            <w:vAlign w:val="center"/>
          </w:tcPr>
          <w:p>
            <w:pPr>
              <w:pStyle w:val="12"/>
            </w:pPr>
            <w:r>
              <w:t>6.90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6.90</w:t>
            </w:r>
          </w:p>
        </w:tc>
        <w:tc>
          <w:tcPr>
            <w:tcW w:w="1134" w:type="dxa"/>
            <w:vAlign w:val="center"/>
          </w:tcPr>
          <w:p>
            <w:pPr>
              <w:pStyle w:val="12"/>
            </w:pPr>
            <w:r>
              <w:t>6.90</w:t>
            </w:r>
          </w:p>
        </w:tc>
        <w:tc>
          <w:tcPr>
            <w:tcW w:w="1134" w:type="dxa"/>
            <w:vAlign w:val="center"/>
          </w:tcPr>
          <w:p>
            <w:pPr>
              <w:pStyle w:val="12"/>
            </w:pPr>
            <w:r>
              <w:t>6.90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6.90</w:t>
            </w:r>
          </w:p>
        </w:tc>
        <w:tc>
          <w:tcPr>
            <w:tcW w:w="1134" w:type="dxa"/>
            <w:vAlign w:val="center"/>
          </w:tcPr>
          <w:p>
            <w:pPr>
              <w:pStyle w:val="12"/>
            </w:pPr>
            <w:r>
              <w:t>6.90</w:t>
            </w:r>
          </w:p>
        </w:tc>
        <w:tc>
          <w:tcPr>
            <w:tcW w:w="1134" w:type="dxa"/>
            <w:vAlign w:val="center"/>
          </w:tcPr>
          <w:p>
            <w:pPr>
              <w:pStyle w:val="12"/>
            </w:pPr>
            <w:r>
              <w:t>6.90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430001成安县机关事务管理局（本级）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571.17</w:t>
            </w:r>
          </w:p>
        </w:tc>
        <w:tc>
          <w:tcPr>
            <w:tcW w:w="1361" w:type="dxa"/>
            <w:vAlign w:val="center"/>
          </w:tcPr>
          <w:p>
            <w:pPr>
              <w:pStyle w:val="16"/>
            </w:pPr>
            <w:r>
              <w:t>571.17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534.19</w:t>
            </w:r>
          </w:p>
        </w:tc>
        <w:tc>
          <w:tcPr>
            <w:tcW w:w="1361" w:type="dxa"/>
            <w:vAlign w:val="center"/>
          </w:tcPr>
          <w:p>
            <w:pPr>
              <w:pStyle w:val="12"/>
            </w:pPr>
            <w:r>
              <w:t>534.19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534.19</w:t>
            </w:r>
          </w:p>
        </w:tc>
        <w:tc>
          <w:tcPr>
            <w:tcW w:w="1361" w:type="dxa"/>
            <w:vAlign w:val="center"/>
          </w:tcPr>
          <w:p>
            <w:pPr>
              <w:pStyle w:val="12"/>
            </w:pPr>
            <w:r>
              <w:t>534.19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534.19</w:t>
            </w:r>
          </w:p>
        </w:tc>
        <w:tc>
          <w:tcPr>
            <w:tcW w:w="1361" w:type="dxa"/>
            <w:vAlign w:val="center"/>
          </w:tcPr>
          <w:p>
            <w:pPr>
              <w:pStyle w:val="12"/>
            </w:pPr>
            <w:r>
              <w:t>534.19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24.62</w:t>
            </w:r>
          </w:p>
        </w:tc>
        <w:tc>
          <w:tcPr>
            <w:tcW w:w="1361" w:type="dxa"/>
            <w:vAlign w:val="center"/>
          </w:tcPr>
          <w:p>
            <w:pPr>
              <w:pStyle w:val="12"/>
            </w:pPr>
            <w:r>
              <w:t>24.62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24.62</w:t>
            </w:r>
          </w:p>
        </w:tc>
        <w:tc>
          <w:tcPr>
            <w:tcW w:w="1361" w:type="dxa"/>
            <w:vAlign w:val="center"/>
          </w:tcPr>
          <w:p>
            <w:pPr>
              <w:pStyle w:val="12"/>
            </w:pPr>
            <w:r>
              <w:t>24.62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1.82</w:t>
            </w:r>
          </w:p>
        </w:tc>
        <w:tc>
          <w:tcPr>
            <w:tcW w:w="1361" w:type="dxa"/>
            <w:vAlign w:val="center"/>
          </w:tcPr>
          <w:p>
            <w:pPr>
              <w:pStyle w:val="12"/>
            </w:pPr>
            <w:r>
              <w:t>1.82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22.80</w:t>
            </w:r>
          </w:p>
        </w:tc>
        <w:tc>
          <w:tcPr>
            <w:tcW w:w="1361" w:type="dxa"/>
            <w:vAlign w:val="center"/>
          </w:tcPr>
          <w:p>
            <w:pPr>
              <w:pStyle w:val="12"/>
            </w:pPr>
            <w:r>
              <w:t>22.80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5.46</w:t>
            </w:r>
          </w:p>
        </w:tc>
        <w:tc>
          <w:tcPr>
            <w:tcW w:w="1361" w:type="dxa"/>
            <w:vAlign w:val="center"/>
          </w:tcPr>
          <w:p>
            <w:pPr>
              <w:pStyle w:val="12"/>
            </w:pPr>
            <w:r>
              <w:t>5.46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5.46</w:t>
            </w:r>
          </w:p>
        </w:tc>
        <w:tc>
          <w:tcPr>
            <w:tcW w:w="1361" w:type="dxa"/>
            <w:vAlign w:val="center"/>
          </w:tcPr>
          <w:p>
            <w:pPr>
              <w:pStyle w:val="12"/>
            </w:pPr>
            <w:r>
              <w:t>5.46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5.46</w:t>
            </w:r>
          </w:p>
        </w:tc>
        <w:tc>
          <w:tcPr>
            <w:tcW w:w="1361" w:type="dxa"/>
            <w:vAlign w:val="center"/>
          </w:tcPr>
          <w:p>
            <w:pPr>
              <w:pStyle w:val="12"/>
            </w:pPr>
            <w:r>
              <w:t>5.46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6.90</w:t>
            </w:r>
          </w:p>
        </w:tc>
        <w:tc>
          <w:tcPr>
            <w:tcW w:w="1361" w:type="dxa"/>
            <w:vAlign w:val="center"/>
          </w:tcPr>
          <w:p>
            <w:pPr>
              <w:pStyle w:val="12"/>
            </w:pPr>
            <w:r>
              <w:t>6.90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6.90</w:t>
            </w:r>
          </w:p>
        </w:tc>
        <w:tc>
          <w:tcPr>
            <w:tcW w:w="1361" w:type="dxa"/>
            <w:vAlign w:val="center"/>
          </w:tcPr>
          <w:p>
            <w:pPr>
              <w:pStyle w:val="12"/>
            </w:pPr>
            <w:r>
              <w:t>6.90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6.90</w:t>
            </w:r>
          </w:p>
        </w:tc>
        <w:tc>
          <w:tcPr>
            <w:tcW w:w="1361" w:type="dxa"/>
            <w:vAlign w:val="center"/>
          </w:tcPr>
          <w:p>
            <w:pPr>
              <w:pStyle w:val="12"/>
            </w:pPr>
            <w:r>
              <w:t>6.90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430001成安县机关事务管理局（本级）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571.17</w:t>
            </w:r>
          </w:p>
        </w:tc>
        <w:tc>
          <w:tcPr>
            <w:tcW w:w="3402" w:type="dxa"/>
            <w:vAlign w:val="center"/>
          </w:tcPr>
          <w:p>
            <w:pPr>
              <w:pStyle w:val="13"/>
            </w:pPr>
            <w:r>
              <w:t>一、一般公共服务支出</w:t>
            </w:r>
          </w:p>
        </w:tc>
        <w:tc>
          <w:tcPr>
            <w:tcW w:w="1474" w:type="dxa"/>
            <w:vAlign w:val="center"/>
          </w:tcPr>
          <w:p>
            <w:pPr>
              <w:pStyle w:val="12"/>
            </w:pPr>
            <w:r>
              <w:t>534.19</w:t>
            </w:r>
          </w:p>
        </w:tc>
        <w:tc>
          <w:tcPr>
            <w:tcW w:w="1474" w:type="dxa"/>
            <w:vAlign w:val="center"/>
          </w:tcPr>
          <w:p>
            <w:pPr>
              <w:pStyle w:val="12"/>
            </w:pPr>
            <w:r>
              <w:t>534.19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24.62</w:t>
            </w:r>
          </w:p>
        </w:tc>
        <w:tc>
          <w:tcPr>
            <w:tcW w:w="1474" w:type="dxa"/>
            <w:vAlign w:val="center"/>
          </w:tcPr>
          <w:p>
            <w:pPr>
              <w:pStyle w:val="12"/>
            </w:pPr>
            <w:r>
              <w:t>24.62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5.46</w:t>
            </w:r>
          </w:p>
        </w:tc>
        <w:tc>
          <w:tcPr>
            <w:tcW w:w="1474" w:type="dxa"/>
            <w:vAlign w:val="center"/>
          </w:tcPr>
          <w:p>
            <w:pPr>
              <w:pStyle w:val="12"/>
            </w:pPr>
            <w:r>
              <w:t>5.46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6.90</w:t>
            </w:r>
          </w:p>
        </w:tc>
        <w:tc>
          <w:tcPr>
            <w:tcW w:w="1474" w:type="dxa"/>
            <w:vAlign w:val="center"/>
          </w:tcPr>
          <w:p>
            <w:pPr>
              <w:pStyle w:val="12"/>
            </w:pPr>
            <w:r>
              <w:t>6.90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571.17</w:t>
            </w:r>
          </w:p>
        </w:tc>
        <w:tc>
          <w:tcPr>
            <w:tcW w:w="3402" w:type="dxa"/>
            <w:vAlign w:val="center"/>
          </w:tcPr>
          <w:p>
            <w:pPr>
              <w:pStyle w:val="15"/>
            </w:pPr>
            <w:r>
              <w:t>本年支出合计</w:t>
            </w:r>
          </w:p>
        </w:tc>
        <w:tc>
          <w:tcPr>
            <w:tcW w:w="1474" w:type="dxa"/>
            <w:vAlign w:val="center"/>
          </w:tcPr>
          <w:p>
            <w:pPr>
              <w:pStyle w:val="16"/>
            </w:pPr>
            <w:r>
              <w:t>571.17</w:t>
            </w:r>
          </w:p>
        </w:tc>
        <w:tc>
          <w:tcPr>
            <w:tcW w:w="1474" w:type="dxa"/>
            <w:vAlign w:val="center"/>
          </w:tcPr>
          <w:p>
            <w:pPr>
              <w:pStyle w:val="16"/>
            </w:pPr>
            <w:r>
              <w:t>571.17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571.17</w:t>
            </w:r>
          </w:p>
        </w:tc>
        <w:tc>
          <w:tcPr>
            <w:tcW w:w="3402" w:type="dxa"/>
            <w:vAlign w:val="center"/>
          </w:tcPr>
          <w:p>
            <w:pPr>
              <w:pStyle w:val="15"/>
            </w:pPr>
            <w:r>
              <w:t>支出总计</w:t>
            </w:r>
          </w:p>
        </w:tc>
        <w:tc>
          <w:tcPr>
            <w:tcW w:w="1474" w:type="dxa"/>
            <w:vAlign w:val="center"/>
          </w:tcPr>
          <w:p>
            <w:pPr>
              <w:pStyle w:val="16"/>
            </w:pPr>
            <w:r>
              <w:t>571.17</w:t>
            </w:r>
          </w:p>
        </w:tc>
        <w:tc>
          <w:tcPr>
            <w:tcW w:w="1474" w:type="dxa"/>
            <w:vAlign w:val="center"/>
          </w:tcPr>
          <w:p>
            <w:pPr>
              <w:pStyle w:val="16"/>
            </w:pPr>
            <w:r>
              <w:t>571.17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430001成安县机关事务管理局（本级）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571.17</w:t>
            </w:r>
          </w:p>
        </w:tc>
        <w:tc>
          <w:tcPr>
            <w:tcW w:w="2551" w:type="dxa"/>
            <w:vAlign w:val="center"/>
          </w:tcPr>
          <w:p>
            <w:pPr>
              <w:pStyle w:val="16"/>
            </w:pPr>
            <w:r>
              <w:t>571.17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534.19</w:t>
            </w:r>
          </w:p>
        </w:tc>
        <w:tc>
          <w:tcPr>
            <w:tcW w:w="2551" w:type="dxa"/>
            <w:vAlign w:val="center"/>
          </w:tcPr>
          <w:p>
            <w:pPr>
              <w:pStyle w:val="12"/>
            </w:pPr>
            <w:r>
              <w:t>534.19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534.19</w:t>
            </w:r>
          </w:p>
        </w:tc>
        <w:tc>
          <w:tcPr>
            <w:tcW w:w="2551" w:type="dxa"/>
            <w:vAlign w:val="center"/>
          </w:tcPr>
          <w:p>
            <w:pPr>
              <w:pStyle w:val="12"/>
            </w:pPr>
            <w:r>
              <w:t>534.19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534.19</w:t>
            </w:r>
          </w:p>
        </w:tc>
        <w:tc>
          <w:tcPr>
            <w:tcW w:w="2551" w:type="dxa"/>
            <w:vAlign w:val="center"/>
          </w:tcPr>
          <w:p>
            <w:pPr>
              <w:pStyle w:val="12"/>
            </w:pPr>
            <w:r>
              <w:t>534.19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24.62</w:t>
            </w:r>
          </w:p>
        </w:tc>
        <w:tc>
          <w:tcPr>
            <w:tcW w:w="2551" w:type="dxa"/>
            <w:vAlign w:val="center"/>
          </w:tcPr>
          <w:p>
            <w:pPr>
              <w:pStyle w:val="12"/>
            </w:pPr>
            <w:r>
              <w:t>24.62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24.62</w:t>
            </w:r>
          </w:p>
        </w:tc>
        <w:tc>
          <w:tcPr>
            <w:tcW w:w="2551" w:type="dxa"/>
            <w:vAlign w:val="center"/>
          </w:tcPr>
          <w:p>
            <w:pPr>
              <w:pStyle w:val="12"/>
            </w:pPr>
            <w:r>
              <w:t>24.62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1.82</w:t>
            </w:r>
          </w:p>
        </w:tc>
        <w:tc>
          <w:tcPr>
            <w:tcW w:w="2551" w:type="dxa"/>
            <w:vAlign w:val="center"/>
          </w:tcPr>
          <w:p>
            <w:pPr>
              <w:pStyle w:val="12"/>
            </w:pPr>
            <w:r>
              <w:t>1.82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22.80</w:t>
            </w:r>
          </w:p>
        </w:tc>
        <w:tc>
          <w:tcPr>
            <w:tcW w:w="2551" w:type="dxa"/>
            <w:vAlign w:val="center"/>
          </w:tcPr>
          <w:p>
            <w:pPr>
              <w:pStyle w:val="12"/>
            </w:pPr>
            <w:r>
              <w:t>22.80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5.46</w:t>
            </w:r>
          </w:p>
        </w:tc>
        <w:tc>
          <w:tcPr>
            <w:tcW w:w="2551" w:type="dxa"/>
            <w:vAlign w:val="center"/>
          </w:tcPr>
          <w:p>
            <w:pPr>
              <w:pStyle w:val="12"/>
            </w:pPr>
            <w:r>
              <w:t>5.46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5.46</w:t>
            </w:r>
          </w:p>
        </w:tc>
        <w:tc>
          <w:tcPr>
            <w:tcW w:w="2551" w:type="dxa"/>
            <w:vAlign w:val="center"/>
          </w:tcPr>
          <w:p>
            <w:pPr>
              <w:pStyle w:val="12"/>
            </w:pPr>
            <w:r>
              <w:t>5.46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5.46</w:t>
            </w:r>
          </w:p>
        </w:tc>
        <w:tc>
          <w:tcPr>
            <w:tcW w:w="2551" w:type="dxa"/>
            <w:vAlign w:val="center"/>
          </w:tcPr>
          <w:p>
            <w:pPr>
              <w:pStyle w:val="12"/>
            </w:pPr>
            <w:r>
              <w:t>5.46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6.90</w:t>
            </w:r>
          </w:p>
        </w:tc>
        <w:tc>
          <w:tcPr>
            <w:tcW w:w="2551" w:type="dxa"/>
            <w:vAlign w:val="center"/>
          </w:tcPr>
          <w:p>
            <w:pPr>
              <w:pStyle w:val="12"/>
            </w:pPr>
            <w:r>
              <w:t>6.90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6.90</w:t>
            </w:r>
          </w:p>
        </w:tc>
        <w:tc>
          <w:tcPr>
            <w:tcW w:w="2551" w:type="dxa"/>
            <w:vAlign w:val="center"/>
          </w:tcPr>
          <w:p>
            <w:pPr>
              <w:pStyle w:val="12"/>
            </w:pPr>
            <w:r>
              <w:t>6.90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6.90</w:t>
            </w:r>
          </w:p>
        </w:tc>
        <w:tc>
          <w:tcPr>
            <w:tcW w:w="2551" w:type="dxa"/>
            <w:vAlign w:val="center"/>
          </w:tcPr>
          <w:p>
            <w:pPr>
              <w:pStyle w:val="12"/>
            </w:pPr>
            <w:r>
              <w:t>6.90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430001成安县机关事务管理局（本级）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571.17</w:t>
            </w:r>
          </w:p>
        </w:tc>
        <w:tc>
          <w:tcPr>
            <w:tcW w:w="2551" w:type="dxa"/>
            <w:vAlign w:val="center"/>
          </w:tcPr>
          <w:p>
            <w:pPr>
              <w:pStyle w:val="16"/>
            </w:pPr>
            <w:r>
              <w:t>222.93</w:t>
            </w:r>
          </w:p>
        </w:tc>
        <w:tc>
          <w:tcPr>
            <w:tcW w:w="2551" w:type="dxa"/>
            <w:vAlign w:val="center"/>
          </w:tcPr>
          <w:p>
            <w:pPr>
              <w:pStyle w:val="16"/>
            </w:pPr>
            <w:r>
              <w:t>348.24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221.11</w:t>
            </w:r>
          </w:p>
        </w:tc>
        <w:tc>
          <w:tcPr>
            <w:tcW w:w="2551" w:type="dxa"/>
            <w:vAlign w:val="center"/>
          </w:tcPr>
          <w:p>
            <w:pPr>
              <w:pStyle w:val="12"/>
            </w:pPr>
            <w:r>
              <w:t>221.11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175.86</w:t>
            </w:r>
          </w:p>
        </w:tc>
        <w:tc>
          <w:tcPr>
            <w:tcW w:w="2551" w:type="dxa"/>
            <w:vAlign w:val="center"/>
          </w:tcPr>
          <w:p>
            <w:pPr>
              <w:pStyle w:val="12"/>
            </w:pPr>
            <w:r>
              <w:t>175.86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4.05</w:t>
            </w:r>
          </w:p>
        </w:tc>
        <w:tc>
          <w:tcPr>
            <w:tcW w:w="2551" w:type="dxa"/>
            <w:vAlign w:val="center"/>
          </w:tcPr>
          <w:p>
            <w:pPr>
              <w:pStyle w:val="12"/>
            </w:pPr>
            <w:r>
              <w:t>4.05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5.04</w:t>
            </w:r>
          </w:p>
        </w:tc>
        <w:tc>
          <w:tcPr>
            <w:tcW w:w="2551" w:type="dxa"/>
            <w:vAlign w:val="center"/>
          </w:tcPr>
          <w:p>
            <w:pPr>
              <w:pStyle w:val="12"/>
            </w:pPr>
            <w:r>
              <w:t>5.04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15.80</w:t>
            </w:r>
          </w:p>
        </w:tc>
        <w:tc>
          <w:tcPr>
            <w:tcW w:w="2551" w:type="dxa"/>
            <w:vAlign w:val="center"/>
          </w:tcPr>
          <w:p>
            <w:pPr>
              <w:pStyle w:val="12"/>
            </w:pPr>
            <w:r>
              <w:t>15.80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5.20</w:t>
            </w:r>
          </w:p>
        </w:tc>
        <w:tc>
          <w:tcPr>
            <w:tcW w:w="2551" w:type="dxa"/>
            <w:vAlign w:val="center"/>
          </w:tcPr>
          <w:p>
            <w:pPr>
              <w:pStyle w:val="12"/>
            </w:pPr>
            <w:r>
              <w:t>5.20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1.26</w:t>
            </w:r>
          </w:p>
        </w:tc>
        <w:tc>
          <w:tcPr>
            <w:tcW w:w="2551" w:type="dxa"/>
            <w:vAlign w:val="center"/>
          </w:tcPr>
          <w:p>
            <w:pPr>
              <w:pStyle w:val="12"/>
            </w:pPr>
            <w:r>
              <w:t>1.26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6.90</w:t>
            </w:r>
          </w:p>
        </w:tc>
        <w:tc>
          <w:tcPr>
            <w:tcW w:w="2551" w:type="dxa"/>
            <w:vAlign w:val="center"/>
          </w:tcPr>
          <w:p>
            <w:pPr>
              <w:pStyle w:val="12"/>
            </w:pPr>
            <w:r>
              <w:t>6.90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7.00</w:t>
            </w:r>
          </w:p>
        </w:tc>
        <w:tc>
          <w:tcPr>
            <w:tcW w:w="2551" w:type="dxa"/>
            <w:vAlign w:val="center"/>
          </w:tcPr>
          <w:p>
            <w:pPr>
              <w:pStyle w:val="12"/>
            </w:pPr>
            <w:r>
              <w:t>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348.24</w:t>
            </w:r>
          </w:p>
        </w:tc>
        <w:tc>
          <w:tcPr>
            <w:tcW w:w="2551" w:type="dxa"/>
            <w:vAlign w:val="center"/>
          </w:tcPr>
          <w:p>
            <w:pPr>
              <w:pStyle w:val="12"/>
            </w:pPr>
          </w:p>
        </w:tc>
        <w:tc>
          <w:tcPr>
            <w:tcW w:w="2551" w:type="dxa"/>
            <w:vAlign w:val="center"/>
          </w:tcPr>
          <w:p>
            <w:pPr>
              <w:pStyle w:val="12"/>
            </w:pPr>
            <w:r>
              <w:t>348.24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65.00</w:t>
            </w:r>
          </w:p>
        </w:tc>
        <w:tc>
          <w:tcPr>
            <w:tcW w:w="2551" w:type="dxa"/>
            <w:vAlign w:val="center"/>
          </w:tcPr>
          <w:p>
            <w:pPr>
              <w:pStyle w:val="12"/>
            </w:pPr>
          </w:p>
        </w:tc>
        <w:tc>
          <w:tcPr>
            <w:tcW w:w="2551" w:type="dxa"/>
            <w:vAlign w:val="center"/>
          </w:tcPr>
          <w:p>
            <w:pPr>
              <w:pStyle w:val="12"/>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283.24</w:t>
            </w:r>
          </w:p>
        </w:tc>
        <w:tc>
          <w:tcPr>
            <w:tcW w:w="2551" w:type="dxa"/>
            <w:vAlign w:val="center"/>
          </w:tcPr>
          <w:p>
            <w:pPr>
              <w:pStyle w:val="12"/>
            </w:pPr>
          </w:p>
        </w:tc>
        <w:tc>
          <w:tcPr>
            <w:tcW w:w="2551" w:type="dxa"/>
            <w:vAlign w:val="center"/>
          </w:tcPr>
          <w:p>
            <w:pPr>
              <w:pStyle w:val="12"/>
            </w:pPr>
            <w:r>
              <w:t>283.24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1.82</w:t>
            </w:r>
          </w:p>
        </w:tc>
        <w:tc>
          <w:tcPr>
            <w:tcW w:w="2551" w:type="dxa"/>
            <w:vAlign w:val="center"/>
          </w:tcPr>
          <w:p>
            <w:pPr>
              <w:pStyle w:val="12"/>
            </w:pPr>
            <w:r>
              <w:t>1.82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1.82</w:t>
            </w:r>
          </w:p>
        </w:tc>
        <w:tc>
          <w:tcPr>
            <w:tcW w:w="2551" w:type="dxa"/>
            <w:vAlign w:val="center"/>
          </w:tcPr>
          <w:p>
            <w:pPr>
              <w:pStyle w:val="12"/>
            </w:pPr>
            <w:r>
              <w:t>1.82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430001成安县机关事务管理局（本级）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430001成安县机关事务管理局（本级）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3060" w:firstLineChars="1275"/>
        <w:jc w:val="left"/>
        <w:outlineLvl w:val="9"/>
      </w:pPr>
    </w:p>
    <w:p>
      <w:pPr>
        <w:spacing w:before="0" w:after="0" w:line="240" w:lineRule="auto"/>
        <w:ind w:firstLine="420"/>
        <w:jc w:val="left"/>
        <w:outlineLvl w:val="9"/>
        <w:rPr>
          <w:rFonts w:hint="default" w:eastAsia="宋体"/>
          <w:lang w:val="en-US" w:eastAsia="zh-CN"/>
        </w:rPr>
      </w:pPr>
      <w:r>
        <w:rPr>
          <w:rFonts w:hint="eastAsia" w:eastAsia="宋体"/>
          <w:lang w:val="en-US" w:eastAsia="zh-CN"/>
        </w:rPr>
        <w:t xml:space="preserve">                                  430:成安县机关事务管理局                               2024年度                                      单位：万元</w:t>
      </w:r>
    </w:p>
    <w:tbl>
      <w:tblPr>
        <w:tblStyle w:val="5"/>
        <w:tblpPr w:leftFromText="180" w:rightFromText="180" w:vertAnchor="text" w:horzAnchor="page" w:tblpX="3742" w:tblpY="11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643" w:type="dxa"/>
          </w:tcPr>
          <w:p/>
        </w:tc>
        <w:tc>
          <w:tcPr>
            <w:tcW w:w="1643" w:type="dxa"/>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2"/>
              <w:rPr>
                <w:lang w:eastAsia="uk-UA"/>
              </w:rPr>
            </w:pPr>
          </w:p>
        </w:tc>
        <w:tc>
          <w:tcPr>
            <w:tcW w:w="1643" w:type="dxa"/>
            <w:vAlign w:val="center"/>
          </w:tcPr>
          <w:p>
            <w:pPr>
              <w:pStyle w:val="12"/>
              <w:rPr>
                <w:lang w:eastAsia="uk-UA"/>
              </w:rPr>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rPr>
                <w:lang w:eastAsia="uk-UA"/>
              </w:rPr>
            </w:pPr>
          </w:p>
        </w:tc>
        <w:tc>
          <w:tcPr>
            <w:tcW w:w="1643" w:type="dxa"/>
            <w:vAlign w:val="center"/>
          </w:tcPr>
          <w:p>
            <w:pPr>
              <w:pStyle w:val="12"/>
              <w:rPr>
                <w:lang w:eastAsia="uk-UA"/>
              </w:rPr>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1"/>
      </w:pPr>
    </w:p>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成安县农业农村局2024年部门预算信息公开情况说明第一部分  成安县机关事务管理局2024年部门预算信</w:t>
      </w:r>
    </w:p>
    <w:p>
      <w:pPr>
        <w:jc w:val="center"/>
        <w:outlineLvl w:val="4"/>
      </w:pPr>
      <w:r>
        <w:rPr>
          <w:rFonts w:ascii="方正小标宋_GBK" w:hAnsi="方正小标宋_GBK" w:eastAsia="方正小标宋_GBK" w:cs="方正小标宋_GBK"/>
          <w:color w:val="000000"/>
          <w:sz w:val="44"/>
        </w:rPr>
        <w:t>成安县机关事务管理局（本级）2024年单位预算信息公开情况说明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按照《中华人民共和国预算法》、《地方预决算公开操作规程》和《关于进一步推进预算公开工作的实施意见》规定，现将成安县机关事务管理局（本级）2024年单位预算公开如下：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rPr>
          <w:rFonts w:hint="eastAsia"/>
          <w:lang w:eastAsia="zh-CN"/>
        </w:rPr>
        <w:t>1、</w:t>
      </w:r>
      <w:r>
        <w:rPr>
          <w:rFonts w:hint="eastAsia"/>
        </w:rPr>
        <w:t>负责县委、县政府机关大院水、电、暖的供应及维修；</w:t>
      </w:r>
    </w:p>
    <w:p>
      <w:pPr>
        <w:pStyle w:val="27"/>
      </w:pPr>
      <w:r>
        <w:rPr>
          <w:rFonts w:hint="eastAsia"/>
          <w:lang w:eastAsia="zh-CN"/>
        </w:rPr>
        <w:t>2、</w:t>
      </w:r>
      <w:r>
        <w:rPr>
          <w:rFonts w:hint="eastAsia"/>
        </w:rPr>
        <w:t>负责县委、县政府机关大院的环卫、绿化等工作；</w:t>
      </w:r>
    </w:p>
    <w:p>
      <w:pPr>
        <w:pStyle w:val="27"/>
      </w:pPr>
      <w:r>
        <w:rPr>
          <w:rFonts w:hint="eastAsia"/>
          <w:lang w:eastAsia="zh-CN"/>
        </w:rPr>
        <w:t>3、</w:t>
      </w:r>
      <w:r>
        <w:rPr>
          <w:rFonts w:hint="eastAsia"/>
        </w:rPr>
        <w:t>负责县委、县政府机关大院的安全保卫及消防工作；</w:t>
      </w:r>
    </w:p>
    <w:p>
      <w:pPr>
        <w:pStyle w:val="27"/>
      </w:pPr>
      <w:r>
        <w:rPr>
          <w:rFonts w:hint="eastAsia"/>
          <w:lang w:eastAsia="zh-CN"/>
        </w:rPr>
        <w:t>4、</w:t>
      </w:r>
      <w:r>
        <w:rPr>
          <w:rFonts w:hint="eastAsia"/>
        </w:rPr>
        <w:t>负责县委、县政府机关食堂饭菜质量及卫生的工作。</w:t>
      </w: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成安县机关事务管理局（本级）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numPr>
          <w:ilvl w:val="0"/>
          <w:numId w:val="0"/>
        </w:numPr>
        <w:spacing w:line="500" w:lineRule="exact"/>
        <w:ind w:firstLine="560" w:firstLineChars="20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按照预算管理有关规定，目前我省部门预算的编制实行综合预算管理，即全部收入和支出都反映在预算中。成安县机关事务管理局机关及所属事业单位的收支包含在部门预算中。</w:t>
      </w:r>
    </w:p>
    <w:p>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pPr>
        <w:spacing w:line="500" w:lineRule="exact"/>
        <w:ind w:firstLine="560"/>
        <w:rPr>
          <w:rFonts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年预算收入</w:t>
      </w:r>
      <w:r>
        <w:rPr>
          <w:rFonts w:hint="eastAsia" w:eastAsia="方正仿宋_GBK"/>
          <w:color w:val="000000"/>
          <w:sz w:val="28"/>
          <w:lang w:eastAsia="zh-CN"/>
        </w:rPr>
        <w:t>571.</w:t>
      </w:r>
      <w:r>
        <w:rPr>
          <w:rFonts w:hint="eastAsia" w:eastAsia="方正仿宋_GBK"/>
          <w:color w:val="000000"/>
          <w:sz w:val="28"/>
          <w:lang w:val="en-US" w:eastAsia="zh-CN"/>
        </w:rPr>
        <w:t>17</w:t>
      </w:r>
      <w:r>
        <w:rPr>
          <w:rFonts w:hint="eastAsia" w:eastAsia="方正仿宋_GBK"/>
          <w:color w:val="000000"/>
          <w:sz w:val="28"/>
        </w:rPr>
        <w:t>万元，其中：一般公共预算收入</w:t>
      </w:r>
      <w:r>
        <w:rPr>
          <w:rFonts w:hint="eastAsia" w:eastAsia="方正仿宋_GBK"/>
          <w:color w:val="000000"/>
          <w:sz w:val="28"/>
          <w:lang w:eastAsia="zh-CN"/>
        </w:rPr>
        <w:t>571.</w:t>
      </w:r>
      <w:r>
        <w:rPr>
          <w:rFonts w:hint="eastAsia" w:eastAsia="方正仿宋_GBK"/>
          <w:color w:val="000000"/>
          <w:sz w:val="28"/>
          <w:lang w:val="en-US" w:eastAsia="zh-CN"/>
        </w:rPr>
        <w:t>17</w:t>
      </w:r>
      <w:r>
        <w:rPr>
          <w:rFonts w:hint="eastAsia" w:eastAsia="方正仿宋_GBK"/>
          <w:color w:val="000000"/>
          <w:sz w:val="28"/>
        </w:rPr>
        <w:t>万元，政府性基金收入0万元，国有资本经营收入0万元，事业收入0万元，其他收入0万元。</w:t>
      </w:r>
    </w:p>
    <w:p>
      <w:pPr>
        <w:spacing w:line="500" w:lineRule="exact"/>
        <w:ind w:firstLine="56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年支出预算</w:t>
      </w:r>
      <w:r>
        <w:rPr>
          <w:rFonts w:hint="eastAsia" w:eastAsia="方正仿宋_GBK"/>
          <w:color w:val="000000"/>
          <w:sz w:val="28"/>
          <w:lang w:eastAsia="zh-CN"/>
        </w:rPr>
        <w:t>571.</w:t>
      </w:r>
      <w:r>
        <w:rPr>
          <w:rFonts w:hint="eastAsia" w:eastAsia="方正仿宋_GBK"/>
          <w:color w:val="000000"/>
          <w:sz w:val="28"/>
          <w:lang w:val="en-US" w:eastAsia="zh-CN"/>
        </w:rPr>
        <w:t>17</w:t>
      </w:r>
      <w:r>
        <w:rPr>
          <w:rFonts w:hint="eastAsia" w:eastAsia="方正仿宋_GBK"/>
          <w:color w:val="000000"/>
          <w:sz w:val="28"/>
        </w:rPr>
        <w:t>万元，其中基本支出</w:t>
      </w:r>
      <w:r>
        <w:rPr>
          <w:rFonts w:hint="eastAsia" w:eastAsia="方正仿宋_GBK"/>
          <w:color w:val="000000"/>
          <w:sz w:val="28"/>
          <w:lang w:val="en-US" w:eastAsia="zh-CN"/>
        </w:rPr>
        <w:t>571.17</w:t>
      </w:r>
      <w:r>
        <w:rPr>
          <w:rFonts w:hint="eastAsia" w:eastAsia="方正仿宋_GBK"/>
          <w:color w:val="000000"/>
          <w:sz w:val="28"/>
        </w:rPr>
        <w:t>万元,主要是日常公用经费</w:t>
      </w:r>
      <w:r>
        <w:rPr>
          <w:rFonts w:hint="eastAsia" w:eastAsia="方正仿宋_GBK"/>
          <w:color w:val="000000"/>
          <w:sz w:val="28"/>
          <w:lang w:eastAsia="zh-CN"/>
        </w:rPr>
        <w:t>和人员经费</w:t>
      </w:r>
      <w:r>
        <w:rPr>
          <w:rFonts w:hint="eastAsia" w:eastAsia="方正仿宋_GBK"/>
          <w:color w:val="000000"/>
          <w:sz w:val="28"/>
        </w:rPr>
        <w:t>;项目支出</w:t>
      </w:r>
      <w:r>
        <w:rPr>
          <w:rFonts w:hint="eastAsia" w:eastAsia="方正仿宋_GBK"/>
          <w:color w:val="000000"/>
          <w:sz w:val="28"/>
          <w:lang w:val="en-US" w:eastAsia="zh-CN"/>
        </w:rPr>
        <w:t>0</w:t>
      </w:r>
      <w:r>
        <w:rPr>
          <w:rFonts w:hint="eastAsia" w:eastAsia="方正仿宋_GBK"/>
          <w:color w:val="000000"/>
          <w:sz w:val="28"/>
        </w:rPr>
        <w:t>万元。</w:t>
      </w:r>
    </w:p>
    <w:p>
      <w:pPr>
        <w:spacing w:line="500" w:lineRule="exact"/>
        <w:ind w:firstLine="560"/>
        <w:rPr>
          <w:rFonts w:eastAsia="方正仿宋_GBK"/>
          <w:color w:val="000000"/>
          <w:sz w:val="28"/>
        </w:rPr>
      </w:pPr>
      <w:r>
        <w:rPr>
          <w:rFonts w:eastAsia="方正仿宋_GBK"/>
          <w:color w:val="000000"/>
          <w:sz w:val="28"/>
        </w:rPr>
        <w:t>3</w:t>
      </w:r>
      <w:r>
        <w:rPr>
          <w:rFonts w:hint="eastAsia" w:eastAsia="方正仿宋_GBK"/>
          <w:color w:val="000000"/>
          <w:sz w:val="28"/>
        </w:rPr>
        <w:t>、比上年增减变化情况</w:t>
      </w:r>
    </w:p>
    <w:p>
      <w:pPr>
        <w:spacing w:before="10" w:after="10" w:line="360" w:lineRule="auto"/>
        <w:ind w:firstLine="640"/>
        <w:jc w:val="left"/>
        <w:outlineLvl w:val="2"/>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年预算收支安排</w:t>
      </w:r>
      <w:r>
        <w:rPr>
          <w:rFonts w:hint="eastAsia" w:eastAsia="方正仿宋_GBK"/>
          <w:color w:val="000000"/>
          <w:sz w:val="28"/>
          <w:lang w:val="en-US" w:eastAsia="zh-CN"/>
        </w:rPr>
        <w:t>571.17</w:t>
      </w:r>
      <w:r>
        <w:rPr>
          <w:rFonts w:hint="eastAsia" w:eastAsia="方正仿宋_GBK"/>
          <w:color w:val="000000"/>
          <w:sz w:val="28"/>
        </w:rPr>
        <w:t>万元，较</w:t>
      </w:r>
      <w:r>
        <w:rPr>
          <w:rFonts w:hint="eastAsia" w:eastAsia="方正仿宋_GBK"/>
          <w:color w:val="000000"/>
          <w:sz w:val="28"/>
          <w:lang w:eastAsia="zh-CN"/>
        </w:rPr>
        <w:t>202</w:t>
      </w:r>
      <w:r>
        <w:rPr>
          <w:rFonts w:hint="eastAsia" w:eastAsia="方正仿宋_GBK"/>
          <w:color w:val="000000"/>
          <w:sz w:val="28"/>
          <w:lang w:val="en-US" w:eastAsia="zh-CN"/>
        </w:rPr>
        <w:t>3</w:t>
      </w:r>
      <w:r>
        <w:rPr>
          <w:rFonts w:hint="eastAsia" w:eastAsia="方正仿宋_GBK"/>
          <w:color w:val="000000"/>
          <w:sz w:val="28"/>
        </w:rPr>
        <w:t>年预算</w:t>
      </w:r>
      <w:r>
        <w:rPr>
          <w:rFonts w:hint="eastAsia" w:eastAsia="方正仿宋_GBK"/>
          <w:color w:val="000000"/>
          <w:sz w:val="28"/>
          <w:lang w:eastAsia="zh-CN"/>
        </w:rPr>
        <w:t>增加了</w:t>
      </w:r>
      <w:r>
        <w:rPr>
          <w:rFonts w:hint="eastAsia" w:eastAsia="方正仿宋_GBK"/>
          <w:color w:val="000000"/>
          <w:sz w:val="28"/>
          <w:lang w:val="en-US" w:eastAsia="zh-CN"/>
        </w:rPr>
        <w:t>88.94</w:t>
      </w:r>
      <w:r>
        <w:rPr>
          <w:rFonts w:hint="eastAsia" w:eastAsia="方正仿宋_GBK"/>
          <w:color w:val="000000"/>
          <w:sz w:val="28"/>
        </w:rPr>
        <w:t>万元，其中：</w:t>
      </w:r>
      <w:r>
        <w:rPr>
          <w:rFonts w:hint="eastAsia" w:eastAsia="方正仿宋_GBK"/>
          <w:color w:val="000000"/>
          <w:sz w:val="28"/>
          <w:lang w:eastAsia="zh-CN"/>
        </w:rPr>
        <w:t>基本</w:t>
      </w:r>
      <w:r>
        <w:rPr>
          <w:rFonts w:hint="eastAsia" w:eastAsia="方正仿宋_GBK"/>
          <w:color w:val="000000"/>
          <w:sz w:val="28"/>
        </w:rPr>
        <w:t>支出增加</w:t>
      </w:r>
      <w:r>
        <w:rPr>
          <w:rFonts w:hint="eastAsia" w:eastAsia="方正仿宋_GBK"/>
          <w:color w:val="000000"/>
          <w:sz w:val="28"/>
          <w:lang w:val="en-US" w:eastAsia="zh-CN"/>
        </w:rPr>
        <w:t>88.94</w:t>
      </w:r>
      <w:r>
        <w:rPr>
          <w:rFonts w:hint="eastAsia" w:eastAsia="方正仿宋_GBK"/>
          <w:color w:val="000000"/>
          <w:sz w:val="28"/>
        </w:rPr>
        <w:t>万元，主要是机关大院修缮</w:t>
      </w:r>
      <w:r>
        <w:rPr>
          <w:rFonts w:hint="eastAsia" w:eastAsia="方正仿宋_GBK"/>
          <w:color w:val="000000"/>
          <w:sz w:val="28"/>
          <w:lang w:eastAsia="zh-CN"/>
        </w:rPr>
        <w:t>和人员调整工资</w:t>
      </w:r>
      <w:r>
        <w:rPr>
          <w:rFonts w:hint="eastAsia" w:eastAsia="方正仿宋_GBK"/>
          <w:color w:val="000000"/>
          <w:sz w:val="28"/>
        </w:rPr>
        <w:t>等</w:t>
      </w:r>
      <w:r>
        <w:rPr>
          <w:rFonts w:hint="eastAsia" w:eastAsia="方正仿宋_GBK"/>
          <w:color w:val="000000"/>
          <w:sz w:val="28"/>
          <w:lang w:eastAsia="zh-CN"/>
        </w:rPr>
        <w:t>的</w:t>
      </w:r>
      <w:r>
        <w:rPr>
          <w:rFonts w:hint="eastAsia" w:eastAsia="方正仿宋_GBK"/>
          <w:color w:val="000000"/>
          <w:sz w:val="28"/>
        </w:rPr>
        <w:t>增加。</w:t>
      </w:r>
    </w:p>
    <w:p>
      <w:pPr>
        <w:spacing w:before="10" w:after="10" w:line="360" w:lineRule="auto"/>
        <w:ind w:firstLine="640"/>
        <w:jc w:val="left"/>
        <w:outlineLvl w:val="2"/>
      </w:pPr>
      <w:bookmarkStart w:id="1" w:name="_Toc_3_3_0000000012"/>
      <w:r>
        <w:rPr>
          <w:rFonts w:ascii="黑体" w:hAnsi="黑体" w:eastAsia="黑体" w:cs="黑体"/>
          <w:color w:val="000000"/>
          <w:sz w:val="32"/>
        </w:rPr>
        <w:t>三、机关运行经费安排情况</w:t>
      </w:r>
      <w:bookmarkEnd w:id="1"/>
    </w:p>
    <w:p>
      <w:pPr>
        <w:pStyle w:val="28"/>
      </w:pPr>
      <w:r>
        <w:rPr>
          <w:rFonts w:hint="eastAsia"/>
        </w:rPr>
        <w:t>机关运行经费共计安排</w:t>
      </w:r>
      <w:r>
        <w:rPr>
          <w:rFonts w:hint="eastAsia"/>
          <w:lang w:val="en-US" w:eastAsia="zh-CN"/>
        </w:rPr>
        <w:t>348.24</w:t>
      </w:r>
      <w:r>
        <w:rPr>
          <w:rFonts w:hint="eastAsia"/>
        </w:rPr>
        <w:t>万元，主要用于办公区的日常维修、办公用房水电费、邮电费、办公用房取暖费、办公用房物业管理费等日常运行支出。</w:t>
      </w:r>
    </w:p>
    <w:p>
      <w:pPr>
        <w:spacing w:before="10" w:after="10" w:line="360" w:lineRule="auto"/>
        <w:ind w:firstLine="640"/>
        <w:jc w:val="left"/>
        <w:outlineLvl w:val="2"/>
        <w:rPr>
          <w:rFonts w:ascii="黑体" w:hAnsi="黑体" w:eastAsia="黑体" w:cs="黑体"/>
          <w:color w:val="000000"/>
          <w:sz w:val="32"/>
        </w:rPr>
      </w:pPr>
      <w:bookmarkStart w:id="2" w:name="_Toc_3_3_0000000013"/>
      <w:r>
        <w:rPr>
          <w:rFonts w:ascii="黑体" w:hAnsi="黑体" w:eastAsia="黑体" w:cs="黑体"/>
          <w:color w:val="000000"/>
          <w:sz w:val="32"/>
        </w:rPr>
        <w:t>四、财政拨款“三公”经费预算情况及增减变化原因</w:t>
      </w:r>
      <w:bookmarkEnd w:id="2"/>
    </w:p>
    <w:p>
      <w:pPr>
        <w:spacing w:before="10" w:after="10" w:line="360" w:lineRule="auto"/>
        <w:ind w:firstLine="640"/>
        <w:jc w:val="left"/>
        <w:outlineLvl w:val="2"/>
        <w:rPr>
          <w:rFonts w:hint="eastAsia" w:ascii="仿宋_GB2312" w:hAnsi="仿宋_GB2312" w:eastAsia="仿宋_GB2312" w:cs="仿宋_GB2312"/>
          <w:color w:val="000000"/>
          <w:sz w:val="32"/>
        </w:rPr>
      </w:pPr>
      <w:r>
        <w:rPr>
          <w:rFonts w:hint="eastAsia" w:ascii="仿宋_GB2312" w:hAnsi="仿宋_GB2312" w:eastAsia="仿宋_GB2312" w:cs="仿宋_GB2312"/>
          <w:lang w:eastAsia="zh-CN"/>
        </w:rPr>
        <w:t>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年度“三公”预算支出</w:t>
      </w:r>
      <w:r>
        <w:rPr>
          <w:rFonts w:hint="eastAsia" w:ascii="仿宋_GB2312" w:hAnsi="仿宋_GB2312" w:eastAsia="仿宋_GB2312" w:cs="仿宋_GB2312"/>
          <w:lang w:eastAsia="zh-CN"/>
        </w:rPr>
        <w:t>0</w:t>
      </w:r>
      <w:r>
        <w:rPr>
          <w:rFonts w:hint="eastAsia" w:ascii="仿宋_GB2312" w:hAnsi="仿宋_GB2312" w:eastAsia="仿宋_GB2312" w:cs="仿宋_GB2312"/>
        </w:rPr>
        <w:t>万元，其中，因公出国（境）费0元，安排公务用车维护费</w:t>
      </w:r>
      <w:r>
        <w:rPr>
          <w:rFonts w:hint="eastAsia" w:ascii="仿宋_GB2312" w:hAnsi="仿宋_GB2312" w:eastAsia="仿宋_GB2312" w:cs="仿宋_GB2312"/>
          <w:lang w:eastAsia="zh-CN"/>
        </w:rPr>
        <w:t>0</w:t>
      </w:r>
      <w:r>
        <w:rPr>
          <w:rFonts w:hint="eastAsia" w:ascii="仿宋_GB2312" w:hAnsi="仿宋_GB2312" w:eastAsia="仿宋_GB2312" w:cs="仿宋_GB2312"/>
        </w:rPr>
        <w:t>元，（其中公务用车购置费0元，公务用车运行维护费</w:t>
      </w:r>
      <w:r>
        <w:rPr>
          <w:rFonts w:hint="eastAsia" w:ascii="仿宋_GB2312" w:hAnsi="仿宋_GB2312" w:eastAsia="仿宋_GB2312" w:cs="仿宋_GB2312"/>
          <w:lang w:eastAsia="zh-CN"/>
        </w:rPr>
        <w:t>0</w:t>
      </w:r>
      <w:r>
        <w:rPr>
          <w:rFonts w:hint="eastAsia" w:ascii="仿宋_GB2312" w:hAnsi="仿宋_GB2312" w:eastAsia="仿宋_GB2312" w:cs="仿宋_GB2312"/>
        </w:rPr>
        <w:t>万元），公务接</w:t>
      </w:r>
      <w:r>
        <w:rPr>
          <w:rFonts w:hint="eastAsia" w:ascii="仿宋_GB2312" w:hAnsi="仿宋_GB2312" w:eastAsia="仿宋_GB2312" w:cs="仿宋_GB2312"/>
          <w:lang w:eastAsia="zh-CN"/>
        </w:rPr>
        <w:t>待</w:t>
      </w:r>
      <w:r>
        <w:rPr>
          <w:rFonts w:hint="eastAsia" w:ascii="仿宋_GB2312" w:hAnsi="仿宋_GB2312" w:eastAsia="仿宋_GB2312" w:cs="仿宋_GB2312"/>
        </w:rPr>
        <w:t>费0万元，</w:t>
      </w:r>
      <w:r>
        <w:rPr>
          <w:rFonts w:hint="eastAsia" w:ascii="仿宋_GB2312" w:hAnsi="仿宋_GB2312" w:eastAsia="仿宋_GB2312" w:cs="仿宋_GB2312"/>
          <w:lang w:eastAsia="zh-CN"/>
        </w:rPr>
        <w:t>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年“三公”经费</w:t>
      </w:r>
      <w:r>
        <w:rPr>
          <w:rFonts w:hint="eastAsia" w:ascii="仿宋_GB2312" w:hAnsi="仿宋_GB2312" w:eastAsia="仿宋_GB2312" w:cs="仿宋_GB2312"/>
          <w:lang w:eastAsia="zh-CN"/>
        </w:rPr>
        <w:t>中</w:t>
      </w:r>
      <w:r>
        <w:rPr>
          <w:rFonts w:hint="eastAsia" w:ascii="仿宋_GB2312" w:hAnsi="仿宋_GB2312" w:eastAsia="仿宋_GB2312" w:cs="仿宋_GB2312"/>
        </w:rPr>
        <w:t>因公出国（境）费</w:t>
      </w:r>
      <w:r>
        <w:rPr>
          <w:rFonts w:hint="eastAsia" w:ascii="仿宋_GB2312" w:hAnsi="仿宋_GB2312" w:eastAsia="仿宋_GB2312" w:cs="仿宋_GB2312"/>
          <w:lang w:eastAsia="zh-CN"/>
        </w:rPr>
        <w:t>与去年持平，</w:t>
      </w:r>
      <w:r>
        <w:rPr>
          <w:rFonts w:hint="eastAsia" w:ascii="仿宋_GB2312" w:hAnsi="仿宋_GB2312" w:eastAsia="仿宋_GB2312" w:cs="仿宋_GB2312"/>
        </w:rPr>
        <w:t>公务用车维护费</w:t>
      </w:r>
      <w:r>
        <w:rPr>
          <w:rFonts w:hint="eastAsia" w:ascii="仿宋_GB2312" w:hAnsi="仿宋_GB2312" w:eastAsia="仿宋_GB2312" w:cs="仿宋_GB2312"/>
          <w:lang w:eastAsia="zh-CN"/>
        </w:rPr>
        <w:t>较上一年减少100%，原因是事业单位公车改革已完成，</w:t>
      </w:r>
      <w:r>
        <w:rPr>
          <w:rFonts w:hint="eastAsia" w:ascii="仿宋_GB2312" w:hAnsi="仿宋_GB2312" w:eastAsia="仿宋_GB2312" w:cs="仿宋_GB2312"/>
        </w:rPr>
        <w:t>公务接</w:t>
      </w:r>
      <w:r>
        <w:rPr>
          <w:rFonts w:hint="eastAsia" w:ascii="仿宋_GB2312" w:hAnsi="仿宋_GB2312" w:eastAsia="仿宋_GB2312" w:cs="仿宋_GB2312"/>
          <w:lang w:eastAsia="zh-CN"/>
        </w:rPr>
        <w:t>待</w:t>
      </w:r>
      <w:r>
        <w:rPr>
          <w:rFonts w:hint="eastAsia" w:ascii="仿宋_GB2312" w:hAnsi="仿宋_GB2312" w:eastAsia="仿宋_GB2312" w:cs="仿宋_GB2312"/>
        </w:rPr>
        <w:t>费</w:t>
      </w:r>
      <w:r>
        <w:rPr>
          <w:rFonts w:hint="eastAsia" w:ascii="仿宋_GB2312" w:hAnsi="仿宋_GB2312" w:eastAsia="仿宋_GB2312" w:cs="仿宋_GB2312"/>
          <w:lang w:eastAsia="zh-CN"/>
        </w:rPr>
        <w:t>与去年持平。</w:t>
      </w:r>
    </w:p>
    <w:p>
      <w:pPr>
        <w:pStyle w:val="29"/>
      </w:pPr>
    </w:p>
    <w:p>
      <w:pPr>
        <w:spacing w:before="10" w:after="10" w:line="360" w:lineRule="auto"/>
        <w:ind w:firstLine="640"/>
        <w:jc w:val="left"/>
        <w:outlineLvl w:val="2"/>
      </w:pPr>
      <w:bookmarkStart w:id="3" w:name="_Toc_3_3_0000000014"/>
      <w:r>
        <w:rPr>
          <w:rFonts w:ascii="黑体" w:hAnsi="黑体" w:eastAsia="黑体" w:cs="黑体"/>
          <w:color w:val="000000"/>
          <w:sz w:val="32"/>
        </w:rPr>
        <w:t>五、</w:t>
      </w:r>
      <w:r>
        <w:rPr>
          <w:rFonts w:hint="eastAsia" w:ascii="黑体" w:hAnsi="黑体" w:eastAsia="黑体" w:cs="黑体"/>
          <w:color w:val="000000"/>
          <w:sz w:val="32"/>
          <w:lang w:eastAsia="zh-CN"/>
        </w:rPr>
        <w:t>单位</w:t>
      </w:r>
      <w:r>
        <w:rPr>
          <w:rFonts w:ascii="黑体" w:hAnsi="黑体" w:eastAsia="黑体" w:cs="黑体"/>
          <w:color w:val="000000"/>
          <w:sz w:val="32"/>
        </w:rPr>
        <w:t>整体绩效目标</w:t>
      </w:r>
      <w:bookmarkEnd w:id="3"/>
    </w:p>
    <w:p>
      <w:pPr>
        <w:spacing w:line="500" w:lineRule="exact"/>
        <w:ind w:firstLine="560"/>
      </w:pPr>
      <w:r>
        <w:rPr>
          <w:rFonts w:eastAsia="方正仿宋_GBK"/>
          <w:color w:val="000000"/>
          <w:sz w:val="28"/>
        </w:rPr>
        <w:t>（一）总体绩效目标</w:t>
      </w:r>
    </w:p>
    <w:p>
      <w:pPr>
        <w:pStyle w:val="30"/>
      </w:pPr>
      <w:r>
        <w:rPr>
          <w:rFonts w:hint="eastAsia"/>
        </w:rPr>
        <w:t>在</w:t>
      </w:r>
      <w:r>
        <w:rPr>
          <w:rFonts w:hint="eastAsia"/>
          <w:lang w:eastAsia="zh-CN"/>
        </w:rPr>
        <w:t>县</w:t>
      </w:r>
      <w:r>
        <w:rPr>
          <w:rFonts w:hint="eastAsia"/>
        </w:rPr>
        <w:t>委、</w:t>
      </w:r>
      <w:r>
        <w:rPr>
          <w:rFonts w:hint="eastAsia"/>
          <w:lang w:eastAsia="zh-CN"/>
        </w:rPr>
        <w:t>县</w:t>
      </w:r>
      <w:r>
        <w:rPr>
          <w:rFonts w:hint="eastAsia"/>
        </w:rPr>
        <w:t>政府的正确领导下，紧紧围绕市政府机关的实际需要，以达到</w:t>
      </w:r>
      <w:r>
        <w:rPr>
          <w:rFonts w:hint="eastAsia"/>
          <w:lang w:eastAsia="zh-CN"/>
        </w:rPr>
        <w:t>县</w:t>
      </w:r>
      <w:r>
        <w:rPr>
          <w:rFonts w:hint="eastAsia"/>
        </w:rPr>
        <w:t>政府领导和机关干部职工的满意为总体目标，坚定不移贯彻机关事务新发展理念，持之以恒坚持市场化社会化方向，以节约型机关建设为主线、以提升服务保障质量和管理运转效能为目标，为</w:t>
      </w:r>
      <w:r>
        <w:rPr>
          <w:rFonts w:hint="eastAsia"/>
          <w:lang w:eastAsia="zh-CN"/>
        </w:rPr>
        <w:t>县</w:t>
      </w:r>
      <w:r>
        <w:rPr>
          <w:rFonts w:hint="eastAsia"/>
        </w:rPr>
        <w:t>政府机关正常运转提供有力的机关事务保障工作。</w:t>
      </w:r>
    </w:p>
    <w:p>
      <w:pPr>
        <w:pStyle w:val="30"/>
      </w:pPr>
    </w:p>
    <w:p>
      <w:pPr>
        <w:spacing w:line="500" w:lineRule="exact"/>
        <w:ind w:firstLine="560"/>
      </w:pPr>
      <w:r>
        <w:rPr>
          <w:rFonts w:eastAsia="方正仿宋_GBK"/>
          <w:color w:val="000000"/>
          <w:sz w:val="28"/>
        </w:rPr>
        <w:t>（二）分项绩效目标</w:t>
      </w:r>
    </w:p>
    <w:p>
      <w:pPr>
        <w:pStyle w:val="31"/>
      </w:pPr>
      <w:r>
        <w:rPr>
          <w:rFonts w:hint="eastAsia"/>
        </w:rPr>
        <w:t>1、做好机关事务管理工作。完成</w:t>
      </w:r>
      <w:r>
        <w:rPr>
          <w:rFonts w:hint="eastAsia"/>
          <w:lang w:eastAsia="zh-CN"/>
        </w:rPr>
        <w:t>县</w:t>
      </w:r>
      <w:r>
        <w:rPr>
          <w:rFonts w:hint="eastAsia"/>
        </w:rPr>
        <w:t>政府机关大院、办公楼辖区内各单位的办公用房的修缮、通信保障、安全保卫及水、电、暖、卫生绿化、环境秩序、生活等后勤保障工作，确保</w:t>
      </w:r>
      <w:r>
        <w:rPr>
          <w:rFonts w:hint="eastAsia"/>
          <w:lang w:eastAsia="zh-CN"/>
        </w:rPr>
        <w:t>县</w:t>
      </w:r>
      <w:r>
        <w:rPr>
          <w:rFonts w:hint="eastAsia"/>
        </w:rPr>
        <w:t>政府机关的正常运转，为</w:t>
      </w:r>
      <w:r>
        <w:rPr>
          <w:rFonts w:hint="eastAsia"/>
          <w:lang w:eastAsia="zh-CN"/>
        </w:rPr>
        <w:t>县</w:t>
      </w:r>
      <w:r>
        <w:rPr>
          <w:rFonts w:hint="eastAsia"/>
        </w:rPr>
        <w:t>政府领导和机关干部职工提供高效的后勤保障。群众满意度达到90%以上。</w:t>
      </w:r>
    </w:p>
    <w:p>
      <w:pPr>
        <w:pStyle w:val="31"/>
      </w:pPr>
      <w:r>
        <w:rPr>
          <w:rFonts w:hint="eastAsia"/>
        </w:rPr>
        <w:t>2、推进公共机构节能工作。会同有关部门制定我市节能规划、规章制度并组织实施，组织开展能耗统计、监测和评价工作。全</w:t>
      </w:r>
      <w:r>
        <w:rPr>
          <w:rFonts w:hint="eastAsia"/>
          <w:lang w:eastAsia="zh-CN"/>
        </w:rPr>
        <w:t>县</w:t>
      </w:r>
      <w:r>
        <w:rPr>
          <w:rFonts w:hint="eastAsia"/>
        </w:rPr>
        <w:t>公共机构人均年标准煤消耗降低2.81%以上。</w:t>
      </w:r>
    </w:p>
    <w:p>
      <w:pPr>
        <w:pStyle w:val="31"/>
      </w:pPr>
      <w:r>
        <w:rPr>
          <w:rFonts w:hint="eastAsia"/>
          <w:lang w:eastAsia="zh-CN"/>
        </w:rPr>
        <w:t>3</w:t>
      </w:r>
      <w:r>
        <w:rPr>
          <w:rFonts w:hint="eastAsia"/>
        </w:rPr>
        <w:t>、推进办公用房精细化管理，贯彻节约、集中和勤俭节约的方针，严格执行党政机关办公用房标准，为政府机关满足办公提供办公用房。全</w:t>
      </w:r>
      <w:r>
        <w:rPr>
          <w:rFonts w:hint="eastAsia"/>
          <w:lang w:eastAsia="zh-CN"/>
        </w:rPr>
        <w:t>县</w:t>
      </w:r>
      <w:r>
        <w:rPr>
          <w:rFonts w:hint="eastAsia"/>
        </w:rPr>
        <w:t>政府机关群众满意度90%以上。</w:t>
      </w:r>
    </w:p>
    <w:p>
      <w:pPr>
        <w:spacing w:line="500" w:lineRule="exact"/>
        <w:ind w:firstLine="560"/>
      </w:pPr>
      <w:r>
        <w:rPr>
          <w:rFonts w:eastAsia="方正仿宋_GBK"/>
          <w:color w:val="000000"/>
          <w:sz w:val="28"/>
        </w:rPr>
        <w:t>（三）工作保障措施</w:t>
      </w:r>
    </w:p>
    <w:p>
      <w:pPr>
        <w:pStyle w:val="32"/>
      </w:pPr>
      <w:r>
        <w:rPr>
          <w:rFonts w:hint="eastAsia"/>
        </w:rPr>
        <w:t>1、加强组织领导，分解职责目标。单位切实履行法人主体责任，项目负责人要负总责、 亲自抓，亲自督办，</w:t>
      </w:r>
      <w:r>
        <w:rPr>
          <w:rFonts w:hint="eastAsia"/>
          <w:lang w:eastAsia="zh-CN"/>
        </w:rPr>
        <w:t>既</w:t>
      </w:r>
      <w:bookmarkStart w:id="6" w:name="_GoBack"/>
      <w:bookmarkEnd w:id="6"/>
      <w:r>
        <w:rPr>
          <w:rFonts w:hint="eastAsia"/>
        </w:rPr>
        <w:t>明确各环节的责任，时间节点，又要统筹各个环节，做到协调有序、相互衔接， 形成合力。</w:t>
      </w:r>
    </w:p>
    <w:p>
      <w:pPr>
        <w:pStyle w:val="32"/>
      </w:pPr>
      <w:r>
        <w:rPr>
          <w:rFonts w:hint="eastAsia"/>
        </w:rPr>
        <w:t>2、加强资金使用监督，确保支付安全。牢固树立依法理财和厉行节约的理念，坚持预算执行进度和财政资金使用的安全性、规范性和有效性并重的原则，在加快项目实施和资金支付进度的同时，认真做好资金支付的监督管理工作，使监督检查工作常态化。</w:t>
      </w:r>
    </w:p>
    <w:p>
      <w:pPr>
        <w:pStyle w:val="32"/>
      </w:pPr>
      <w:r>
        <w:rPr>
          <w:rFonts w:hint="eastAsia"/>
        </w:rPr>
        <w:t>3、加强动态督导，落实全过程监管。进一步完善财务部门总牵头、有关业务处室齐抓共管的工作机制，及时研究涉及预算编制执行的难点和重点问题，全力解决。</w:t>
      </w:r>
    </w:p>
    <w:p>
      <w:pPr>
        <w:spacing w:before="10" w:after="10" w:line="240" w:lineRule="auto"/>
        <w:jc w:val="left"/>
        <w:outlineLvl w:val="2"/>
      </w:pPr>
      <w:bookmarkStart w:id="4" w:name="_Toc_3_3_0000000017"/>
      <w:r>
        <w:rPr>
          <w:rFonts w:hint="eastAsia" w:ascii="黑体" w:hAnsi="黑体" w:eastAsia="黑体" w:cs="黑体"/>
          <w:color w:val="000000"/>
          <w:sz w:val="32"/>
          <w:lang w:eastAsia="zh-CN"/>
        </w:rPr>
        <w:t>六</w:t>
      </w:r>
      <w:r>
        <w:rPr>
          <w:rFonts w:ascii="黑体" w:hAnsi="黑体" w:eastAsia="黑体" w:cs="黑体"/>
          <w:color w:val="000000"/>
          <w:sz w:val="32"/>
        </w:rPr>
        <w:t>、政府采购预算情况</w:t>
      </w:r>
      <w:bookmarkEnd w:id="4"/>
    </w:p>
    <w:p>
      <w:pPr>
        <w:spacing w:before="0" w:after="0" w:line="240" w:lineRule="auto"/>
        <w:ind w:firstLine="5760" w:firstLineChars="1800"/>
        <w:jc w:val="both"/>
        <w:outlineLvl w:val="9"/>
      </w:pPr>
      <w:r>
        <w:rPr>
          <w:rFonts w:hint="eastAsia" w:ascii="黑体" w:hAnsi="黑体" w:eastAsia="黑体" w:cs="黑体"/>
          <w:color w:val="000000"/>
          <w:sz w:val="32"/>
          <w:lang w:eastAsia="zh-CN"/>
        </w:rPr>
        <w:t>单位</w:t>
      </w:r>
      <w:r>
        <w:rPr>
          <w:rFonts w:ascii="黑体" w:hAnsi="黑体" w:eastAsia="黑体" w:cs="黑体"/>
          <w:color w:val="000000"/>
          <w:sz w:val="32"/>
        </w:rPr>
        <w:t>政府采购预算情况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430成安县机关事务管理局</w:t>
            </w:r>
          </w:p>
        </w:tc>
        <w:tc>
          <w:tcPr>
            <w:tcW w:w="7888"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spacing w:line="560" w:lineRule="exact"/>
              <w:jc w:val="center"/>
              <w:rPr>
                <w:rFonts w:ascii="宋体" w:hAnsi="宋体" w:eastAsia="宋体"/>
                <w:bCs/>
                <w:sz w:val="24"/>
                <w:szCs w:val="24"/>
                <w:lang w:val="en-US" w:eastAsia="zh-CN" w:bidi="ar-SA"/>
              </w:rPr>
            </w:pPr>
            <w:r>
              <w:rPr>
                <w:rFonts w:hint="eastAsia" w:ascii="宋体" w:hAnsi="宋体" w:eastAsia="宋体"/>
                <w:bCs/>
                <w:lang w:eastAsia="zh-CN"/>
              </w:rPr>
              <w:t>合计</w:t>
            </w:r>
          </w:p>
        </w:tc>
        <w:tc>
          <w:tcPr>
            <w:tcW w:w="986" w:type="dxa"/>
            <w:vAlign w:val="center"/>
          </w:tcPr>
          <w:p>
            <w:pPr>
              <w:spacing w:line="560" w:lineRule="exact"/>
              <w:jc w:val="right"/>
              <w:rPr>
                <w:rFonts w:hint="default" w:ascii="宋体" w:hAnsi="宋体" w:eastAsia="宋体"/>
                <w:bCs/>
                <w:sz w:val="24"/>
                <w:szCs w:val="24"/>
                <w:lang w:val="en-US" w:eastAsia="zh-CN" w:bidi="ar-SA"/>
              </w:rPr>
            </w:pPr>
            <w:r>
              <w:rPr>
                <w:rFonts w:hint="eastAsia" w:ascii="宋体" w:hAnsi="宋体" w:eastAsia="宋体"/>
                <w:bCs/>
                <w:lang w:val="en-US" w:eastAsia="zh-CN"/>
              </w:rPr>
              <w:t>3.96</w:t>
            </w: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spacing w:line="560" w:lineRule="exact"/>
              <w:jc w:val="center"/>
              <w:rPr>
                <w:rFonts w:hint="default" w:ascii="宋体" w:hAnsi="宋体" w:eastAsia="宋体"/>
                <w:bCs/>
                <w:sz w:val="24"/>
                <w:szCs w:val="24"/>
                <w:lang w:val="en-US" w:eastAsia="zh-CN" w:bidi="ar-SA"/>
              </w:rPr>
            </w:pPr>
            <w:r>
              <w:rPr>
                <w:rFonts w:hint="eastAsia" w:ascii="宋体" w:hAnsi="宋体" w:eastAsia="宋体"/>
                <w:bCs/>
                <w:lang w:val="en-US" w:eastAsia="zh-CN"/>
              </w:rPr>
              <w:t>3.96</w:t>
            </w:r>
          </w:p>
        </w:tc>
        <w:tc>
          <w:tcPr>
            <w:tcW w:w="986" w:type="dxa"/>
            <w:vAlign w:val="center"/>
          </w:tcPr>
          <w:p>
            <w:pPr>
              <w:spacing w:line="560" w:lineRule="exact"/>
              <w:jc w:val="center"/>
              <w:rPr>
                <w:rFonts w:hint="default" w:ascii="宋体" w:hAnsi="宋体" w:eastAsia="宋体"/>
                <w:bCs/>
                <w:sz w:val="24"/>
                <w:szCs w:val="24"/>
                <w:lang w:val="en-US" w:eastAsia="zh-CN" w:bidi="ar-SA"/>
              </w:rPr>
            </w:pPr>
            <w:r>
              <w:rPr>
                <w:rFonts w:hint="eastAsia" w:ascii="宋体" w:hAnsi="宋体" w:eastAsia="宋体"/>
                <w:bCs/>
                <w:lang w:val="en-US" w:eastAsia="zh-CN"/>
              </w:rPr>
              <w:t>3.96</w:t>
            </w: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spacing w:line="560" w:lineRule="exact"/>
              <w:jc w:val="center"/>
              <w:rPr>
                <w:rFonts w:ascii="宋体" w:hAnsi="宋体" w:eastAsia="宋体"/>
                <w:bCs/>
                <w:sz w:val="24"/>
                <w:szCs w:val="24"/>
                <w:lang w:val="en-US" w:eastAsia="zh-CN" w:bidi="ar-SA"/>
              </w:rPr>
            </w:pPr>
            <w:r>
              <w:rPr>
                <w:rFonts w:hint="eastAsia" w:ascii="宋体" w:hAnsi="宋体" w:eastAsia="宋体"/>
                <w:bCs/>
                <w:lang w:eastAsia="zh-CN"/>
              </w:rPr>
              <w:t>日常公用经费</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2.4</w:t>
            </w:r>
          </w:p>
        </w:tc>
        <w:tc>
          <w:tcPr>
            <w:tcW w:w="986" w:type="dxa"/>
            <w:vAlign w:val="center"/>
          </w:tcPr>
          <w:p>
            <w:pPr>
              <w:spacing w:line="560" w:lineRule="exact"/>
              <w:jc w:val="center"/>
              <w:rPr>
                <w:rFonts w:ascii="宋体" w:hAnsi="宋体" w:eastAsia="宋体"/>
                <w:bCs/>
                <w:sz w:val="24"/>
                <w:szCs w:val="24"/>
                <w:lang w:val="en-US" w:eastAsia="zh-CN" w:bidi="ar-SA"/>
              </w:rPr>
            </w:pPr>
            <w:r>
              <w:rPr>
                <w:rFonts w:hint="eastAsia" w:ascii="宋体" w:hAnsi="宋体" w:eastAsia="宋体"/>
                <w:bCs/>
                <w:lang w:eastAsia="zh-CN"/>
              </w:rPr>
              <w:t>电脑</w:t>
            </w:r>
          </w:p>
        </w:tc>
        <w:tc>
          <w:tcPr>
            <w:tcW w:w="986" w:type="dxa"/>
            <w:vAlign w:val="center"/>
          </w:tcPr>
          <w:p>
            <w:pPr>
              <w:spacing w:line="560" w:lineRule="exact"/>
              <w:jc w:val="center"/>
              <w:rPr>
                <w:rFonts w:ascii="宋体" w:hAnsi="宋体" w:eastAsia="宋体"/>
                <w:bCs/>
                <w:sz w:val="24"/>
                <w:szCs w:val="24"/>
                <w:lang w:val="en-US" w:eastAsia="zh-CN" w:bidi="ar-SA"/>
              </w:rPr>
            </w:pPr>
            <w:r>
              <w:rPr>
                <w:rFonts w:hint="eastAsia" w:ascii="宋体" w:hAnsi="宋体" w:eastAsia="宋体"/>
                <w:bCs/>
                <w:lang w:eastAsia="zh-CN"/>
              </w:rPr>
              <w:t>A02010199</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台</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6</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0.4</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2.4</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2.4</w:t>
            </w: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lang w:eastAsia="zh-CN"/>
              </w:rPr>
              <w:t>日常公用经费</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1.56</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打印机</w:t>
            </w:r>
          </w:p>
        </w:tc>
        <w:tc>
          <w:tcPr>
            <w:tcW w:w="986" w:type="dxa"/>
            <w:vAlign w:val="center"/>
          </w:tcPr>
          <w:p>
            <w:pPr>
              <w:spacing w:line="560" w:lineRule="exact"/>
              <w:jc w:val="center"/>
              <w:rPr>
                <w:rFonts w:ascii="宋体" w:hAnsi="宋体" w:eastAsia="宋体"/>
                <w:bCs/>
                <w:sz w:val="24"/>
                <w:szCs w:val="24"/>
                <w:lang w:val="en-US" w:eastAsia="zh-CN" w:bidi="ar-SA"/>
              </w:rPr>
            </w:pPr>
            <w:r>
              <w:rPr>
                <w:rFonts w:hint="eastAsia" w:ascii="宋体" w:hAnsi="宋体" w:eastAsia="宋体"/>
                <w:bCs/>
                <w:lang w:eastAsia="zh-CN"/>
              </w:rPr>
              <w:t>A0201060199</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台</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6</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0.26</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1.56</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1.56</w:t>
            </w: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5" w:name="_Toc_3_3_0000000018"/>
      <w:r>
        <w:rPr>
          <w:rFonts w:hint="eastAsia" w:ascii="黑体" w:hAnsi="黑体" w:eastAsia="黑体" w:cs="黑体"/>
          <w:color w:val="000000"/>
          <w:sz w:val="32"/>
          <w:lang w:eastAsia="zh-CN"/>
        </w:rPr>
        <w:t>七</w:t>
      </w:r>
      <w:r>
        <w:rPr>
          <w:rFonts w:ascii="黑体" w:hAnsi="黑体" w:eastAsia="黑体" w:cs="黑体"/>
          <w:color w:val="000000"/>
          <w:sz w:val="32"/>
        </w:rPr>
        <w:t>、国有资产信息</w:t>
      </w:r>
      <w:bookmarkEnd w:id="5"/>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成安县机关事务管理局（含所属单位）上年末固定资产金额为</w:t>
      </w:r>
      <w:r>
        <w:rPr>
          <w:rFonts w:hint="eastAsia" w:eastAsia="方正仿宋_GBK" w:cs="Times New Roman"/>
          <w:b w:val="0"/>
          <w:color w:val="000000"/>
          <w:sz w:val="28"/>
          <w:lang w:val="en-US" w:eastAsia="zh-CN"/>
        </w:rPr>
        <w:t>1900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3.96</w:t>
      </w:r>
      <w:r>
        <w:rPr>
          <w:rFonts w:ascii="Times New Roman" w:hAnsi="Times New Roman" w:eastAsia="方正仿宋_GBK" w:cs="Times New Roman"/>
          <w:b w:val="0"/>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430成安县机关事务管理局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4933" w:type="dxa"/>
            <w:vAlign w:val="center"/>
          </w:tcPr>
          <w:p>
            <w:pPr>
              <w:jc w:val="center"/>
              <w:rPr>
                <w:rFonts w:ascii="宋体" w:hAnsi="宋体" w:eastAsia="宋体"/>
                <w:sz w:val="22"/>
              </w:rPr>
            </w:pPr>
            <w:r>
              <w:rPr>
                <w:rFonts w:hint="eastAsia" w:ascii="宋体" w:hAnsi="宋体" w:eastAsia="宋体" w:cs="宋体"/>
                <w:sz w:val="22"/>
              </w:rPr>
              <w:t>资产总额</w:t>
            </w:r>
          </w:p>
        </w:tc>
        <w:tc>
          <w:tcPr>
            <w:tcW w:w="4933" w:type="dxa"/>
            <w:vAlign w:val="center"/>
          </w:tcPr>
          <w:p>
            <w:pPr>
              <w:jc w:val="center"/>
              <w:rPr>
                <w:rFonts w:ascii="宋体" w:hAnsi="宋体" w:eastAsia="宋体" w:cs="宋体"/>
                <w:sz w:val="22"/>
              </w:rPr>
            </w:pPr>
            <w:r>
              <w:rPr>
                <w:rFonts w:ascii="宋体" w:hAnsi="宋体" w:eastAsia="宋体" w:cs="宋体"/>
                <w:sz w:val="22"/>
              </w:rPr>
              <w:t>——</w:t>
            </w:r>
          </w:p>
        </w:tc>
        <w:tc>
          <w:tcPr>
            <w:tcW w:w="4933" w:type="dxa"/>
            <w:vAlign w:val="center"/>
          </w:tcPr>
          <w:p>
            <w:pPr>
              <w:jc w:val="center"/>
              <w:rPr>
                <w:rFonts w:ascii="宋体" w:hAnsi="宋体" w:eastAsia="宋体" w:cs="宋体"/>
                <w:sz w:val="22"/>
              </w:rPr>
            </w:pPr>
            <w:r>
              <w:rPr>
                <w:rFonts w:hint="eastAsia" w:ascii="宋体" w:hAnsi="宋体" w:eastAsia="宋体" w:cs="宋体"/>
                <w:sz w:val="22"/>
              </w:rP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4933" w:type="dxa"/>
            <w:vAlign w:val="center"/>
          </w:tcPr>
          <w:p>
            <w:pPr>
              <w:rPr>
                <w:rFonts w:ascii="宋体" w:hAnsi="宋体" w:eastAsia="宋体"/>
                <w:sz w:val="22"/>
              </w:rPr>
            </w:pPr>
            <w:r>
              <w:rPr>
                <w:rFonts w:ascii="宋体" w:hAnsi="宋体" w:eastAsia="宋体" w:cs="宋体"/>
                <w:sz w:val="22"/>
              </w:rPr>
              <w:t>1</w:t>
            </w:r>
            <w:r>
              <w:rPr>
                <w:rFonts w:hint="eastAsia" w:ascii="宋体" w:hAnsi="宋体" w:eastAsia="宋体" w:cs="宋体"/>
                <w:sz w:val="22"/>
              </w:rPr>
              <w:t>、房屋（平方米）</w:t>
            </w:r>
          </w:p>
        </w:tc>
        <w:tc>
          <w:tcPr>
            <w:tcW w:w="4933" w:type="dxa"/>
            <w:vAlign w:val="center"/>
          </w:tcPr>
          <w:p>
            <w:pPr>
              <w:jc w:val="center"/>
              <w:rPr>
                <w:rFonts w:ascii="宋体" w:hAnsi="宋体" w:eastAsia="宋体"/>
                <w:sz w:val="22"/>
              </w:rPr>
            </w:pPr>
            <w:r>
              <w:rPr>
                <w:rFonts w:hint="eastAsia" w:ascii="宋体" w:hAnsi="宋体" w:eastAsia="宋体"/>
                <w:sz w:val="22"/>
              </w:rPr>
              <w:t>7685.68</w:t>
            </w:r>
          </w:p>
        </w:tc>
        <w:tc>
          <w:tcPr>
            <w:tcW w:w="4933" w:type="dxa"/>
            <w:vAlign w:val="center"/>
          </w:tcPr>
          <w:p>
            <w:pPr>
              <w:jc w:val="center"/>
              <w:rPr>
                <w:rFonts w:ascii="宋体" w:hAnsi="宋体" w:eastAsia="宋体"/>
                <w:sz w:val="22"/>
              </w:rPr>
            </w:pPr>
            <w:r>
              <w:rPr>
                <w:rFonts w:hint="eastAsia" w:ascii="宋体" w:hAnsi="宋体" w:eastAsia="宋体"/>
                <w:sz w:val="22"/>
              </w:rPr>
              <w:t>1305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4933" w:type="dxa"/>
            <w:vAlign w:val="center"/>
          </w:tcPr>
          <w:p>
            <w:pPr>
              <w:rPr>
                <w:rFonts w:ascii="宋体" w:hAnsi="宋体" w:eastAsia="宋体"/>
                <w:sz w:val="22"/>
              </w:rPr>
            </w:pPr>
            <w:r>
              <w:rPr>
                <w:rFonts w:hint="eastAsia" w:ascii="宋体" w:hAnsi="宋体" w:eastAsia="宋体" w:cs="宋体"/>
                <w:sz w:val="22"/>
              </w:rPr>
              <w:t>其中：办公用房（平方米）</w:t>
            </w:r>
          </w:p>
        </w:tc>
        <w:tc>
          <w:tcPr>
            <w:tcW w:w="4933" w:type="dxa"/>
            <w:vAlign w:val="center"/>
          </w:tcPr>
          <w:p>
            <w:pPr>
              <w:jc w:val="center"/>
              <w:rPr>
                <w:rFonts w:ascii="宋体" w:hAnsi="宋体" w:eastAsia="宋体"/>
                <w:sz w:val="22"/>
              </w:rPr>
            </w:pPr>
            <w:r>
              <w:rPr>
                <w:rFonts w:hint="eastAsia" w:ascii="宋体" w:hAnsi="宋体" w:eastAsia="宋体"/>
                <w:sz w:val="22"/>
              </w:rPr>
              <w:t>7685.68</w:t>
            </w:r>
          </w:p>
        </w:tc>
        <w:tc>
          <w:tcPr>
            <w:tcW w:w="4933" w:type="dxa"/>
            <w:vAlign w:val="center"/>
          </w:tcPr>
          <w:p>
            <w:pPr>
              <w:jc w:val="center"/>
              <w:rPr>
                <w:rFonts w:ascii="宋体" w:hAnsi="宋体" w:eastAsia="宋体"/>
                <w:sz w:val="22"/>
              </w:rPr>
            </w:pPr>
            <w:r>
              <w:rPr>
                <w:rFonts w:hint="eastAsia" w:ascii="宋体" w:hAnsi="宋体" w:eastAsia="宋体"/>
                <w:sz w:val="22"/>
              </w:rPr>
              <w:t>1305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4933" w:type="dxa"/>
            <w:vAlign w:val="center"/>
          </w:tcPr>
          <w:p>
            <w:pPr>
              <w:rPr>
                <w:rFonts w:ascii="宋体" w:hAnsi="宋体" w:eastAsia="宋体"/>
                <w:sz w:val="22"/>
              </w:rPr>
            </w:pPr>
            <w:r>
              <w:rPr>
                <w:rFonts w:ascii="宋体" w:hAnsi="宋体" w:eastAsia="宋体" w:cs="宋体"/>
                <w:sz w:val="22"/>
              </w:rPr>
              <w:t>2</w:t>
            </w:r>
            <w:r>
              <w:rPr>
                <w:rFonts w:hint="eastAsia" w:ascii="宋体" w:hAnsi="宋体" w:eastAsia="宋体" w:cs="宋体"/>
                <w:sz w:val="22"/>
              </w:rPr>
              <w:t>、车辆（台、辆）</w:t>
            </w:r>
          </w:p>
        </w:tc>
        <w:tc>
          <w:tcPr>
            <w:tcW w:w="4933" w:type="dxa"/>
            <w:vAlign w:val="center"/>
          </w:tcPr>
          <w:p>
            <w:pPr>
              <w:jc w:val="center"/>
              <w:rPr>
                <w:rFonts w:ascii="宋体" w:hAnsi="宋体" w:eastAsia="宋体"/>
                <w:sz w:val="22"/>
              </w:rPr>
            </w:pPr>
          </w:p>
        </w:tc>
        <w:tc>
          <w:tcPr>
            <w:tcW w:w="4933" w:type="dxa"/>
            <w:vAlign w:val="center"/>
          </w:tcPr>
          <w:p>
            <w:pPr>
              <w:jc w:val="center"/>
              <w:rPr>
                <w:rFonts w:ascii="宋体" w:hAnsi="宋体" w:eastAsia="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4933" w:type="dxa"/>
            <w:vAlign w:val="center"/>
          </w:tcPr>
          <w:p>
            <w:pPr>
              <w:rPr>
                <w:rFonts w:ascii="宋体" w:hAnsi="宋体" w:eastAsia="宋体"/>
                <w:sz w:val="22"/>
              </w:rPr>
            </w:pPr>
            <w:r>
              <w:rPr>
                <w:rFonts w:ascii="宋体" w:hAnsi="宋体" w:eastAsia="宋体" w:cs="宋体"/>
                <w:sz w:val="22"/>
              </w:rPr>
              <w:t>3</w:t>
            </w:r>
            <w:r>
              <w:rPr>
                <w:rFonts w:hint="eastAsia" w:ascii="宋体" w:hAnsi="宋体" w:eastAsia="宋体" w:cs="宋体"/>
                <w:sz w:val="22"/>
              </w:rPr>
              <w:t>、单价在</w:t>
            </w:r>
            <w:r>
              <w:rPr>
                <w:rFonts w:ascii="宋体" w:hAnsi="宋体" w:eastAsia="宋体" w:cs="宋体"/>
                <w:sz w:val="22"/>
              </w:rPr>
              <w:t>50</w:t>
            </w:r>
            <w:r>
              <w:rPr>
                <w:rFonts w:hint="eastAsia" w:ascii="宋体" w:hAnsi="宋体" w:eastAsia="宋体" w:cs="宋体"/>
                <w:sz w:val="22"/>
              </w:rPr>
              <w:t>万元以上的设备</w:t>
            </w:r>
          </w:p>
        </w:tc>
        <w:tc>
          <w:tcPr>
            <w:tcW w:w="4933" w:type="dxa"/>
            <w:vAlign w:val="center"/>
          </w:tcPr>
          <w:p>
            <w:pPr>
              <w:jc w:val="center"/>
              <w:rPr>
                <w:rFonts w:ascii="宋体" w:hAnsi="宋体" w:eastAsia="宋体"/>
                <w:sz w:val="22"/>
              </w:rPr>
            </w:pPr>
          </w:p>
        </w:tc>
        <w:tc>
          <w:tcPr>
            <w:tcW w:w="4933" w:type="dxa"/>
            <w:vAlign w:val="center"/>
          </w:tcPr>
          <w:p>
            <w:pPr>
              <w:jc w:val="center"/>
              <w:rPr>
                <w:rFonts w:ascii="宋体" w:hAnsi="宋体" w:eastAsia="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4933" w:type="dxa"/>
            <w:vAlign w:val="center"/>
          </w:tcPr>
          <w:p>
            <w:pPr>
              <w:rPr>
                <w:rFonts w:ascii="宋体" w:hAnsi="宋体" w:eastAsia="宋体"/>
                <w:sz w:val="22"/>
              </w:rPr>
            </w:pPr>
            <w:r>
              <w:rPr>
                <w:rFonts w:ascii="宋体" w:hAnsi="宋体" w:eastAsia="宋体" w:cs="宋体"/>
                <w:sz w:val="22"/>
              </w:rPr>
              <w:t>4</w:t>
            </w:r>
            <w:r>
              <w:rPr>
                <w:rFonts w:hint="eastAsia" w:ascii="宋体" w:hAnsi="宋体" w:eastAsia="宋体" w:cs="宋体"/>
                <w:sz w:val="22"/>
              </w:rPr>
              <w:t>、其他固定资产</w:t>
            </w:r>
          </w:p>
        </w:tc>
        <w:tc>
          <w:tcPr>
            <w:tcW w:w="4933" w:type="dxa"/>
            <w:vAlign w:val="center"/>
          </w:tcPr>
          <w:p>
            <w:pPr>
              <w:jc w:val="center"/>
              <w:rPr>
                <w:rFonts w:ascii="宋体" w:hAnsi="宋体" w:eastAsia="宋体"/>
                <w:sz w:val="22"/>
              </w:rPr>
            </w:pPr>
            <w:r>
              <w:rPr>
                <w:rFonts w:hint="eastAsia" w:ascii="宋体" w:hAnsi="宋体" w:eastAsia="宋体"/>
                <w:sz w:val="22"/>
              </w:rPr>
              <w:t>632</w:t>
            </w:r>
          </w:p>
        </w:tc>
        <w:tc>
          <w:tcPr>
            <w:tcW w:w="4933" w:type="dxa"/>
            <w:vAlign w:val="center"/>
          </w:tcPr>
          <w:p>
            <w:pPr>
              <w:jc w:val="center"/>
              <w:rPr>
                <w:rFonts w:ascii="宋体" w:hAnsi="宋体" w:eastAsia="宋体"/>
                <w:sz w:val="22"/>
              </w:rPr>
            </w:pPr>
            <w:r>
              <w:rPr>
                <w:rFonts w:hint="eastAsia" w:ascii="宋体" w:hAnsi="宋体" w:eastAsia="宋体"/>
                <w:sz w:val="22"/>
              </w:rPr>
              <w:t>595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ind w:firstLine="640"/>
        <w:outlineLvl w:val="5"/>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5E3E"/>
    <w:rsid w:val="00345E3E"/>
    <w:rsid w:val="003853D2"/>
    <w:rsid w:val="003D74AF"/>
    <w:rsid w:val="00B15607"/>
    <w:rsid w:val="137D8E7D"/>
    <w:rsid w:val="23CD67D0"/>
    <w:rsid w:val="24F11B6F"/>
    <w:rsid w:val="25D2315E"/>
    <w:rsid w:val="2E496F7F"/>
    <w:rsid w:val="31B33AA2"/>
    <w:rsid w:val="31CE342F"/>
    <w:rsid w:val="4BB4452C"/>
    <w:rsid w:val="63F73649"/>
    <w:rsid w:val="774E27A0"/>
    <w:rsid w:val="7B832BC1"/>
    <w:rsid w:val="7D3C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26"/>
    <w:semiHidden/>
    <w:unhideWhenUsed/>
    <w:qFormat/>
    <w:uiPriority w:val="99"/>
    <w:pPr>
      <w:tabs>
        <w:tab w:val="center" w:pos="4153"/>
        <w:tab w:val="right" w:pos="8306"/>
      </w:tabs>
      <w:snapToGrid w:val="0"/>
    </w:pPr>
    <w:rPr>
      <w:sz w:val="18"/>
      <w:szCs w:val="18"/>
    </w:rPr>
  </w:style>
  <w:style w:type="paragraph" w:styleId="4">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4"/>
    <w:basedOn w:val="1"/>
    <w:qFormat/>
    <w:uiPriority w:val="0"/>
    <w:pPr>
      <w:ind w:left="720"/>
    </w:pPr>
  </w:style>
  <w:style w:type="paragraph" w:customStyle="1" w:styleId="24">
    <w:name w:val="TOC 1"/>
    <w:basedOn w:val="1"/>
    <w:qFormat/>
    <w:uiPriority w:val="0"/>
    <w:pPr>
      <w:spacing w:before="120"/>
      <w:ind w:firstLine="560"/>
    </w:pPr>
    <w:rPr>
      <w:rFonts w:eastAsia="方正仿宋_GBK"/>
      <w:color w:val="000000"/>
      <w:sz w:val="28"/>
    </w:rPr>
  </w:style>
  <w:style w:type="character" w:customStyle="1" w:styleId="25">
    <w:name w:val="页眉 Char"/>
    <w:basedOn w:val="7"/>
    <w:link w:val="4"/>
    <w:semiHidden/>
    <w:qFormat/>
    <w:uiPriority w:val="99"/>
    <w:rPr>
      <w:rFonts w:eastAsia="Times New Roman"/>
      <w:sz w:val="18"/>
      <w:szCs w:val="18"/>
      <w:lang w:eastAsia="uk-UA"/>
    </w:rPr>
  </w:style>
  <w:style w:type="character" w:customStyle="1" w:styleId="26">
    <w:name w:val="页脚 Char"/>
    <w:basedOn w:val="7"/>
    <w:link w:val="3"/>
    <w:semiHidden/>
    <w:qFormat/>
    <w:uiPriority w:val="99"/>
    <w:rPr>
      <w:rFonts w:eastAsia="Times New Roman"/>
      <w:sz w:val="18"/>
      <w:szCs w:val="18"/>
      <w:lang w:eastAsia="uk-UA"/>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1239</Words>
  <Characters>7064</Characters>
  <Lines>58</Lines>
  <Paragraphs>16</Paragraphs>
  <TotalTime>6</TotalTime>
  <ScaleCrop>false</ScaleCrop>
  <LinksUpToDate>false</LinksUpToDate>
  <CharactersWithSpaces>8287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2024-03-07T15:43:00Z</dcterms:created>
  <dc:creator>Administrator</dc:creator>
  <cp:lastModifiedBy>Administrator</cp:lastModifiedBy>
  <dcterms:modified xsi:type="dcterms:W3CDTF">2024-03-21T03:35:30Z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74AD1C3BF58A4DFCB0986982878CCA59</vt:lpwstr>
  </property>
</Properties>
</file>