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b/>
          <w:color w:val="000000"/>
          <w:sz w:val="44"/>
        </w:rPr>
        <w:t>2024年部门预算信息公开目录</w:t>
      </w:r>
    </w:p>
    <w:p>
      <w:pPr>
        <w:spacing w:before="0" w:after="0" w:line="240" w:lineRule="auto"/>
        <w:ind w:firstLine="0"/>
        <w:jc w:val="center"/>
        <w:outlineLvl w:val="9"/>
      </w:pPr>
      <w:r>
        <w:rPr>
          <w:b/>
          <w:color w:val="000000"/>
          <w:sz w:val="30"/>
        </w:rPr>
        <w:t xml:space="preserve"> </w:t>
      </w:r>
    </w:p>
    <w:p>
      <w:pPr>
        <w:spacing w:before="0" w:after="0" w:line="240" w:lineRule="auto"/>
        <w:ind w:firstLine="0"/>
        <w:jc w:val="left"/>
        <w:outlineLvl w:val="9"/>
      </w:pPr>
      <w:r>
        <w:rPr>
          <w:b/>
          <w:color w:val="000000"/>
          <w:sz w:val="28"/>
        </w:rPr>
        <w:t>部门预算公开表</w:t>
      </w:r>
    </w:p>
    <w:p>
      <w:pPr>
        <w:pStyle w:val="6"/>
        <w:tabs>
          <w:tab w:val="right" w:leader="dot" w:pos="14572"/>
        </w:tabs>
        <w:rPr>
          <w:rFonts w:hint="eastAsia" w:ascii="宋体" w:hAnsi="宋体" w:eastAsia="宋体" w:cs="宋体"/>
          <w:sz w:val="28"/>
          <w:szCs w:val="28"/>
          <w:lang w:val="en-US" w:eastAsia="zh-CN" w:bidi="ar-S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"2-2" \h \z \u</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bidi="ar-SA"/>
        </w:rPr>
        <w:fldChar w:fldCharType="begin"/>
      </w:r>
      <w:r>
        <w:rPr>
          <w:rFonts w:hint="eastAsia" w:ascii="宋体" w:hAnsi="宋体" w:eastAsia="宋体" w:cs="宋体"/>
          <w:sz w:val="28"/>
          <w:szCs w:val="28"/>
          <w:lang w:val="en-US" w:eastAsia="zh-CN" w:bidi="ar-SA"/>
        </w:rPr>
        <w:instrText xml:space="preserve"> HYPERLINK \l _Toc3547 </w:instrText>
      </w:r>
      <w:r>
        <w:rPr>
          <w:rFonts w:hint="eastAsia" w:ascii="宋体" w:hAnsi="宋体" w:eastAsia="宋体" w:cs="宋体"/>
          <w:sz w:val="28"/>
          <w:szCs w:val="28"/>
          <w:lang w:val="en-US" w:eastAsia="zh-CN" w:bidi="ar-SA"/>
        </w:rPr>
        <w:fldChar w:fldCharType="separate"/>
      </w:r>
      <w:r>
        <w:rPr>
          <w:rFonts w:hint="eastAsia" w:ascii="宋体" w:hAnsi="宋体" w:eastAsia="宋体" w:cs="宋体"/>
          <w:sz w:val="28"/>
          <w:szCs w:val="28"/>
          <w:lang w:val="en-US" w:eastAsia="zh-CN" w:bidi="ar-SA"/>
        </w:rPr>
        <w:t>部门预算收支总表</w:t>
      </w:r>
      <w:r>
        <w:rPr>
          <w:rFonts w:hint="eastAsia" w:ascii="宋体" w:hAnsi="宋体" w:eastAsia="宋体" w:cs="宋体"/>
          <w:sz w:val="28"/>
          <w:szCs w:val="28"/>
          <w:lang w:val="en-US" w:eastAsia="zh-CN" w:bidi="ar-SA"/>
        </w:rPr>
        <w:tab/>
      </w:r>
      <w:r>
        <w:rPr>
          <w:rFonts w:hint="eastAsia" w:ascii="宋体" w:hAnsi="宋体" w:eastAsia="宋体" w:cs="宋体"/>
          <w:sz w:val="28"/>
          <w:szCs w:val="28"/>
          <w:lang w:val="en-US" w:eastAsia="zh-CN" w:bidi="ar-SA"/>
        </w:rPr>
        <w:fldChar w:fldCharType="begin"/>
      </w:r>
      <w:r>
        <w:rPr>
          <w:rFonts w:hint="eastAsia" w:ascii="宋体" w:hAnsi="宋体" w:eastAsia="宋体" w:cs="宋体"/>
          <w:sz w:val="28"/>
          <w:szCs w:val="28"/>
          <w:lang w:val="en-US" w:eastAsia="zh-CN" w:bidi="ar-SA"/>
        </w:rPr>
        <w:instrText xml:space="preserve"> PAGEREF _Toc3547 </w:instrText>
      </w:r>
      <w:r>
        <w:rPr>
          <w:rFonts w:hint="eastAsia" w:ascii="宋体" w:hAnsi="宋体" w:eastAsia="宋体" w:cs="宋体"/>
          <w:sz w:val="28"/>
          <w:szCs w:val="28"/>
          <w:lang w:val="en-US" w:eastAsia="zh-CN" w:bidi="ar-SA"/>
        </w:rPr>
        <w:fldChar w:fldCharType="separate"/>
      </w:r>
      <w:r>
        <w:rPr>
          <w:rFonts w:hint="eastAsia" w:ascii="宋体" w:hAnsi="宋体" w:eastAsia="宋体" w:cs="宋体"/>
          <w:sz w:val="28"/>
          <w:szCs w:val="28"/>
          <w:lang w:val="en-US" w:eastAsia="zh-CN" w:bidi="ar-SA"/>
        </w:rPr>
        <w:t>1</w:t>
      </w:r>
      <w:r>
        <w:rPr>
          <w:rFonts w:hint="eastAsia" w:ascii="宋体" w:hAnsi="宋体" w:eastAsia="宋体" w:cs="宋体"/>
          <w:sz w:val="28"/>
          <w:szCs w:val="28"/>
          <w:lang w:val="en-US" w:eastAsia="zh-CN" w:bidi="ar-SA"/>
        </w:rPr>
        <w:fldChar w:fldCharType="end"/>
      </w:r>
      <w:r>
        <w:rPr>
          <w:rFonts w:hint="eastAsia" w:ascii="宋体" w:hAnsi="宋体" w:eastAsia="宋体" w:cs="宋体"/>
          <w:sz w:val="28"/>
          <w:szCs w:val="28"/>
          <w:lang w:val="en-US" w:eastAsia="zh-CN" w:bidi="ar-SA"/>
        </w:rPr>
        <w:fldChar w:fldCharType="end"/>
      </w:r>
    </w:p>
    <w:p>
      <w:pPr>
        <w:pStyle w:val="6"/>
        <w:tabs>
          <w:tab w:val="right" w:leader="dot" w:pos="14572"/>
        </w:tabs>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fldChar w:fldCharType="begin"/>
      </w:r>
      <w:r>
        <w:rPr>
          <w:rFonts w:hint="eastAsia" w:ascii="宋体" w:hAnsi="宋体" w:eastAsia="宋体" w:cs="宋体"/>
          <w:sz w:val="28"/>
          <w:szCs w:val="28"/>
          <w:lang w:val="en-US" w:eastAsia="zh-CN" w:bidi="ar-SA"/>
        </w:rPr>
        <w:instrText xml:space="preserve"> HYPERLINK \l _Toc29278 </w:instrText>
      </w:r>
      <w:r>
        <w:rPr>
          <w:rFonts w:hint="eastAsia" w:ascii="宋体" w:hAnsi="宋体" w:eastAsia="宋体" w:cs="宋体"/>
          <w:sz w:val="28"/>
          <w:szCs w:val="28"/>
          <w:lang w:val="en-US" w:eastAsia="zh-CN" w:bidi="ar-SA"/>
        </w:rPr>
        <w:fldChar w:fldCharType="separate"/>
      </w:r>
      <w:r>
        <w:rPr>
          <w:rFonts w:hint="eastAsia" w:ascii="宋体" w:hAnsi="宋体" w:eastAsia="宋体" w:cs="宋体"/>
          <w:sz w:val="28"/>
          <w:szCs w:val="28"/>
          <w:lang w:val="en-US" w:eastAsia="zh-CN" w:bidi="ar-SA"/>
        </w:rPr>
        <w:t>部门预算收入总表</w:t>
      </w:r>
      <w:r>
        <w:rPr>
          <w:rFonts w:hint="eastAsia" w:ascii="宋体" w:hAnsi="宋体" w:eastAsia="宋体" w:cs="宋体"/>
          <w:sz w:val="28"/>
          <w:szCs w:val="28"/>
          <w:lang w:val="en-US" w:eastAsia="zh-CN" w:bidi="ar-SA"/>
        </w:rPr>
        <w:tab/>
      </w:r>
      <w:r>
        <w:rPr>
          <w:rFonts w:hint="eastAsia" w:ascii="宋体" w:hAnsi="宋体" w:eastAsia="宋体" w:cs="宋体"/>
          <w:sz w:val="28"/>
          <w:szCs w:val="28"/>
          <w:lang w:val="en-US" w:eastAsia="zh-CN" w:bidi="ar-SA"/>
        </w:rPr>
        <w:fldChar w:fldCharType="begin"/>
      </w:r>
      <w:r>
        <w:rPr>
          <w:rFonts w:hint="eastAsia" w:ascii="宋体" w:hAnsi="宋体" w:eastAsia="宋体" w:cs="宋体"/>
          <w:sz w:val="28"/>
          <w:szCs w:val="28"/>
          <w:lang w:val="en-US" w:eastAsia="zh-CN" w:bidi="ar-SA"/>
        </w:rPr>
        <w:instrText xml:space="preserve"> PAGEREF _Toc29278 </w:instrText>
      </w:r>
      <w:r>
        <w:rPr>
          <w:rFonts w:hint="eastAsia" w:ascii="宋体" w:hAnsi="宋体" w:eastAsia="宋体" w:cs="宋体"/>
          <w:sz w:val="28"/>
          <w:szCs w:val="28"/>
          <w:lang w:val="en-US" w:eastAsia="zh-CN" w:bidi="ar-SA"/>
        </w:rPr>
        <w:fldChar w:fldCharType="separate"/>
      </w:r>
      <w:r>
        <w:rPr>
          <w:rFonts w:hint="eastAsia" w:ascii="宋体" w:hAnsi="宋体" w:eastAsia="宋体" w:cs="宋体"/>
          <w:sz w:val="28"/>
          <w:szCs w:val="28"/>
          <w:lang w:val="en-US" w:eastAsia="zh-CN" w:bidi="ar-SA"/>
        </w:rPr>
        <w:t>4</w:t>
      </w:r>
      <w:r>
        <w:rPr>
          <w:rFonts w:hint="eastAsia" w:ascii="宋体" w:hAnsi="宋体" w:eastAsia="宋体" w:cs="宋体"/>
          <w:sz w:val="28"/>
          <w:szCs w:val="28"/>
          <w:lang w:val="en-US" w:eastAsia="zh-CN" w:bidi="ar-SA"/>
        </w:rPr>
        <w:fldChar w:fldCharType="end"/>
      </w:r>
      <w:r>
        <w:rPr>
          <w:rFonts w:hint="eastAsia" w:ascii="宋体" w:hAnsi="宋体" w:eastAsia="宋体" w:cs="宋体"/>
          <w:sz w:val="28"/>
          <w:szCs w:val="28"/>
          <w:lang w:val="en-US" w:eastAsia="zh-CN" w:bidi="ar-SA"/>
        </w:rPr>
        <w:fldChar w:fldCharType="end"/>
      </w:r>
    </w:p>
    <w:p>
      <w:pPr>
        <w:pStyle w:val="6"/>
        <w:tabs>
          <w:tab w:val="right" w:leader="dot" w:pos="14572"/>
        </w:tabs>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fldChar w:fldCharType="begin"/>
      </w:r>
      <w:r>
        <w:rPr>
          <w:rFonts w:hint="eastAsia" w:ascii="宋体" w:hAnsi="宋体" w:eastAsia="宋体" w:cs="宋体"/>
          <w:sz w:val="28"/>
          <w:szCs w:val="28"/>
          <w:lang w:val="en-US" w:eastAsia="zh-CN" w:bidi="ar-SA"/>
        </w:rPr>
        <w:instrText xml:space="preserve"> HYPERLINK \l _Toc23948 </w:instrText>
      </w:r>
      <w:r>
        <w:rPr>
          <w:rFonts w:hint="eastAsia" w:ascii="宋体" w:hAnsi="宋体" w:eastAsia="宋体" w:cs="宋体"/>
          <w:sz w:val="28"/>
          <w:szCs w:val="28"/>
          <w:lang w:val="en-US" w:eastAsia="zh-CN" w:bidi="ar-SA"/>
        </w:rPr>
        <w:fldChar w:fldCharType="separate"/>
      </w:r>
      <w:r>
        <w:rPr>
          <w:rFonts w:hint="eastAsia" w:ascii="宋体" w:hAnsi="宋体" w:eastAsia="宋体" w:cs="宋体"/>
          <w:sz w:val="28"/>
          <w:szCs w:val="28"/>
          <w:lang w:val="en-US" w:eastAsia="zh-CN" w:bidi="ar-SA"/>
        </w:rPr>
        <w:t>部门预算支出总表</w:t>
      </w:r>
      <w:r>
        <w:rPr>
          <w:rFonts w:hint="eastAsia" w:ascii="宋体" w:hAnsi="宋体" w:eastAsia="宋体" w:cs="宋体"/>
          <w:sz w:val="28"/>
          <w:szCs w:val="28"/>
          <w:lang w:val="en-US" w:eastAsia="zh-CN" w:bidi="ar-SA"/>
        </w:rPr>
        <w:tab/>
      </w:r>
      <w:r>
        <w:rPr>
          <w:rFonts w:hint="eastAsia" w:ascii="宋体" w:hAnsi="宋体" w:eastAsia="宋体" w:cs="宋体"/>
          <w:sz w:val="28"/>
          <w:szCs w:val="28"/>
          <w:lang w:val="en-US" w:eastAsia="zh-CN" w:bidi="ar-SA"/>
        </w:rPr>
        <w:fldChar w:fldCharType="begin"/>
      </w:r>
      <w:r>
        <w:rPr>
          <w:rFonts w:hint="eastAsia" w:ascii="宋体" w:hAnsi="宋体" w:eastAsia="宋体" w:cs="宋体"/>
          <w:sz w:val="28"/>
          <w:szCs w:val="28"/>
          <w:lang w:val="en-US" w:eastAsia="zh-CN" w:bidi="ar-SA"/>
        </w:rPr>
        <w:instrText xml:space="preserve"> PAGEREF _Toc23948 </w:instrText>
      </w:r>
      <w:r>
        <w:rPr>
          <w:rFonts w:hint="eastAsia" w:ascii="宋体" w:hAnsi="宋体" w:eastAsia="宋体" w:cs="宋体"/>
          <w:sz w:val="28"/>
          <w:szCs w:val="28"/>
          <w:lang w:val="en-US" w:eastAsia="zh-CN" w:bidi="ar-SA"/>
        </w:rPr>
        <w:fldChar w:fldCharType="separate"/>
      </w:r>
      <w:r>
        <w:rPr>
          <w:rFonts w:hint="eastAsia" w:ascii="宋体" w:hAnsi="宋体" w:eastAsia="宋体" w:cs="宋体"/>
          <w:sz w:val="28"/>
          <w:szCs w:val="28"/>
          <w:lang w:val="en-US" w:eastAsia="zh-CN" w:bidi="ar-SA"/>
        </w:rPr>
        <w:t>8</w:t>
      </w:r>
      <w:r>
        <w:rPr>
          <w:rFonts w:hint="eastAsia" w:ascii="宋体" w:hAnsi="宋体" w:eastAsia="宋体" w:cs="宋体"/>
          <w:sz w:val="28"/>
          <w:szCs w:val="28"/>
          <w:lang w:val="en-US" w:eastAsia="zh-CN" w:bidi="ar-SA"/>
        </w:rPr>
        <w:fldChar w:fldCharType="end"/>
      </w:r>
      <w:r>
        <w:rPr>
          <w:rFonts w:hint="eastAsia" w:ascii="宋体" w:hAnsi="宋体" w:eastAsia="宋体" w:cs="宋体"/>
          <w:sz w:val="28"/>
          <w:szCs w:val="28"/>
          <w:lang w:val="en-US" w:eastAsia="zh-CN" w:bidi="ar-SA"/>
        </w:rPr>
        <w:fldChar w:fldCharType="end"/>
      </w:r>
    </w:p>
    <w:p>
      <w:pPr>
        <w:pStyle w:val="6"/>
        <w:tabs>
          <w:tab w:val="right" w:leader="dot" w:pos="14572"/>
        </w:tabs>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fldChar w:fldCharType="begin"/>
      </w:r>
      <w:r>
        <w:rPr>
          <w:rFonts w:hint="eastAsia" w:ascii="宋体" w:hAnsi="宋体" w:eastAsia="宋体" w:cs="宋体"/>
          <w:sz w:val="28"/>
          <w:szCs w:val="28"/>
          <w:lang w:val="en-US" w:eastAsia="zh-CN" w:bidi="ar-SA"/>
        </w:rPr>
        <w:instrText xml:space="preserve"> HYPERLINK \l _Toc22094 </w:instrText>
      </w:r>
      <w:r>
        <w:rPr>
          <w:rFonts w:hint="eastAsia" w:ascii="宋体" w:hAnsi="宋体" w:eastAsia="宋体" w:cs="宋体"/>
          <w:sz w:val="28"/>
          <w:szCs w:val="28"/>
          <w:lang w:val="en-US" w:eastAsia="zh-CN" w:bidi="ar-SA"/>
        </w:rPr>
        <w:fldChar w:fldCharType="separate"/>
      </w:r>
      <w:r>
        <w:rPr>
          <w:rFonts w:hint="eastAsia" w:ascii="宋体" w:hAnsi="宋体" w:eastAsia="宋体" w:cs="宋体"/>
          <w:sz w:val="28"/>
          <w:szCs w:val="28"/>
          <w:lang w:val="en-US" w:eastAsia="zh-CN" w:bidi="ar-SA"/>
        </w:rPr>
        <w:t>部门预算财政拨款收支总表</w:t>
      </w:r>
      <w:r>
        <w:rPr>
          <w:rFonts w:hint="eastAsia" w:ascii="宋体" w:hAnsi="宋体" w:eastAsia="宋体" w:cs="宋体"/>
          <w:sz w:val="28"/>
          <w:szCs w:val="28"/>
          <w:lang w:val="en-US" w:eastAsia="zh-CN" w:bidi="ar-SA"/>
        </w:rPr>
        <w:tab/>
      </w:r>
      <w:r>
        <w:rPr>
          <w:rFonts w:hint="eastAsia" w:ascii="宋体" w:hAnsi="宋体" w:eastAsia="宋体" w:cs="宋体"/>
          <w:sz w:val="28"/>
          <w:szCs w:val="28"/>
          <w:lang w:val="en-US" w:eastAsia="zh-CN" w:bidi="ar-SA"/>
        </w:rPr>
        <w:fldChar w:fldCharType="begin"/>
      </w:r>
      <w:r>
        <w:rPr>
          <w:rFonts w:hint="eastAsia" w:ascii="宋体" w:hAnsi="宋体" w:eastAsia="宋体" w:cs="宋体"/>
          <w:sz w:val="28"/>
          <w:szCs w:val="28"/>
          <w:lang w:val="en-US" w:eastAsia="zh-CN" w:bidi="ar-SA"/>
        </w:rPr>
        <w:instrText xml:space="preserve"> PAGEREF _Toc22094 </w:instrText>
      </w:r>
      <w:r>
        <w:rPr>
          <w:rFonts w:hint="eastAsia" w:ascii="宋体" w:hAnsi="宋体" w:eastAsia="宋体" w:cs="宋体"/>
          <w:sz w:val="28"/>
          <w:szCs w:val="28"/>
          <w:lang w:val="en-US" w:eastAsia="zh-CN" w:bidi="ar-SA"/>
        </w:rPr>
        <w:fldChar w:fldCharType="separate"/>
      </w:r>
      <w:r>
        <w:rPr>
          <w:rFonts w:hint="eastAsia" w:ascii="宋体" w:hAnsi="宋体" w:eastAsia="宋体" w:cs="宋体"/>
          <w:sz w:val="28"/>
          <w:szCs w:val="28"/>
          <w:lang w:val="en-US" w:eastAsia="zh-CN" w:bidi="ar-SA"/>
        </w:rPr>
        <w:t>10</w:t>
      </w:r>
      <w:r>
        <w:rPr>
          <w:rFonts w:hint="eastAsia" w:ascii="宋体" w:hAnsi="宋体" w:eastAsia="宋体" w:cs="宋体"/>
          <w:sz w:val="28"/>
          <w:szCs w:val="28"/>
          <w:lang w:val="en-US" w:eastAsia="zh-CN" w:bidi="ar-SA"/>
        </w:rPr>
        <w:fldChar w:fldCharType="end"/>
      </w:r>
      <w:r>
        <w:rPr>
          <w:rFonts w:hint="eastAsia" w:ascii="宋体" w:hAnsi="宋体" w:eastAsia="宋体" w:cs="宋体"/>
          <w:sz w:val="28"/>
          <w:szCs w:val="28"/>
          <w:lang w:val="en-US" w:eastAsia="zh-CN" w:bidi="ar-SA"/>
        </w:rPr>
        <w:fldChar w:fldCharType="end"/>
      </w:r>
    </w:p>
    <w:p>
      <w:pPr>
        <w:pStyle w:val="6"/>
        <w:tabs>
          <w:tab w:val="right" w:leader="dot" w:pos="14572"/>
        </w:tabs>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fldChar w:fldCharType="begin"/>
      </w:r>
      <w:r>
        <w:rPr>
          <w:rFonts w:hint="eastAsia" w:ascii="宋体" w:hAnsi="宋体" w:eastAsia="宋体" w:cs="宋体"/>
          <w:sz w:val="28"/>
          <w:szCs w:val="28"/>
          <w:lang w:val="en-US" w:eastAsia="zh-CN" w:bidi="ar-SA"/>
        </w:rPr>
        <w:instrText xml:space="preserve"> HYPERLINK \l _Toc28627 </w:instrText>
      </w:r>
      <w:r>
        <w:rPr>
          <w:rFonts w:hint="eastAsia" w:ascii="宋体" w:hAnsi="宋体" w:eastAsia="宋体" w:cs="宋体"/>
          <w:sz w:val="28"/>
          <w:szCs w:val="28"/>
          <w:lang w:val="en-US" w:eastAsia="zh-CN" w:bidi="ar-SA"/>
        </w:rPr>
        <w:fldChar w:fldCharType="separate"/>
      </w:r>
      <w:r>
        <w:rPr>
          <w:rFonts w:hint="eastAsia" w:ascii="宋体" w:hAnsi="宋体" w:eastAsia="宋体" w:cs="宋体"/>
          <w:sz w:val="28"/>
          <w:szCs w:val="28"/>
          <w:lang w:val="en-US" w:eastAsia="zh-CN" w:bidi="ar-SA"/>
        </w:rPr>
        <w:t>部门预算一般公共预算财政拨款支出表</w:t>
      </w:r>
      <w:r>
        <w:rPr>
          <w:rFonts w:hint="eastAsia" w:ascii="宋体" w:hAnsi="宋体" w:eastAsia="宋体" w:cs="宋体"/>
          <w:sz w:val="28"/>
          <w:szCs w:val="28"/>
          <w:lang w:val="en-US" w:eastAsia="zh-CN" w:bidi="ar-SA"/>
        </w:rPr>
        <w:tab/>
      </w:r>
      <w:r>
        <w:rPr>
          <w:rFonts w:hint="eastAsia" w:ascii="宋体" w:hAnsi="宋体" w:eastAsia="宋体" w:cs="宋体"/>
          <w:sz w:val="28"/>
          <w:szCs w:val="28"/>
          <w:lang w:val="en-US" w:eastAsia="zh-CN" w:bidi="ar-SA"/>
        </w:rPr>
        <w:fldChar w:fldCharType="begin"/>
      </w:r>
      <w:r>
        <w:rPr>
          <w:rFonts w:hint="eastAsia" w:ascii="宋体" w:hAnsi="宋体" w:eastAsia="宋体" w:cs="宋体"/>
          <w:sz w:val="28"/>
          <w:szCs w:val="28"/>
          <w:lang w:val="en-US" w:eastAsia="zh-CN" w:bidi="ar-SA"/>
        </w:rPr>
        <w:instrText xml:space="preserve"> PAGEREF _Toc28627 </w:instrText>
      </w:r>
      <w:r>
        <w:rPr>
          <w:rFonts w:hint="eastAsia" w:ascii="宋体" w:hAnsi="宋体" w:eastAsia="宋体" w:cs="宋体"/>
          <w:sz w:val="28"/>
          <w:szCs w:val="28"/>
          <w:lang w:val="en-US" w:eastAsia="zh-CN" w:bidi="ar-SA"/>
        </w:rPr>
        <w:fldChar w:fldCharType="separate"/>
      </w:r>
      <w:r>
        <w:rPr>
          <w:rFonts w:hint="eastAsia" w:ascii="宋体" w:hAnsi="宋体" w:eastAsia="宋体" w:cs="宋体"/>
          <w:sz w:val="28"/>
          <w:szCs w:val="28"/>
          <w:lang w:val="en-US" w:eastAsia="zh-CN" w:bidi="ar-SA"/>
        </w:rPr>
        <w:t>15</w:t>
      </w:r>
      <w:r>
        <w:rPr>
          <w:rFonts w:hint="eastAsia" w:ascii="宋体" w:hAnsi="宋体" w:eastAsia="宋体" w:cs="宋体"/>
          <w:sz w:val="28"/>
          <w:szCs w:val="28"/>
          <w:lang w:val="en-US" w:eastAsia="zh-CN" w:bidi="ar-SA"/>
        </w:rPr>
        <w:fldChar w:fldCharType="end"/>
      </w:r>
      <w:r>
        <w:rPr>
          <w:rFonts w:hint="eastAsia" w:ascii="宋体" w:hAnsi="宋体" w:eastAsia="宋体" w:cs="宋体"/>
          <w:sz w:val="28"/>
          <w:szCs w:val="28"/>
          <w:lang w:val="en-US" w:eastAsia="zh-CN" w:bidi="ar-SA"/>
        </w:rPr>
        <w:fldChar w:fldCharType="end"/>
      </w:r>
    </w:p>
    <w:p>
      <w:pPr>
        <w:pStyle w:val="6"/>
        <w:tabs>
          <w:tab w:val="right" w:leader="dot" w:pos="14572"/>
        </w:tabs>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fldChar w:fldCharType="begin"/>
      </w:r>
      <w:r>
        <w:rPr>
          <w:rFonts w:hint="eastAsia" w:ascii="宋体" w:hAnsi="宋体" w:eastAsia="宋体" w:cs="宋体"/>
          <w:sz w:val="28"/>
          <w:szCs w:val="28"/>
          <w:lang w:val="en-US" w:eastAsia="zh-CN" w:bidi="ar-SA"/>
        </w:rPr>
        <w:instrText xml:space="preserve"> HYPERLINK \l _Toc16345 </w:instrText>
      </w:r>
      <w:r>
        <w:rPr>
          <w:rFonts w:hint="eastAsia" w:ascii="宋体" w:hAnsi="宋体" w:eastAsia="宋体" w:cs="宋体"/>
          <w:sz w:val="28"/>
          <w:szCs w:val="28"/>
          <w:lang w:val="en-US" w:eastAsia="zh-CN" w:bidi="ar-SA"/>
        </w:rPr>
        <w:fldChar w:fldCharType="separate"/>
      </w:r>
      <w:r>
        <w:rPr>
          <w:rFonts w:hint="eastAsia" w:ascii="宋体" w:hAnsi="宋体" w:eastAsia="宋体" w:cs="宋体"/>
          <w:sz w:val="28"/>
          <w:szCs w:val="28"/>
          <w:lang w:val="en-US" w:eastAsia="zh-CN" w:bidi="ar-SA"/>
        </w:rPr>
        <w:t>部门预算一般公共预算财政拨款基本支出表</w:t>
      </w:r>
      <w:r>
        <w:rPr>
          <w:rFonts w:hint="eastAsia" w:ascii="宋体" w:hAnsi="宋体" w:eastAsia="宋体" w:cs="宋体"/>
          <w:sz w:val="28"/>
          <w:szCs w:val="28"/>
          <w:lang w:val="en-US" w:eastAsia="zh-CN" w:bidi="ar-SA"/>
        </w:rPr>
        <w:tab/>
      </w:r>
      <w:r>
        <w:rPr>
          <w:rFonts w:hint="eastAsia" w:ascii="宋体" w:hAnsi="宋体" w:eastAsia="宋体" w:cs="宋体"/>
          <w:sz w:val="28"/>
          <w:szCs w:val="28"/>
          <w:lang w:val="en-US" w:eastAsia="zh-CN" w:bidi="ar-SA"/>
        </w:rPr>
        <w:fldChar w:fldCharType="begin"/>
      </w:r>
      <w:r>
        <w:rPr>
          <w:rFonts w:hint="eastAsia" w:ascii="宋体" w:hAnsi="宋体" w:eastAsia="宋体" w:cs="宋体"/>
          <w:sz w:val="28"/>
          <w:szCs w:val="28"/>
          <w:lang w:val="en-US" w:eastAsia="zh-CN" w:bidi="ar-SA"/>
        </w:rPr>
        <w:instrText xml:space="preserve"> PAGEREF _Toc16345 </w:instrText>
      </w:r>
      <w:r>
        <w:rPr>
          <w:rFonts w:hint="eastAsia" w:ascii="宋体" w:hAnsi="宋体" w:eastAsia="宋体" w:cs="宋体"/>
          <w:sz w:val="28"/>
          <w:szCs w:val="28"/>
          <w:lang w:val="en-US" w:eastAsia="zh-CN" w:bidi="ar-SA"/>
        </w:rPr>
        <w:fldChar w:fldCharType="separate"/>
      </w:r>
      <w:r>
        <w:rPr>
          <w:rFonts w:hint="eastAsia" w:ascii="宋体" w:hAnsi="宋体" w:eastAsia="宋体" w:cs="宋体"/>
          <w:sz w:val="28"/>
          <w:szCs w:val="28"/>
          <w:lang w:val="en-US" w:eastAsia="zh-CN" w:bidi="ar-SA"/>
        </w:rPr>
        <w:t>17</w:t>
      </w:r>
      <w:r>
        <w:rPr>
          <w:rFonts w:hint="eastAsia" w:ascii="宋体" w:hAnsi="宋体" w:eastAsia="宋体" w:cs="宋体"/>
          <w:sz w:val="28"/>
          <w:szCs w:val="28"/>
          <w:lang w:val="en-US" w:eastAsia="zh-CN" w:bidi="ar-SA"/>
        </w:rPr>
        <w:fldChar w:fldCharType="end"/>
      </w:r>
      <w:r>
        <w:rPr>
          <w:rFonts w:hint="eastAsia" w:ascii="宋体" w:hAnsi="宋体" w:eastAsia="宋体" w:cs="宋体"/>
          <w:sz w:val="28"/>
          <w:szCs w:val="28"/>
          <w:lang w:val="en-US" w:eastAsia="zh-CN" w:bidi="ar-SA"/>
        </w:rPr>
        <w:fldChar w:fldCharType="end"/>
      </w:r>
    </w:p>
    <w:p>
      <w:pPr>
        <w:pStyle w:val="6"/>
        <w:tabs>
          <w:tab w:val="right" w:leader="dot" w:pos="14572"/>
        </w:tabs>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fldChar w:fldCharType="begin"/>
      </w:r>
      <w:r>
        <w:rPr>
          <w:rFonts w:hint="eastAsia" w:ascii="宋体" w:hAnsi="宋体" w:eastAsia="宋体" w:cs="宋体"/>
          <w:sz w:val="28"/>
          <w:szCs w:val="28"/>
          <w:lang w:val="en-US" w:eastAsia="zh-CN" w:bidi="ar-SA"/>
        </w:rPr>
        <w:instrText xml:space="preserve"> HYPERLINK \l _Toc16953 </w:instrText>
      </w:r>
      <w:r>
        <w:rPr>
          <w:rFonts w:hint="eastAsia" w:ascii="宋体" w:hAnsi="宋体" w:eastAsia="宋体" w:cs="宋体"/>
          <w:sz w:val="28"/>
          <w:szCs w:val="28"/>
          <w:lang w:val="en-US" w:eastAsia="zh-CN" w:bidi="ar-SA"/>
        </w:rPr>
        <w:fldChar w:fldCharType="separate"/>
      </w:r>
      <w:r>
        <w:rPr>
          <w:rFonts w:hint="eastAsia" w:ascii="宋体" w:hAnsi="宋体" w:eastAsia="宋体" w:cs="宋体"/>
          <w:sz w:val="28"/>
          <w:szCs w:val="28"/>
          <w:lang w:val="en-US" w:eastAsia="zh-CN" w:bidi="ar-SA"/>
        </w:rPr>
        <w:t>部门预算政府性基金预算财政拨款支出表</w:t>
      </w:r>
      <w:r>
        <w:rPr>
          <w:rFonts w:hint="eastAsia" w:ascii="宋体" w:hAnsi="宋体" w:eastAsia="宋体" w:cs="宋体"/>
          <w:sz w:val="28"/>
          <w:szCs w:val="28"/>
          <w:lang w:val="en-US" w:eastAsia="zh-CN" w:bidi="ar-SA"/>
        </w:rPr>
        <w:tab/>
      </w:r>
      <w:r>
        <w:rPr>
          <w:rFonts w:hint="eastAsia" w:ascii="宋体" w:hAnsi="宋体" w:eastAsia="宋体" w:cs="宋体"/>
          <w:sz w:val="28"/>
          <w:szCs w:val="28"/>
          <w:lang w:val="en-US" w:eastAsia="zh-CN" w:bidi="ar-SA"/>
        </w:rPr>
        <w:fldChar w:fldCharType="begin"/>
      </w:r>
      <w:r>
        <w:rPr>
          <w:rFonts w:hint="eastAsia" w:ascii="宋体" w:hAnsi="宋体" w:eastAsia="宋体" w:cs="宋体"/>
          <w:sz w:val="28"/>
          <w:szCs w:val="28"/>
          <w:lang w:val="en-US" w:eastAsia="zh-CN" w:bidi="ar-SA"/>
        </w:rPr>
        <w:instrText xml:space="preserve"> PAGEREF _Toc16953 </w:instrText>
      </w:r>
      <w:r>
        <w:rPr>
          <w:rFonts w:hint="eastAsia" w:ascii="宋体" w:hAnsi="宋体" w:eastAsia="宋体" w:cs="宋体"/>
          <w:sz w:val="28"/>
          <w:szCs w:val="28"/>
          <w:lang w:val="en-US" w:eastAsia="zh-CN" w:bidi="ar-SA"/>
        </w:rPr>
        <w:fldChar w:fldCharType="separate"/>
      </w:r>
      <w:r>
        <w:rPr>
          <w:rFonts w:hint="eastAsia" w:ascii="宋体" w:hAnsi="宋体" w:eastAsia="宋体" w:cs="宋体"/>
          <w:sz w:val="28"/>
          <w:szCs w:val="28"/>
          <w:lang w:val="en-US" w:eastAsia="zh-CN" w:bidi="ar-SA"/>
        </w:rPr>
        <w:t>19</w:t>
      </w:r>
      <w:r>
        <w:rPr>
          <w:rFonts w:hint="eastAsia" w:ascii="宋体" w:hAnsi="宋体" w:eastAsia="宋体" w:cs="宋体"/>
          <w:sz w:val="28"/>
          <w:szCs w:val="28"/>
          <w:lang w:val="en-US" w:eastAsia="zh-CN" w:bidi="ar-SA"/>
        </w:rPr>
        <w:fldChar w:fldCharType="end"/>
      </w:r>
      <w:r>
        <w:rPr>
          <w:rFonts w:hint="eastAsia" w:ascii="宋体" w:hAnsi="宋体" w:eastAsia="宋体" w:cs="宋体"/>
          <w:sz w:val="28"/>
          <w:szCs w:val="28"/>
          <w:lang w:val="en-US" w:eastAsia="zh-CN" w:bidi="ar-SA"/>
        </w:rPr>
        <w:fldChar w:fldCharType="end"/>
      </w:r>
    </w:p>
    <w:p>
      <w:pPr>
        <w:pStyle w:val="6"/>
        <w:tabs>
          <w:tab w:val="right" w:leader="dot" w:pos="14572"/>
        </w:tabs>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fldChar w:fldCharType="begin"/>
      </w:r>
      <w:r>
        <w:rPr>
          <w:rFonts w:hint="eastAsia" w:ascii="宋体" w:hAnsi="宋体" w:eastAsia="宋体" w:cs="宋体"/>
          <w:sz w:val="28"/>
          <w:szCs w:val="28"/>
          <w:lang w:val="en-US" w:eastAsia="zh-CN" w:bidi="ar-SA"/>
        </w:rPr>
        <w:instrText xml:space="preserve"> HYPERLINK \l _Toc19248 </w:instrText>
      </w:r>
      <w:r>
        <w:rPr>
          <w:rFonts w:hint="eastAsia" w:ascii="宋体" w:hAnsi="宋体" w:eastAsia="宋体" w:cs="宋体"/>
          <w:sz w:val="28"/>
          <w:szCs w:val="28"/>
          <w:lang w:val="en-US" w:eastAsia="zh-CN" w:bidi="ar-SA"/>
        </w:rPr>
        <w:fldChar w:fldCharType="separate"/>
      </w:r>
      <w:r>
        <w:rPr>
          <w:rFonts w:hint="eastAsia" w:ascii="宋体" w:hAnsi="宋体" w:eastAsia="宋体" w:cs="宋体"/>
          <w:sz w:val="28"/>
          <w:szCs w:val="28"/>
          <w:lang w:val="en-US" w:eastAsia="zh-CN" w:bidi="ar-SA"/>
        </w:rPr>
        <w:t>部门预算国有资本经营预算财政拨款支出表</w:t>
      </w:r>
      <w:r>
        <w:rPr>
          <w:rFonts w:hint="eastAsia" w:ascii="宋体" w:hAnsi="宋体" w:eastAsia="宋体" w:cs="宋体"/>
          <w:sz w:val="28"/>
          <w:szCs w:val="28"/>
          <w:lang w:val="en-US" w:eastAsia="zh-CN" w:bidi="ar-SA"/>
        </w:rPr>
        <w:tab/>
      </w:r>
      <w:r>
        <w:rPr>
          <w:rFonts w:hint="eastAsia" w:ascii="宋体" w:hAnsi="宋体" w:eastAsia="宋体" w:cs="宋体"/>
          <w:sz w:val="28"/>
          <w:szCs w:val="28"/>
          <w:lang w:val="en-US" w:eastAsia="zh-CN" w:bidi="ar-SA"/>
        </w:rPr>
        <w:fldChar w:fldCharType="begin"/>
      </w:r>
      <w:r>
        <w:rPr>
          <w:rFonts w:hint="eastAsia" w:ascii="宋体" w:hAnsi="宋体" w:eastAsia="宋体" w:cs="宋体"/>
          <w:sz w:val="28"/>
          <w:szCs w:val="28"/>
          <w:lang w:val="en-US" w:eastAsia="zh-CN" w:bidi="ar-SA"/>
        </w:rPr>
        <w:instrText xml:space="preserve"> PAGEREF _Toc19248 </w:instrText>
      </w:r>
      <w:r>
        <w:rPr>
          <w:rFonts w:hint="eastAsia" w:ascii="宋体" w:hAnsi="宋体" w:eastAsia="宋体" w:cs="宋体"/>
          <w:sz w:val="28"/>
          <w:szCs w:val="28"/>
          <w:lang w:val="en-US" w:eastAsia="zh-CN" w:bidi="ar-SA"/>
        </w:rPr>
        <w:fldChar w:fldCharType="separate"/>
      </w:r>
      <w:r>
        <w:rPr>
          <w:rFonts w:hint="eastAsia" w:ascii="宋体" w:hAnsi="宋体" w:eastAsia="宋体" w:cs="宋体"/>
          <w:sz w:val="28"/>
          <w:szCs w:val="28"/>
          <w:lang w:val="en-US" w:eastAsia="zh-CN" w:bidi="ar-SA"/>
        </w:rPr>
        <w:t>20</w:t>
      </w:r>
      <w:r>
        <w:rPr>
          <w:rFonts w:hint="eastAsia" w:ascii="宋体" w:hAnsi="宋体" w:eastAsia="宋体" w:cs="宋体"/>
          <w:sz w:val="28"/>
          <w:szCs w:val="28"/>
          <w:lang w:val="en-US" w:eastAsia="zh-CN" w:bidi="ar-SA"/>
        </w:rPr>
        <w:fldChar w:fldCharType="end"/>
      </w:r>
      <w:r>
        <w:rPr>
          <w:rFonts w:hint="eastAsia" w:ascii="宋体" w:hAnsi="宋体" w:eastAsia="宋体" w:cs="宋体"/>
          <w:sz w:val="28"/>
          <w:szCs w:val="28"/>
          <w:lang w:val="en-US" w:eastAsia="zh-CN" w:bidi="ar-SA"/>
        </w:rPr>
        <w:fldChar w:fldCharType="end"/>
      </w:r>
    </w:p>
    <w:p>
      <w:pPr>
        <w:pStyle w:val="6"/>
        <w:tabs>
          <w:tab w:val="right" w:leader="dot" w:pos="14572"/>
        </w:tabs>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fldChar w:fldCharType="begin"/>
      </w:r>
      <w:r>
        <w:rPr>
          <w:rFonts w:hint="eastAsia" w:ascii="宋体" w:hAnsi="宋体" w:eastAsia="宋体" w:cs="宋体"/>
          <w:sz w:val="28"/>
          <w:szCs w:val="28"/>
          <w:lang w:val="en-US" w:eastAsia="zh-CN" w:bidi="ar-SA"/>
        </w:rPr>
        <w:instrText xml:space="preserve"> HYPERLINK \l _Toc2487 </w:instrText>
      </w:r>
      <w:r>
        <w:rPr>
          <w:rFonts w:hint="eastAsia" w:ascii="宋体" w:hAnsi="宋体" w:eastAsia="宋体" w:cs="宋体"/>
          <w:sz w:val="28"/>
          <w:szCs w:val="28"/>
          <w:lang w:val="en-US" w:eastAsia="zh-CN" w:bidi="ar-SA"/>
        </w:rPr>
        <w:fldChar w:fldCharType="separate"/>
      </w:r>
      <w:r>
        <w:rPr>
          <w:rFonts w:hint="eastAsia" w:ascii="宋体" w:hAnsi="宋体" w:eastAsia="宋体" w:cs="宋体"/>
          <w:sz w:val="28"/>
          <w:szCs w:val="28"/>
          <w:lang w:val="en-US" w:eastAsia="zh-CN" w:bidi="ar-SA"/>
        </w:rPr>
        <w:t>部门预算财政拨款“三公”经费支出表</w:t>
      </w:r>
      <w:r>
        <w:rPr>
          <w:rFonts w:hint="eastAsia" w:ascii="宋体" w:hAnsi="宋体" w:eastAsia="宋体" w:cs="宋体"/>
          <w:sz w:val="28"/>
          <w:szCs w:val="28"/>
          <w:lang w:val="en-US" w:eastAsia="zh-CN" w:bidi="ar-SA"/>
        </w:rPr>
        <w:tab/>
      </w:r>
      <w:r>
        <w:rPr>
          <w:rFonts w:hint="eastAsia" w:ascii="宋体" w:hAnsi="宋体" w:eastAsia="宋体" w:cs="宋体"/>
          <w:sz w:val="28"/>
          <w:szCs w:val="28"/>
          <w:lang w:val="en-US" w:eastAsia="zh-CN" w:bidi="ar-SA"/>
        </w:rPr>
        <w:fldChar w:fldCharType="begin"/>
      </w:r>
      <w:r>
        <w:rPr>
          <w:rFonts w:hint="eastAsia" w:ascii="宋体" w:hAnsi="宋体" w:eastAsia="宋体" w:cs="宋体"/>
          <w:sz w:val="28"/>
          <w:szCs w:val="28"/>
          <w:lang w:val="en-US" w:eastAsia="zh-CN" w:bidi="ar-SA"/>
        </w:rPr>
        <w:instrText xml:space="preserve"> PAGEREF _Toc2487 </w:instrText>
      </w:r>
      <w:r>
        <w:rPr>
          <w:rFonts w:hint="eastAsia" w:ascii="宋体" w:hAnsi="宋体" w:eastAsia="宋体" w:cs="宋体"/>
          <w:sz w:val="28"/>
          <w:szCs w:val="28"/>
          <w:lang w:val="en-US" w:eastAsia="zh-CN" w:bidi="ar-SA"/>
        </w:rPr>
        <w:fldChar w:fldCharType="separate"/>
      </w:r>
      <w:r>
        <w:rPr>
          <w:rFonts w:hint="eastAsia" w:ascii="宋体" w:hAnsi="宋体" w:eastAsia="宋体" w:cs="宋体"/>
          <w:sz w:val="28"/>
          <w:szCs w:val="28"/>
          <w:lang w:val="en-US" w:eastAsia="zh-CN" w:bidi="ar-SA"/>
        </w:rPr>
        <w:t>21</w:t>
      </w:r>
      <w:r>
        <w:rPr>
          <w:rFonts w:hint="eastAsia" w:ascii="宋体" w:hAnsi="宋体" w:eastAsia="宋体" w:cs="宋体"/>
          <w:sz w:val="28"/>
          <w:szCs w:val="28"/>
          <w:lang w:val="en-US" w:eastAsia="zh-CN" w:bidi="ar-SA"/>
        </w:rPr>
        <w:fldChar w:fldCharType="end"/>
      </w:r>
      <w:r>
        <w:rPr>
          <w:rFonts w:hint="eastAsia" w:ascii="宋体" w:hAnsi="宋体" w:eastAsia="宋体" w:cs="宋体"/>
          <w:sz w:val="28"/>
          <w:szCs w:val="28"/>
          <w:lang w:val="en-US" w:eastAsia="zh-CN" w:bidi="ar-SA"/>
        </w:rPr>
        <w:fldChar w:fldCharType="end"/>
      </w:r>
    </w:p>
    <w:p>
      <w:r>
        <w:rPr>
          <w:rFonts w:hint="eastAsia" w:ascii="宋体" w:hAnsi="宋体" w:eastAsia="宋体" w:cs="宋体"/>
          <w:sz w:val="28"/>
          <w:szCs w:val="28"/>
          <w:lang w:val="en-US" w:eastAsia="zh-CN" w:bidi="ar-SA"/>
        </w:rPr>
        <w:fldChar w:fldCharType="end"/>
      </w:r>
    </w:p>
    <w:p>
      <w:pPr>
        <w:spacing w:before="0" w:after="0" w:line="240" w:lineRule="auto"/>
        <w:ind w:firstLine="0"/>
        <w:jc w:val="left"/>
        <w:outlineLvl w:val="9"/>
      </w:pPr>
      <w:r>
        <w:rPr>
          <w:b/>
          <w:color w:val="000000"/>
          <w:sz w:val="28"/>
        </w:rPr>
        <w:t>部门预算信息公开情况说明</w:t>
      </w:r>
    </w:p>
    <w:p>
      <w:pPr>
        <w:pStyle w:val="3"/>
        <w:tabs>
          <w:tab w:val="right" w:leader="dot" w:pos="14572"/>
        </w:tabs>
        <w:ind w:left="480" w:leftChars="200" w:firstLine="0" w:firstLineChars="0"/>
        <w:jc w:val="both"/>
        <w:rPr>
          <w:rFonts w:hint="eastAsia" w:ascii="宋体" w:hAnsi="宋体" w:eastAsia="宋体" w:cs="宋体"/>
          <w:color w:val="000000"/>
          <w:sz w:val="28"/>
          <w:szCs w:val="28"/>
          <w:lang w:val="en-US" w:eastAsia="zh-CN" w:bidi="ar-S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"3-3" \h \z \u</w:instrText>
      </w:r>
      <w:r>
        <w:rPr>
          <w:rFonts w:hint="eastAsia" w:ascii="宋体" w:hAnsi="宋体" w:eastAsia="宋体" w:cs="宋体"/>
          <w:sz w:val="28"/>
          <w:szCs w:val="28"/>
        </w:rPr>
        <w:fldChar w:fldCharType="separate"/>
      </w:r>
      <w:r>
        <w:rPr>
          <w:rFonts w:hint="eastAsia" w:ascii="宋体" w:hAnsi="宋体" w:eastAsia="宋体" w:cs="宋体"/>
          <w:color w:val="000000"/>
          <w:sz w:val="28"/>
          <w:szCs w:val="28"/>
          <w:lang w:val="en-US" w:eastAsia="zh-CN" w:bidi="ar-SA"/>
        </w:rPr>
        <w:fldChar w:fldCharType="begin"/>
      </w:r>
      <w:r>
        <w:rPr>
          <w:rFonts w:hint="eastAsia" w:ascii="宋体" w:hAnsi="宋体" w:eastAsia="宋体" w:cs="宋体"/>
          <w:color w:val="000000"/>
          <w:sz w:val="28"/>
          <w:szCs w:val="28"/>
          <w:lang w:val="en-US" w:eastAsia="zh-CN" w:bidi="ar-SA"/>
        </w:rPr>
        <w:instrText xml:space="preserve"> HYPERLINK \l _Toc27125 </w:instrText>
      </w:r>
      <w:r>
        <w:rPr>
          <w:rFonts w:hint="eastAsia" w:ascii="宋体" w:hAnsi="宋体" w:eastAsia="宋体" w:cs="宋体"/>
          <w:color w:val="000000"/>
          <w:sz w:val="28"/>
          <w:szCs w:val="28"/>
          <w:lang w:val="en-US" w:eastAsia="zh-CN" w:bidi="ar-SA"/>
        </w:rPr>
        <w:fldChar w:fldCharType="separate"/>
      </w:r>
      <w:r>
        <w:rPr>
          <w:rFonts w:hint="eastAsia" w:ascii="宋体" w:hAnsi="宋体" w:eastAsia="宋体" w:cs="宋体"/>
          <w:sz w:val="28"/>
          <w:szCs w:val="28"/>
          <w:lang w:val="en-US" w:eastAsia="zh-CN" w:bidi="ar-SA"/>
        </w:rPr>
        <w:t>一、部门职责及机构设置情况</w:t>
      </w:r>
      <w:r>
        <w:rPr>
          <w:rFonts w:hint="eastAsia" w:ascii="宋体" w:hAnsi="宋体" w:eastAsia="宋体" w:cs="宋体"/>
          <w:sz w:val="28"/>
          <w:szCs w:val="28"/>
          <w:lang w:val="en-US" w:eastAsia="zh-CN" w:bidi="ar-SA"/>
        </w:rPr>
        <w:tab/>
      </w:r>
      <w:r>
        <w:rPr>
          <w:rFonts w:hint="eastAsia" w:ascii="宋体" w:hAnsi="宋体" w:eastAsia="宋体" w:cs="宋体"/>
          <w:sz w:val="28"/>
          <w:szCs w:val="28"/>
          <w:lang w:val="en-US" w:eastAsia="zh-CN" w:bidi="ar-SA"/>
        </w:rPr>
        <w:fldChar w:fldCharType="begin"/>
      </w:r>
      <w:r>
        <w:rPr>
          <w:rFonts w:hint="eastAsia" w:ascii="宋体" w:hAnsi="宋体" w:eastAsia="宋体" w:cs="宋体"/>
          <w:sz w:val="28"/>
          <w:szCs w:val="28"/>
          <w:lang w:val="en-US" w:eastAsia="zh-CN" w:bidi="ar-SA"/>
        </w:rPr>
        <w:instrText xml:space="preserve"> PAGEREF _Toc27125 </w:instrText>
      </w:r>
      <w:r>
        <w:rPr>
          <w:rFonts w:hint="eastAsia" w:ascii="宋体" w:hAnsi="宋体" w:eastAsia="宋体" w:cs="宋体"/>
          <w:sz w:val="28"/>
          <w:szCs w:val="28"/>
          <w:lang w:val="en-US" w:eastAsia="zh-CN" w:bidi="ar-SA"/>
        </w:rPr>
        <w:fldChar w:fldCharType="separate"/>
      </w:r>
      <w:r>
        <w:rPr>
          <w:rFonts w:hint="eastAsia" w:ascii="宋体" w:hAnsi="宋体" w:eastAsia="宋体" w:cs="宋体"/>
          <w:sz w:val="28"/>
          <w:szCs w:val="28"/>
          <w:lang w:val="en-US" w:eastAsia="zh-CN" w:bidi="ar-SA"/>
        </w:rPr>
        <w:t>22</w:t>
      </w:r>
      <w:r>
        <w:rPr>
          <w:rFonts w:hint="eastAsia" w:ascii="宋体" w:hAnsi="宋体" w:eastAsia="宋体" w:cs="宋体"/>
          <w:sz w:val="28"/>
          <w:szCs w:val="28"/>
          <w:lang w:val="en-US" w:eastAsia="zh-CN" w:bidi="ar-SA"/>
        </w:rPr>
        <w:fldChar w:fldCharType="end"/>
      </w:r>
      <w:r>
        <w:rPr>
          <w:rFonts w:hint="eastAsia" w:ascii="宋体" w:hAnsi="宋体" w:eastAsia="宋体" w:cs="宋体"/>
          <w:color w:val="000000"/>
          <w:sz w:val="28"/>
          <w:szCs w:val="28"/>
          <w:lang w:val="en-US" w:eastAsia="zh-CN" w:bidi="ar-SA"/>
        </w:rPr>
        <w:fldChar w:fldCharType="end"/>
      </w:r>
    </w:p>
    <w:p>
      <w:pPr>
        <w:pStyle w:val="3"/>
        <w:tabs>
          <w:tab w:val="right" w:leader="dot" w:pos="14572"/>
        </w:tabs>
        <w:ind w:left="480" w:leftChars="200" w:firstLine="0" w:firstLineChars="0"/>
        <w:jc w:val="both"/>
        <w:rPr>
          <w:rFonts w:hint="eastAsia" w:ascii="宋体" w:hAnsi="宋体" w:eastAsia="宋体" w:cs="宋体"/>
          <w:color w:val="000000"/>
          <w:sz w:val="28"/>
          <w:szCs w:val="28"/>
          <w:lang w:val="en-US" w:eastAsia="zh-CN" w:bidi="ar-SA"/>
        </w:rPr>
      </w:pPr>
      <w:r>
        <w:rPr>
          <w:rFonts w:hint="eastAsia" w:ascii="宋体" w:hAnsi="宋体" w:eastAsia="宋体" w:cs="宋体"/>
          <w:color w:val="000000"/>
          <w:sz w:val="28"/>
          <w:szCs w:val="28"/>
          <w:lang w:val="en-US" w:eastAsia="zh-CN" w:bidi="ar-SA"/>
        </w:rPr>
        <w:fldChar w:fldCharType="begin"/>
      </w:r>
      <w:r>
        <w:rPr>
          <w:rFonts w:hint="eastAsia" w:ascii="宋体" w:hAnsi="宋体" w:eastAsia="宋体" w:cs="宋体"/>
          <w:color w:val="000000"/>
          <w:sz w:val="28"/>
          <w:szCs w:val="28"/>
          <w:lang w:val="en-US" w:eastAsia="zh-CN" w:bidi="ar-SA"/>
        </w:rPr>
        <w:instrText xml:space="preserve"> HYPERLINK \l _Toc22187 </w:instrText>
      </w:r>
      <w:r>
        <w:rPr>
          <w:rFonts w:hint="eastAsia" w:ascii="宋体" w:hAnsi="宋体" w:eastAsia="宋体" w:cs="宋体"/>
          <w:color w:val="000000"/>
          <w:sz w:val="28"/>
          <w:szCs w:val="28"/>
          <w:lang w:val="en-US" w:eastAsia="zh-CN" w:bidi="ar-SA"/>
        </w:rPr>
        <w:fldChar w:fldCharType="separate"/>
      </w:r>
      <w:r>
        <w:rPr>
          <w:rFonts w:hint="eastAsia" w:ascii="宋体" w:hAnsi="宋体" w:eastAsia="宋体" w:cs="宋体"/>
          <w:sz w:val="28"/>
          <w:szCs w:val="28"/>
          <w:lang w:val="en-US" w:eastAsia="zh-CN" w:bidi="ar-SA"/>
        </w:rPr>
        <w:t>二、部门预算安排的总体情况</w:t>
      </w:r>
      <w:r>
        <w:rPr>
          <w:rFonts w:hint="eastAsia" w:ascii="宋体" w:hAnsi="宋体" w:eastAsia="宋体" w:cs="宋体"/>
          <w:sz w:val="28"/>
          <w:szCs w:val="28"/>
          <w:lang w:val="en-US" w:eastAsia="zh-CN" w:bidi="ar-SA"/>
        </w:rPr>
        <w:tab/>
      </w:r>
      <w:r>
        <w:rPr>
          <w:rFonts w:hint="eastAsia" w:ascii="宋体" w:hAnsi="宋体" w:eastAsia="宋体" w:cs="宋体"/>
          <w:sz w:val="28"/>
          <w:szCs w:val="28"/>
          <w:lang w:val="en-US" w:eastAsia="zh-CN" w:bidi="ar-SA"/>
        </w:rPr>
        <w:fldChar w:fldCharType="begin"/>
      </w:r>
      <w:r>
        <w:rPr>
          <w:rFonts w:hint="eastAsia" w:ascii="宋体" w:hAnsi="宋体" w:eastAsia="宋体" w:cs="宋体"/>
          <w:sz w:val="28"/>
          <w:szCs w:val="28"/>
          <w:lang w:val="en-US" w:eastAsia="zh-CN" w:bidi="ar-SA"/>
        </w:rPr>
        <w:instrText xml:space="preserve"> PAGEREF _Toc22187 </w:instrText>
      </w:r>
      <w:r>
        <w:rPr>
          <w:rFonts w:hint="eastAsia" w:ascii="宋体" w:hAnsi="宋体" w:eastAsia="宋体" w:cs="宋体"/>
          <w:sz w:val="28"/>
          <w:szCs w:val="28"/>
          <w:lang w:val="en-US" w:eastAsia="zh-CN" w:bidi="ar-SA"/>
        </w:rPr>
        <w:fldChar w:fldCharType="separate"/>
      </w:r>
      <w:r>
        <w:rPr>
          <w:rFonts w:hint="eastAsia" w:ascii="宋体" w:hAnsi="宋体" w:eastAsia="宋体" w:cs="宋体"/>
          <w:sz w:val="28"/>
          <w:szCs w:val="28"/>
          <w:lang w:val="en-US" w:eastAsia="zh-CN" w:bidi="ar-SA"/>
        </w:rPr>
        <w:t>24</w:t>
      </w:r>
      <w:r>
        <w:rPr>
          <w:rFonts w:hint="eastAsia" w:ascii="宋体" w:hAnsi="宋体" w:eastAsia="宋体" w:cs="宋体"/>
          <w:sz w:val="28"/>
          <w:szCs w:val="28"/>
          <w:lang w:val="en-US" w:eastAsia="zh-CN" w:bidi="ar-SA"/>
        </w:rPr>
        <w:fldChar w:fldCharType="end"/>
      </w:r>
      <w:r>
        <w:rPr>
          <w:rFonts w:hint="eastAsia" w:ascii="宋体" w:hAnsi="宋体" w:eastAsia="宋体" w:cs="宋体"/>
          <w:color w:val="000000"/>
          <w:sz w:val="28"/>
          <w:szCs w:val="28"/>
          <w:lang w:val="en-US" w:eastAsia="zh-CN" w:bidi="ar-SA"/>
        </w:rPr>
        <w:fldChar w:fldCharType="end"/>
      </w:r>
    </w:p>
    <w:p>
      <w:pPr>
        <w:pStyle w:val="3"/>
        <w:tabs>
          <w:tab w:val="right" w:leader="dot" w:pos="14572"/>
        </w:tabs>
        <w:ind w:left="480" w:leftChars="200" w:firstLine="0" w:firstLineChars="0"/>
        <w:jc w:val="both"/>
        <w:rPr>
          <w:rFonts w:hint="eastAsia" w:ascii="宋体" w:hAnsi="宋体" w:eastAsia="宋体" w:cs="宋体"/>
          <w:color w:val="000000"/>
          <w:sz w:val="28"/>
          <w:szCs w:val="28"/>
          <w:lang w:val="en-US" w:eastAsia="zh-CN" w:bidi="ar-SA"/>
        </w:rPr>
      </w:pPr>
      <w:r>
        <w:rPr>
          <w:rFonts w:hint="eastAsia" w:ascii="宋体" w:hAnsi="宋体" w:eastAsia="宋体" w:cs="宋体"/>
          <w:color w:val="000000"/>
          <w:sz w:val="28"/>
          <w:szCs w:val="28"/>
          <w:lang w:val="en-US" w:eastAsia="zh-CN" w:bidi="ar-SA"/>
        </w:rPr>
        <w:fldChar w:fldCharType="begin"/>
      </w:r>
      <w:r>
        <w:rPr>
          <w:rFonts w:hint="eastAsia" w:ascii="宋体" w:hAnsi="宋体" w:eastAsia="宋体" w:cs="宋体"/>
          <w:color w:val="000000"/>
          <w:sz w:val="28"/>
          <w:szCs w:val="28"/>
          <w:lang w:val="en-US" w:eastAsia="zh-CN" w:bidi="ar-SA"/>
        </w:rPr>
        <w:instrText xml:space="preserve"> HYPERLINK \l _Toc19171 </w:instrText>
      </w:r>
      <w:r>
        <w:rPr>
          <w:rFonts w:hint="eastAsia" w:ascii="宋体" w:hAnsi="宋体" w:eastAsia="宋体" w:cs="宋体"/>
          <w:color w:val="000000"/>
          <w:sz w:val="28"/>
          <w:szCs w:val="28"/>
          <w:lang w:val="en-US" w:eastAsia="zh-CN" w:bidi="ar-SA"/>
        </w:rPr>
        <w:fldChar w:fldCharType="separate"/>
      </w:r>
      <w:r>
        <w:rPr>
          <w:rFonts w:hint="eastAsia" w:ascii="宋体" w:hAnsi="宋体" w:eastAsia="宋体" w:cs="宋体"/>
          <w:sz w:val="28"/>
          <w:szCs w:val="28"/>
          <w:lang w:val="en-US" w:eastAsia="zh-CN" w:bidi="ar-SA"/>
        </w:rPr>
        <w:t>三、机关运行经费安排情况</w:t>
      </w:r>
      <w:r>
        <w:rPr>
          <w:rFonts w:hint="eastAsia" w:ascii="宋体" w:hAnsi="宋体" w:eastAsia="宋体" w:cs="宋体"/>
          <w:sz w:val="28"/>
          <w:szCs w:val="28"/>
          <w:lang w:val="en-US" w:eastAsia="zh-CN" w:bidi="ar-SA"/>
        </w:rPr>
        <w:tab/>
      </w:r>
      <w:r>
        <w:rPr>
          <w:rFonts w:hint="eastAsia" w:ascii="宋体" w:hAnsi="宋体" w:eastAsia="宋体" w:cs="宋体"/>
          <w:sz w:val="28"/>
          <w:szCs w:val="28"/>
          <w:lang w:val="en-US" w:eastAsia="zh-CN" w:bidi="ar-SA"/>
        </w:rPr>
        <w:fldChar w:fldCharType="begin"/>
      </w:r>
      <w:r>
        <w:rPr>
          <w:rFonts w:hint="eastAsia" w:ascii="宋体" w:hAnsi="宋体" w:eastAsia="宋体" w:cs="宋体"/>
          <w:sz w:val="28"/>
          <w:szCs w:val="28"/>
          <w:lang w:val="en-US" w:eastAsia="zh-CN" w:bidi="ar-SA"/>
        </w:rPr>
        <w:instrText xml:space="preserve"> PAGEREF _Toc19171 </w:instrText>
      </w:r>
      <w:r>
        <w:rPr>
          <w:rFonts w:hint="eastAsia" w:ascii="宋体" w:hAnsi="宋体" w:eastAsia="宋体" w:cs="宋体"/>
          <w:sz w:val="28"/>
          <w:szCs w:val="28"/>
          <w:lang w:val="en-US" w:eastAsia="zh-CN" w:bidi="ar-SA"/>
        </w:rPr>
        <w:fldChar w:fldCharType="separate"/>
      </w:r>
      <w:r>
        <w:rPr>
          <w:rFonts w:hint="eastAsia" w:ascii="宋体" w:hAnsi="宋体" w:eastAsia="宋体" w:cs="宋体"/>
          <w:sz w:val="28"/>
          <w:szCs w:val="28"/>
          <w:lang w:val="en-US" w:eastAsia="zh-CN" w:bidi="ar-SA"/>
        </w:rPr>
        <w:t>25</w:t>
      </w:r>
      <w:r>
        <w:rPr>
          <w:rFonts w:hint="eastAsia" w:ascii="宋体" w:hAnsi="宋体" w:eastAsia="宋体" w:cs="宋体"/>
          <w:sz w:val="28"/>
          <w:szCs w:val="28"/>
          <w:lang w:val="en-US" w:eastAsia="zh-CN" w:bidi="ar-SA"/>
        </w:rPr>
        <w:fldChar w:fldCharType="end"/>
      </w:r>
      <w:r>
        <w:rPr>
          <w:rFonts w:hint="eastAsia" w:ascii="宋体" w:hAnsi="宋体" w:eastAsia="宋体" w:cs="宋体"/>
          <w:color w:val="000000"/>
          <w:sz w:val="28"/>
          <w:szCs w:val="28"/>
          <w:lang w:val="en-US" w:eastAsia="zh-CN" w:bidi="ar-SA"/>
        </w:rPr>
        <w:fldChar w:fldCharType="end"/>
      </w:r>
    </w:p>
    <w:p>
      <w:pPr>
        <w:pStyle w:val="3"/>
        <w:tabs>
          <w:tab w:val="right" w:leader="dot" w:pos="14572"/>
        </w:tabs>
        <w:ind w:left="480" w:leftChars="200" w:firstLine="0" w:firstLineChars="0"/>
        <w:jc w:val="both"/>
        <w:rPr>
          <w:rFonts w:hint="eastAsia" w:ascii="宋体" w:hAnsi="宋体" w:eastAsia="宋体" w:cs="宋体"/>
          <w:color w:val="000000"/>
          <w:sz w:val="28"/>
          <w:szCs w:val="28"/>
          <w:lang w:val="en-US" w:eastAsia="zh-CN" w:bidi="ar-SA"/>
        </w:rPr>
      </w:pPr>
      <w:r>
        <w:rPr>
          <w:rFonts w:hint="eastAsia" w:ascii="宋体" w:hAnsi="宋体" w:eastAsia="宋体" w:cs="宋体"/>
          <w:color w:val="000000"/>
          <w:sz w:val="28"/>
          <w:szCs w:val="28"/>
          <w:lang w:val="en-US" w:eastAsia="zh-CN" w:bidi="ar-SA"/>
        </w:rPr>
        <w:fldChar w:fldCharType="begin"/>
      </w:r>
      <w:r>
        <w:rPr>
          <w:rFonts w:hint="eastAsia" w:ascii="宋体" w:hAnsi="宋体" w:eastAsia="宋体" w:cs="宋体"/>
          <w:color w:val="000000"/>
          <w:sz w:val="28"/>
          <w:szCs w:val="28"/>
          <w:lang w:val="en-US" w:eastAsia="zh-CN" w:bidi="ar-SA"/>
        </w:rPr>
        <w:instrText xml:space="preserve"> HYPERLINK \l _Toc24071 </w:instrText>
      </w:r>
      <w:r>
        <w:rPr>
          <w:rFonts w:hint="eastAsia" w:ascii="宋体" w:hAnsi="宋体" w:eastAsia="宋体" w:cs="宋体"/>
          <w:color w:val="000000"/>
          <w:sz w:val="28"/>
          <w:szCs w:val="28"/>
          <w:lang w:val="en-US" w:eastAsia="zh-CN" w:bidi="ar-SA"/>
        </w:rPr>
        <w:fldChar w:fldCharType="separate"/>
      </w:r>
      <w:r>
        <w:rPr>
          <w:rFonts w:hint="eastAsia" w:ascii="宋体" w:hAnsi="宋体" w:eastAsia="宋体" w:cs="宋体"/>
          <w:sz w:val="28"/>
          <w:szCs w:val="28"/>
          <w:lang w:val="en-US" w:eastAsia="zh-CN" w:bidi="ar-SA"/>
        </w:rPr>
        <w:t>四、财政拨款“三公”经费预算情况及增减变化原因</w:t>
      </w:r>
      <w:r>
        <w:rPr>
          <w:rFonts w:hint="eastAsia" w:ascii="宋体" w:hAnsi="宋体" w:eastAsia="宋体" w:cs="宋体"/>
          <w:sz w:val="28"/>
          <w:szCs w:val="28"/>
          <w:lang w:val="en-US" w:eastAsia="zh-CN" w:bidi="ar-SA"/>
        </w:rPr>
        <w:tab/>
      </w:r>
      <w:r>
        <w:rPr>
          <w:rFonts w:hint="eastAsia" w:ascii="宋体" w:hAnsi="宋体" w:eastAsia="宋体" w:cs="宋体"/>
          <w:sz w:val="28"/>
          <w:szCs w:val="28"/>
          <w:lang w:val="en-US" w:eastAsia="zh-CN" w:bidi="ar-SA"/>
        </w:rPr>
        <w:fldChar w:fldCharType="begin"/>
      </w:r>
      <w:r>
        <w:rPr>
          <w:rFonts w:hint="eastAsia" w:ascii="宋体" w:hAnsi="宋体" w:eastAsia="宋体" w:cs="宋体"/>
          <w:sz w:val="28"/>
          <w:szCs w:val="28"/>
          <w:lang w:val="en-US" w:eastAsia="zh-CN" w:bidi="ar-SA"/>
        </w:rPr>
        <w:instrText xml:space="preserve"> PAGEREF _Toc24071 </w:instrText>
      </w:r>
      <w:r>
        <w:rPr>
          <w:rFonts w:hint="eastAsia" w:ascii="宋体" w:hAnsi="宋体" w:eastAsia="宋体" w:cs="宋体"/>
          <w:sz w:val="28"/>
          <w:szCs w:val="28"/>
          <w:lang w:val="en-US" w:eastAsia="zh-CN" w:bidi="ar-SA"/>
        </w:rPr>
        <w:fldChar w:fldCharType="separate"/>
      </w:r>
      <w:r>
        <w:rPr>
          <w:rFonts w:hint="eastAsia" w:ascii="宋体" w:hAnsi="宋体" w:eastAsia="宋体" w:cs="宋体"/>
          <w:sz w:val="28"/>
          <w:szCs w:val="28"/>
          <w:lang w:val="en-US" w:eastAsia="zh-CN" w:bidi="ar-SA"/>
        </w:rPr>
        <w:t>25</w:t>
      </w:r>
      <w:r>
        <w:rPr>
          <w:rFonts w:hint="eastAsia" w:ascii="宋体" w:hAnsi="宋体" w:eastAsia="宋体" w:cs="宋体"/>
          <w:sz w:val="28"/>
          <w:szCs w:val="28"/>
          <w:lang w:val="en-US" w:eastAsia="zh-CN" w:bidi="ar-SA"/>
        </w:rPr>
        <w:fldChar w:fldCharType="end"/>
      </w:r>
      <w:r>
        <w:rPr>
          <w:rFonts w:hint="eastAsia" w:ascii="宋体" w:hAnsi="宋体" w:eastAsia="宋体" w:cs="宋体"/>
          <w:color w:val="000000"/>
          <w:sz w:val="28"/>
          <w:szCs w:val="28"/>
          <w:lang w:val="en-US" w:eastAsia="zh-CN" w:bidi="ar-SA"/>
        </w:rPr>
        <w:fldChar w:fldCharType="end"/>
      </w:r>
    </w:p>
    <w:p>
      <w:pPr>
        <w:pStyle w:val="3"/>
        <w:tabs>
          <w:tab w:val="right" w:leader="dot" w:pos="14572"/>
        </w:tabs>
        <w:ind w:left="480" w:leftChars="200" w:firstLine="0" w:firstLineChars="0"/>
        <w:jc w:val="both"/>
        <w:rPr>
          <w:rFonts w:hint="eastAsia" w:ascii="宋体" w:hAnsi="宋体" w:eastAsia="宋体" w:cs="宋体"/>
          <w:color w:val="000000"/>
          <w:sz w:val="28"/>
          <w:szCs w:val="28"/>
          <w:lang w:val="en-US" w:eastAsia="zh-CN" w:bidi="ar-SA"/>
        </w:rPr>
      </w:pPr>
      <w:r>
        <w:rPr>
          <w:rFonts w:hint="eastAsia" w:ascii="宋体" w:hAnsi="宋体" w:eastAsia="宋体" w:cs="宋体"/>
          <w:color w:val="000000"/>
          <w:sz w:val="28"/>
          <w:szCs w:val="28"/>
          <w:lang w:val="en-US" w:eastAsia="zh-CN" w:bidi="ar-SA"/>
        </w:rPr>
        <w:fldChar w:fldCharType="begin"/>
      </w:r>
      <w:r>
        <w:rPr>
          <w:rFonts w:hint="eastAsia" w:ascii="宋体" w:hAnsi="宋体" w:eastAsia="宋体" w:cs="宋体"/>
          <w:color w:val="000000"/>
          <w:sz w:val="28"/>
          <w:szCs w:val="28"/>
          <w:lang w:val="en-US" w:eastAsia="zh-CN" w:bidi="ar-SA"/>
        </w:rPr>
        <w:instrText xml:space="preserve"> HYPERLINK \l _Toc12236 </w:instrText>
      </w:r>
      <w:r>
        <w:rPr>
          <w:rFonts w:hint="eastAsia" w:ascii="宋体" w:hAnsi="宋体" w:eastAsia="宋体" w:cs="宋体"/>
          <w:color w:val="000000"/>
          <w:sz w:val="28"/>
          <w:szCs w:val="28"/>
          <w:lang w:val="en-US" w:eastAsia="zh-CN" w:bidi="ar-SA"/>
        </w:rPr>
        <w:fldChar w:fldCharType="separate"/>
      </w:r>
      <w:r>
        <w:rPr>
          <w:rFonts w:hint="eastAsia" w:ascii="宋体" w:hAnsi="宋体" w:eastAsia="宋体" w:cs="宋体"/>
          <w:sz w:val="28"/>
          <w:szCs w:val="28"/>
          <w:lang w:val="en-US" w:eastAsia="zh-CN" w:bidi="ar-SA"/>
        </w:rPr>
        <w:t>五、部门整体绩效目标</w:t>
      </w:r>
      <w:r>
        <w:rPr>
          <w:rFonts w:hint="eastAsia" w:ascii="宋体" w:hAnsi="宋体" w:eastAsia="宋体" w:cs="宋体"/>
          <w:sz w:val="28"/>
          <w:szCs w:val="28"/>
          <w:lang w:val="en-US" w:eastAsia="zh-CN" w:bidi="ar-SA"/>
        </w:rPr>
        <w:tab/>
      </w:r>
      <w:r>
        <w:rPr>
          <w:rFonts w:hint="eastAsia" w:ascii="宋体" w:hAnsi="宋体" w:eastAsia="宋体" w:cs="宋体"/>
          <w:sz w:val="28"/>
          <w:szCs w:val="28"/>
          <w:lang w:val="en-US" w:eastAsia="zh-CN" w:bidi="ar-SA"/>
        </w:rPr>
        <w:fldChar w:fldCharType="begin"/>
      </w:r>
      <w:r>
        <w:rPr>
          <w:rFonts w:hint="eastAsia" w:ascii="宋体" w:hAnsi="宋体" w:eastAsia="宋体" w:cs="宋体"/>
          <w:sz w:val="28"/>
          <w:szCs w:val="28"/>
          <w:lang w:val="en-US" w:eastAsia="zh-CN" w:bidi="ar-SA"/>
        </w:rPr>
        <w:instrText xml:space="preserve"> PAGEREF _Toc12236 </w:instrText>
      </w:r>
      <w:r>
        <w:rPr>
          <w:rFonts w:hint="eastAsia" w:ascii="宋体" w:hAnsi="宋体" w:eastAsia="宋体" w:cs="宋体"/>
          <w:sz w:val="28"/>
          <w:szCs w:val="28"/>
          <w:lang w:val="en-US" w:eastAsia="zh-CN" w:bidi="ar-SA"/>
        </w:rPr>
        <w:fldChar w:fldCharType="separate"/>
      </w:r>
      <w:r>
        <w:rPr>
          <w:rFonts w:hint="eastAsia" w:ascii="宋体" w:hAnsi="宋体" w:eastAsia="宋体" w:cs="宋体"/>
          <w:sz w:val="28"/>
          <w:szCs w:val="28"/>
          <w:lang w:val="en-US" w:eastAsia="zh-CN" w:bidi="ar-SA"/>
        </w:rPr>
        <w:t>25</w:t>
      </w:r>
      <w:r>
        <w:rPr>
          <w:rFonts w:hint="eastAsia" w:ascii="宋体" w:hAnsi="宋体" w:eastAsia="宋体" w:cs="宋体"/>
          <w:sz w:val="28"/>
          <w:szCs w:val="28"/>
          <w:lang w:val="en-US" w:eastAsia="zh-CN" w:bidi="ar-SA"/>
        </w:rPr>
        <w:fldChar w:fldCharType="end"/>
      </w:r>
      <w:r>
        <w:rPr>
          <w:rFonts w:hint="eastAsia" w:ascii="宋体" w:hAnsi="宋体" w:eastAsia="宋体" w:cs="宋体"/>
          <w:color w:val="000000"/>
          <w:sz w:val="28"/>
          <w:szCs w:val="28"/>
          <w:lang w:val="en-US" w:eastAsia="zh-CN" w:bidi="ar-SA"/>
        </w:rPr>
        <w:fldChar w:fldCharType="end"/>
      </w:r>
    </w:p>
    <w:p>
      <w:pPr>
        <w:pStyle w:val="3"/>
        <w:tabs>
          <w:tab w:val="right" w:leader="dot" w:pos="14572"/>
        </w:tabs>
        <w:ind w:left="480" w:leftChars="200" w:firstLine="0" w:firstLineChars="0"/>
        <w:jc w:val="both"/>
        <w:rPr>
          <w:rFonts w:hint="eastAsia" w:ascii="宋体" w:hAnsi="宋体" w:eastAsia="宋体" w:cs="宋体"/>
          <w:color w:val="000000"/>
          <w:sz w:val="28"/>
          <w:szCs w:val="28"/>
          <w:lang w:val="en-US" w:eastAsia="zh-CN" w:bidi="ar-SA"/>
        </w:rPr>
      </w:pPr>
      <w:r>
        <w:rPr>
          <w:rFonts w:hint="eastAsia" w:ascii="宋体" w:hAnsi="宋体" w:eastAsia="宋体" w:cs="宋体"/>
          <w:color w:val="000000"/>
          <w:sz w:val="28"/>
          <w:szCs w:val="28"/>
          <w:lang w:val="en-US" w:eastAsia="zh-CN" w:bidi="ar-SA"/>
        </w:rPr>
        <w:fldChar w:fldCharType="begin"/>
      </w:r>
      <w:r>
        <w:rPr>
          <w:rFonts w:hint="eastAsia" w:ascii="宋体" w:hAnsi="宋体" w:eastAsia="宋体" w:cs="宋体"/>
          <w:color w:val="000000"/>
          <w:sz w:val="28"/>
          <w:szCs w:val="28"/>
          <w:lang w:val="en-US" w:eastAsia="zh-CN" w:bidi="ar-SA"/>
        </w:rPr>
        <w:instrText xml:space="preserve"> HYPERLINK \l _Toc10075 </w:instrText>
      </w:r>
      <w:r>
        <w:rPr>
          <w:rFonts w:hint="eastAsia" w:ascii="宋体" w:hAnsi="宋体" w:eastAsia="宋体" w:cs="宋体"/>
          <w:color w:val="000000"/>
          <w:sz w:val="28"/>
          <w:szCs w:val="28"/>
          <w:lang w:val="en-US" w:eastAsia="zh-CN" w:bidi="ar-SA"/>
        </w:rPr>
        <w:fldChar w:fldCharType="separate"/>
      </w:r>
      <w:r>
        <w:rPr>
          <w:rFonts w:hint="eastAsia" w:ascii="宋体" w:hAnsi="宋体" w:eastAsia="宋体" w:cs="宋体"/>
          <w:sz w:val="28"/>
          <w:szCs w:val="28"/>
          <w:lang w:val="en-US" w:eastAsia="zh-CN" w:bidi="ar-SA"/>
        </w:rPr>
        <w:t>七、部门项目预算安排情况及绩效目标</w:t>
      </w:r>
      <w:r>
        <w:rPr>
          <w:rFonts w:hint="eastAsia" w:ascii="宋体" w:hAnsi="宋体" w:eastAsia="宋体" w:cs="宋体"/>
          <w:sz w:val="28"/>
          <w:szCs w:val="28"/>
          <w:lang w:val="en-US" w:eastAsia="zh-CN" w:bidi="ar-SA"/>
        </w:rPr>
        <w:tab/>
      </w:r>
      <w:r>
        <w:rPr>
          <w:rFonts w:hint="eastAsia" w:ascii="宋体" w:hAnsi="宋体" w:eastAsia="宋体" w:cs="宋体"/>
          <w:sz w:val="28"/>
          <w:szCs w:val="28"/>
          <w:lang w:val="en-US" w:eastAsia="zh-CN" w:bidi="ar-SA"/>
        </w:rPr>
        <w:fldChar w:fldCharType="begin"/>
      </w:r>
      <w:r>
        <w:rPr>
          <w:rFonts w:hint="eastAsia" w:ascii="宋体" w:hAnsi="宋体" w:eastAsia="宋体" w:cs="宋体"/>
          <w:sz w:val="28"/>
          <w:szCs w:val="28"/>
          <w:lang w:val="en-US" w:eastAsia="zh-CN" w:bidi="ar-SA"/>
        </w:rPr>
        <w:instrText xml:space="preserve"> PAGEREF _Toc10075 </w:instrText>
      </w:r>
      <w:r>
        <w:rPr>
          <w:rFonts w:hint="eastAsia" w:ascii="宋体" w:hAnsi="宋体" w:eastAsia="宋体" w:cs="宋体"/>
          <w:sz w:val="28"/>
          <w:szCs w:val="28"/>
          <w:lang w:val="en-US" w:eastAsia="zh-CN" w:bidi="ar-SA"/>
        </w:rPr>
        <w:fldChar w:fldCharType="separate"/>
      </w:r>
      <w:r>
        <w:rPr>
          <w:rFonts w:hint="eastAsia" w:ascii="宋体" w:hAnsi="宋体" w:eastAsia="宋体" w:cs="宋体"/>
          <w:sz w:val="28"/>
          <w:szCs w:val="28"/>
          <w:lang w:val="en-US" w:eastAsia="zh-CN" w:bidi="ar-SA"/>
        </w:rPr>
        <w:t>31</w:t>
      </w:r>
      <w:r>
        <w:rPr>
          <w:rFonts w:hint="eastAsia" w:ascii="宋体" w:hAnsi="宋体" w:eastAsia="宋体" w:cs="宋体"/>
          <w:sz w:val="28"/>
          <w:szCs w:val="28"/>
          <w:lang w:val="en-US" w:eastAsia="zh-CN" w:bidi="ar-SA"/>
        </w:rPr>
        <w:fldChar w:fldCharType="end"/>
      </w:r>
      <w:r>
        <w:rPr>
          <w:rFonts w:hint="eastAsia" w:ascii="宋体" w:hAnsi="宋体" w:eastAsia="宋体" w:cs="宋体"/>
          <w:color w:val="000000"/>
          <w:sz w:val="28"/>
          <w:szCs w:val="28"/>
          <w:lang w:val="en-US" w:eastAsia="zh-CN" w:bidi="ar-SA"/>
        </w:rPr>
        <w:fldChar w:fldCharType="end"/>
      </w:r>
    </w:p>
    <w:p>
      <w:pPr>
        <w:pStyle w:val="3"/>
        <w:tabs>
          <w:tab w:val="right" w:leader="dot" w:pos="14572"/>
        </w:tabs>
        <w:ind w:left="480" w:leftChars="200" w:firstLine="0" w:firstLineChars="0"/>
        <w:jc w:val="both"/>
        <w:rPr>
          <w:rFonts w:hint="eastAsia" w:ascii="宋体" w:hAnsi="宋体" w:eastAsia="宋体" w:cs="宋体"/>
          <w:color w:val="000000"/>
          <w:sz w:val="28"/>
          <w:szCs w:val="28"/>
          <w:lang w:val="en-US" w:eastAsia="zh-CN" w:bidi="ar-SA"/>
        </w:rPr>
      </w:pPr>
      <w:r>
        <w:rPr>
          <w:rFonts w:hint="eastAsia" w:ascii="宋体" w:hAnsi="宋体" w:eastAsia="宋体" w:cs="宋体"/>
          <w:color w:val="000000"/>
          <w:sz w:val="28"/>
          <w:szCs w:val="28"/>
          <w:lang w:val="en-US" w:eastAsia="zh-CN" w:bidi="ar-SA"/>
        </w:rPr>
        <w:fldChar w:fldCharType="begin"/>
      </w:r>
      <w:r>
        <w:rPr>
          <w:rFonts w:hint="eastAsia" w:ascii="宋体" w:hAnsi="宋体" w:eastAsia="宋体" w:cs="宋体"/>
          <w:color w:val="000000"/>
          <w:sz w:val="28"/>
          <w:szCs w:val="28"/>
          <w:lang w:val="en-US" w:eastAsia="zh-CN" w:bidi="ar-SA"/>
        </w:rPr>
        <w:instrText xml:space="preserve"> HYPERLINK \l _Toc3782 </w:instrText>
      </w:r>
      <w:r>
        <w:rPr>
          <w:rFonts w:hint="eastAsia" w:ascii="宋体" w:hAnsi="宋体" w:eastAsia="宋体" w:cs="宋体"/>
          <w:color w:val="000000"/>
          <w:sz w:val="28"/>
          <w:szCs w:val="28"/>
          <w:lang w:val="en-US" w:eastAsia="zh-CN" w:bidi="ar-SA"/>
        </w:rPr>
        <w:fldChar w:fldCharType="separate"/>
      </w:r>
      <w:r>
        <w:rPr>
          <w:rFonts w:hint="eastAsia" w:ascii="宋体" w:hAnsi="宋体" w:eastAsia="宋体" w:cs="宋体"/>
          <w:sz w:val="28"/>
          <w:szCs w:val="28"/>
          <w:lang w:val="en-US" w:eastAsia="zh-CN" w:bidi="ar-SA"/>
        </w:rPr>
        <w:t>八、政府采购预算情况</w:t>
      </w:r>
      <w:r>
        <w:rPr>
          <w:rFonts w:hint="eastAsia" w:ascii="宋体" w:hAnsi="宋体" w:eastAsia="宋体" w:cs="宋体"/>
          <w:sz w:val="28"/>
          <w:szCs w:val="28"/>
          <w:lang w:val="en-US" w:eastAsia="zh-CN" w:bidi="ar-SA"/>
        </w:rPr>
        <w:tab/>
      </w:r>
      <w:r>
        <w:rPr>
          <w:rFonts w:hint="eastAsia" w:ascii="宋体" w:hAnsi="宋体" w:eastAsia="宋体" w:cs="宋体"/>
          <w:sz w:val="28"/>
          <w:szCs w:val="28"/>
          <w:lang w:val="en-US" w:eastAsia="zh-CN" w:bidi="ar-SA"/>
        </w:rPr>
        <w:fldChar w:fldCharType="begin"/>
      </w:r>
      <w:r>
        <w:rPr>
          <w:rFonts w:hint="eastAsia" w:ascii="宋体" w:hAnsi="宋体" w:eastAsia="宋体" w:cs="宋体"/>
          <w:sz w:val="28"/>
          <w:szCs w:val="28"/>
          <w:lang w:val="en-US" w:eastAsia="zh-CN" w:bidi="ar-SA"/>
        </w:rPr>
        <w:instrText xml:space="preserve"> PAGEREF _Toc3782 </w:instrText>
      </w:r>
      <w:r>
        <w:rPr>
          <w:rFonts w:hint="eastAsia" w:ascii="宋体" w:hAnsi="宋体" w:eastAsia="宋体" w:cs="宋体"/>
          <w:sz w:val="28"/>
          <w:szCs w:val="28"/>
          <w:lang w:val="en-US" w:eastAsia="zh-CN" w:bidi="ar-SA"/>
        </w:rPr>
        <w:fldChar w:fldCharType="separate"/>
      </w:r>
      <w:r>
        <w:rPr>
          <w:rFonts w:hint="eastAsia" w:ascii="宋体" w:hAnsi="宋体" w:eastAsia="宋体" w:cs="宋体"/>
          <w:sz w:val="28"/>
          <w:szCs w:val="28"/>
          <w:lang w:val="en-US" w:eastAsia="zh-CN" w:bidi="ar-SA"/>
        </w:rPr>
        <w:t>35</w:t>
      </w:r>
      <w:r>
        <w:rPr>
          <w:rFonts w:hint="eastAsia" w:ascii="宋体" w:hAnsi="宋体" w:eastAsia="宋体" w:cs="宋体"/>
          <w:sz w:val="28"/>
          <w:szCs w:val="28"/>
          <w:lang w:val="en-US" w:eastAsia="zh-CN" w:bidi="ar-SA"/>
        </w:rPr>
        <w:fldChar w:fldCharType="end"/>
      </w:r>
      <w:r>
        <w:rPr>
          <w:rFonts w:hint="eastAsia" w:ascii="宋体" w:hAnsi="宋体" w:eastAsia="宋体" w:cs="宋体"/>
          <w:color w:val="000000"/>
          <w:sz w:val="28"/>
          <w:szCs w:val="28"/>
          <w:lang w:val="en-US" w:eastAsia="zh-CN" w:bidi="ar-SA"/>
        </w:rPr>
        <w:fldChar w:fldCharType="end"/>
      </w:r>
    </w:p>
    <w:p>
      <w:pPr>
        <w:pStyle w:val="3"/>
        <w:tabs>
          <w:tab w:val="right" w:leader="dot" w:pos="14572"/>
        </w:tabs>
        <w:ind w:left="480" w:leftChars="200" w:firstLine="0" w:firstLineChars="0"/>
        <w:jc w:val="both"/>
        <w:rPr>
          <w:rFonts w:hint="eastAsia" w:ascii="宋体" w:hAnsi="宋体" w:eastAsia="宋体" w:cs="宋体"/>
          <w:color w:val="000000"/>
          <w:sz w:val="28"/>
          <w:szCs w:val="28"/>
          <w:lang w:val="en-US" w:eastAsia="zh-CN" w:bidi="ar-SA"/>
        </w:rPr>
      </w:pPr>
      <w:r>
        <w:rPr>
          <w:rFonts w:hint="eastAsia" w:ascii="宋体" w:hAnsi="宋体" w:eastAsia="宋体" w:cs="宋体"/>
          <w:color w:val="000000"/>
          <w:sz w:val="28"/>
          <w:szCs w:val="28"/>
          <w:lang w:val="en-US" w:eastAsia="zh-CN" w:bidi="ar-SA"/>
        </w:rPr>
        <w:fldChar w:fldCharType="begin"/>
      </w:r>
      <w:r>
        <w:rPr>
          <w:rFonts w:hint="eastAsia" w:ascii="宋体" w:hAnsi="宋体" w:eastAsia="宋体" w:cs="宋体"/>
          <w:color w:val="000000"/>
          <w:sz w:val="28"/>
          <w:szCs w:val="28"/>
          <w:lang w:val="en-US" w:eastAsia="zh-CN" w:bidi="ar-SA"/>
        </w:rPr>
        <w:instrText xml:space="preserve"> HYPERLINK \l _Toc28717 </w:instrText>
      </w:r>
      <w:r>
        <w:rPr>
          <w:rFonts w:hint="eastAsia" w:ascii="宋体" w:hAnsi="宋体" w:eastAsia="宋体" w:cs="宋体"/>
          <w:color w:val="000000"/>
          <w:sz w:val="28"/>
          <w:szCs w:val="28"/>
          <w:lang w:val="en-US" w:eastAsia="zh-CN" w:bidi="ar-SA"/>
        </w:rPr>
        <w:fldChar w:fldCharType="separate"/>
      </w:r>
      <w:r>
        <w:rPr>
          <w:rFonts w:hint="eastAsia" w:ascii="宋体" w:hAnsi="宋体" w:eastAsia="宋体" w:cs="宋体"/>
          <w:sz w:val="28"/>
          <w:szCs w:val="28"/>
          <w:lang w:val="en-US" w:eastAsia="zh-CN" w:bidi="ar-SA"/>
        </w:rPr>
        <w:t>九、国有资产信息</w:t>
      </w:r>
      <w:r>
        <w:rPr>
          <w:rFonts w:hint="eastAsia" w:ascii="宋体" w:hAnsi="宋体" w:eastAsia="宋体" w:cs="宋体"/>
          <w:sz w:val="28"/>
          <w:szCs w:val="28"/>
          <w:lang w:val="en-US" w:eastAsia="zh-CN" w:bidi="ar-SA"/>
        </w:rPr>
        <w:tab/>
      </w:r>
      <w:r>
        <w:rPr>
          <w:rFonts w:hint="eastAsia" w:ascii="宋体" w:hAnsi="宋体" w:eastAsia="宋体" w:cs="宋体"/>
          <w:sz w:val="28"/>
          <w:szCs w:val="28"/>
          <w:lang w:val="en-US" w:eastAsia="zh-CN" w:bidi="ar-SA"/>
        </w:rPr>
        <w:fldChar w:fldCharType="begin"/>
      </w:r>
      <w:r>
        <w:rPr>
          <w:rFonts w:hint="eastAsia" w:ascii="宋体" w:hAnsi="宋体" w:eastAsia="宋体" w:cs="宋体"/>
          <w:sz w:val="28"/>
          <w:szCs w:val="28"/>
          <w:lang w:val="en-US" w:eastAsia="zh-CN" w:bidi="ar-SA"/>
        </w:rPr>
        <w:instrText xml:space="preserve"> PAGEREF _Toc28717 </w:instrText>
      </w:r>
      <w:r>
        <w:rPr>
          <w:rFonts w:hint="eastAsia" w:ascii="宋体" w:hAnsi="宋体" w:eastAsia="宋体" w:cs="宋体"/>
          <w:sz w:val="28"/>
          <w:szCs w:val="28"/>
          <w:lang w:val="en-US" w:eastAsia="zh-CN" w:bidi="ar-SA"/>
        </w:rPr>
        <w:fldChar w:fldCharType="separate"/>
      </w:r>
      <w:r>
        <w:rPr>
          <w:rFonts w:hint="eastAsia" w:ascii="宋体" w:hAnsi="宋体" w:eastAsia="宋体" w:cs="宋体"/>
          <w:sz w:val="28"/>
          <w:szCs w:val="28"/>
          <w:lang w:val="en-US" w:eastAsia="zh-CN" w:bidi="ar-SA"/>
        </w:rPr>
        <w:t>35</w:t>
      </w:r>
      <w:r>
        <w:rPr>
          <w:rFonts w:hint="eastAsia" w:ascii="宋体" w:hAnsi="宋体" w:eastAsia="宋体" w:cs="宋体"/>
          <w:sz w:val="28"/>
          <w:szCs w:val="28"/>
          <w:lang w:val="en-US" w:eastAsia="zh-CN" w:bidi="ar-SA"/>
        </w:rPr>
        <w:fldChar w:fldCharType="end"/>
      </w:r>
      <w:r>
        <w:rPr>
          <w:rFonts w:hint="eastAsia" w:ascii="宋体" w:hAnsi="宋体" w:eastAsia="宋体" w:cs="宋体"/>
          <w:color w:val="000000"/>
          <w:sz w:val="28"/>
          <w:szCs w:val="28"/>
          <w:lang w:val="en-US" w:eastAsia="zh-CN" w:bidi="ar-SA"/>
        </w:rPr>
        <w:fldChar w:fldCharType="end"/>
      </w:r>
    </w:p>
    <w:p>
      <w:pPr>
        <w:pStyle w:val="3"/>
        <w:tabs>
          <w:tab w:val="right" w:leader="dot" w:pos="14572"/>
        </w:tabs>
        <w:ind w:left="480" w:leftChars="200" w:firstLine="0" w:firstLineChars="0"/>
        <w:jc w:val="both"/>
        <w:rPr>
          <w:rFonts w:hint="eastAsia" w:ascii="宋体" w:hAnsi="宋体" w:eastAsia="宋体" w:cs="宋体"/>
          <w:color w:val="000000"/>
          <w:sz w:val="28"/>
          <w:szCs w:val="28"/>
          <w:lang w:val="en-US" w:eastAsia="zh-CN" w:bidi="ar-SA"/>
        </w:rPr>
      </w:pPr>
      <w:r>
        <w:rPr>
          <w:rFonts w:hint="eastAsia" w:ascii="宋体" w:hAnsi="宋体" w:eastAsia="宋体" w:cs="宋体"/>
          <w:color w:val="000000"/>
          <w:sz w:val="28"/>
          <w:szCs w:val="28"/>
          <w:lang w:val="en-US" w:eastAsia="zh-CN" w:bidi="ar-SA"/>
        </w:rPr>
        <w:fldChar w:fldCharType="begin"/>
      </w:r>
      <w:r>
        <w:rPr>
          <w:rFonts w:hint="eastAsia" w:ascii="宋体" w:hAnsi="宋体" w:eastAsia="宋体" w:cs="宋体"/>
          <w:color w:val="000000"/>
          <w:sz w:val="28"/>
          <w:szCs w:val="28"/>
          <w:lang w:val="en-US" w:eastAsia="zh-CN" w:bidi="ar-SA"/>
        </w:rPr>
        <w:instrText xml:space="preserve"> HYPERLINK \l _Toc16175 </w:instrText>
      </w:r>
      <w:r>
        <w:rPr>
          <w:rFonts w:hint="eastAsia" w:ascii="宋体" w:hAnsi="宋体" w:eastAsia="宋体" w:cs="宋体"/>
          <w:color w:val="000000"/>
          <w:sz w:val="28"/>
          <w:szCs w:val="28"/>
          <w:lang w:val="en-US" w:eastAsia="zh-CN" w:bidi="ar-SA"/>
        </w:rPr>
        <w:fldChar w:fldCharType="separate"/>
      </w:r>
      <w:r>
        <w:rPr>
          <w:rFonts w:hint="eastAsia" w:ascii="宋体" w:hAnsi="宋体" w:eastAsia="宋体" w:cs="宋体"/>
          <w:sz w:val="28"/>
          <w:szCs w:val="28"/>
          <w:lang w:val="en-US" w:eastAsia="zh-CN" w:bidi="ar-SA"/>
        </w:rPr>
        <w:t>十、名词解释</w:t>
      </w:r>
      <w:r>
        <w:rPr>
          <w:rFonts w:hint="eastAsia" w:ascii="宋体" w:hAnsi="宋体" w:eastAsia="宋体" w:cs="宋体"/>
          <w:sz w:val="28"/>
          <w:szCs w:val="28"/>
          <w:lang w:val="en-US" w:eastAsia="zh-CN" w:bidi="ar-SA"/>
        </w:rPr>
        <w:tab/>
      </w:r>
      <w:r>
        <w:rPr>
          <w:rFonts w:hint="eastAsia" w:ascii="宋体" w:hAnsi="宋体" w:eastAsia="宋体" w:cs="宋体"/>
          <w:sz w:val="28"/>
          <w:szCs w:val="28"/>
          <w:lang w:val="en-US" w:eastAsia="zh-CN" w:bidi="ar-SA"/>
        </w:rPr>
        <w:fldChar w:fldCharType="begin"/>
      </w:r>
      <w:r>
        <w:rPr>
          <w:rFonts w:hint="eastAsia" w:ascii="宋体" w:hAnsi="宋体" w:eastAsia="宋体" w:cs="宋体"/>
          <w:sz w:val="28"/>
          <w:szCs w:val="28"/>
          <w:lang w:val="en-US" w:eastAsia="zh-CN" w:bidi="ar-SA"/>
        </w:rPr>
        <w:instrText xml:space="preserve"> PAGEREF _Toc16175 </w:instrText>
      </w:r>
      <w:r>
        <w:rPr>
          <w:rFonts w:hint="eastAsia" w:ascii="宋体" w:hAnsi="宋体" w:eastAsia="宋体" w:cs="宋体"/>
          <w:sz w:val="28"/>
          <w:szCs w:val="28"/>
          <w:lang w:val="en-US" w:eastAsia="zh-CN" w:bidi="ar-SA"/>
        </w:rPr>
        <w:fldChar w:fldCharType="separate"/>
      </w:r>
      <w:r>
        <w:rPr>
          <w:rFonts w:hint="eastAsia" w:ascii="宋体" w:hAnsi="宋体" w:eastAsia="宋体" w:cs="宋体"/>
          <w:sz w:val="28"/>
          <w:szCs w:val="28"/>
          <w:lang w:val="en-US" w:eastAsia="zh-CN" w:bidi="ar-SA"/>
        </w:rPr>
        <w:t>36</w:t>
      </w:r>
      <w:r>
        <w:rPr>
          <w:rFonts w:hint="eastAsia" w:ascii="宋体" w:hAnsi="宋体" w:eastAsia="宋体" w:cs="宋体"/>
          <w:sz w:val="28"/>
          <w:szCs w:val="28"/>
          <w:lang w:val="en-US" w:eastAsia="zh-CN" w:bidi="ar-SA"/>
        </w:rPr>
        <w:fldChar w:fldCharType="end"/>
      </w:r>
      <w:r>
        <w:rPr>
          <w:rFonts w:hint="eastAsia" w:ascii="宋体" w:hAnsi="宋体" w:eastAsia="宋体" w:cs="宋体"/>
          <w:color w:val="000000"/>
          <w:sz w:val="28"/>
          <w:szCs w:val="28"/>
          <w:lang w:val="en-US" w:eastAsia="zh-CN" w:bidi="ar-SA"/>
        </w:rPr>
        <w:fldChar w:fldCharType="end"/>
      </w:r>
    </w:p>
    <w:p>
      <w:pPr>
        <w:pStyle w:val="3"/>
        <w:tabs>
          <w:tab w:val="right" w:leader="dot" w:pos="14572"/>
        </w:tabs>
        <w:ind w:left="480" w:leftChars="200" w:firstLine="0" w:firstLineChars="0"/>
        <w:jc w:val="both"/>
        <w:rPr>
          <w:rFonts w:hint="eastAsia" w:ascii="宋体" w:hAnsi="宋体" w:eastAsia="宋体" w:cs="宋体"/>
          <w:color w:val="000000"/>
          <w:sz w:val="28"/>
          <w:szCs w:val="28"/>
          <w:lang w:val="en-US" w:eastAsia="zh-CN" w:bidi="ar-SA"/>
        </w:rPr>
      </w:pPr>
      <w:r>
        <w:rPr>
          <w:rFonts w:hint="eastAsia" w:ascii="宋体" w:hAnsi="宋体" w:eastAsia="宋体" w:cs="宋体"/>
          <w:color w:val="000000"/>
          <w:sz w:val="28"/>
          <w:szCs w:val="28"/>
          <w:lang w:val="en-US" w:eastAsia="zh-CN" w:bidi="ar-SA"/>
        </w:rPr>
        <w:fldChar w:fldCharType="begin"/>
      </w:r>
      <w:r>
        <w:rPr>
          <w:rFonts w:hint="eastAsia" w:ascii="宋体" w:hAnsi="宋体" w:eastAsia="宋体" w:cs="宋体"/>
          <w:color w:val="000000"/>
          <w:sz w:val="28"/>
          <w:szCs w:val="28"/>
          <w:lang w:val="en-US" w:eastAsia="zh-CN" w:bidi="ar-SA"/>
        </w:rPr>
        <w:instrText xml:space="preserve"> HYPERLINK \l _Toc2553 </w:instrText>
      </w:r>
      <w:r>
        <w:rPr>
          <w:rFonts w:hint="eastAsia" w:ascii="宋体" w:hAnsi="宋体" w:eastAsia="宋体" w:cs="宋体"/>
          <w:color w:val="000000"/>
          <w:sz w:val="28"/>
          <w:szCs w:val="28"/>
          <w:lang w:val="en-US" w:eastAsia="zh-CN" w:bidi="ar-SA"/>
        </w:rPr>
        <w:fldChar w:fldCharType="separate"/>
      </w:r>
      <w:r>
        <w:rPr>
          <w:rFonts w:hint="eastAsia" w:ascii="宋体" w:hAnsi="宋体" w:eastAsia="宋体" w:cs="宋体"/>
          <w:sz w:val="28"/>
          <w:szCs w:val="28"/>
          <w:lang w:val="en-US" w:eastAsia="zh-CN" w:bidi="ar-SA"/>
        </w:rPr>
        <w:t>十一、其他需要说明的事项</w:t>
      </w:r>
      <w:r>
        <w:rPr>
          <w:rFonts w:hint="eastAsia" w:ascii="宋体" w:hAnsi="宋体" w:eastAsia="宋体" w:cs="宋体"/>
          <w:sz w:val="28"/>
          <w:szCs w:val="28"/>
          <w:lang w:val="en-US" w:eastAsia="zh-CN" w:bidi="ar-SA"/>
        </w:rPr>
        <w:tab/>
      </w:r>
      <w:r>
        <w:rPr>
          <w:rFonts w:hint="eastAsia" w:ascii="宋体" w:hAnsi="宋体" w:eastAsia="宋体" w:cs="宋体"/>
          <w:sz w:val="28"/>
          <w:szCs w:val="28"/>
          <w:lang w:val="en-US" w:eastAsia="zh-CN" w:bidi="ar-SA"/>
        </w:rPr>
        <w:fldChar w:fldCharType="begin"/>
      </w:r>
      <w:r>
        <w:rPr>
          <w:rFonts w:hint="eastAsia" w:ascii="宋体" w:hAnsi="宋体" w:eastAsia="宋体" w:cs="宋体"/>
          <w:sz w:val="28"/>
          <w:szCs w:val="28"/>
          <w:lang w:val="en-US" w:eastAsia="zh-CN" w:bidi="ar-SA"/>
        </w:rPr>
        <w:instrText xml:space="preserve"> PAGEREF _Toc2553 </w:instrText>
      </w:r>
      <w:r>
        <w:rPr>
          <w:rFonts w:hint="eastAsia" w:ascii="宋体" w:hAnsi="宋体" w:eastAsia="宋体" w:cs="宋体"/>
          <w:sz w:val="28"/>
          <w:szCs w:val="28"/>
          <w:lang w:val="en-US" w:eastAsia="zh-CN" w:bidi="ar-SA"/>
        </w:rPr>
        <w:fldChar w:fldCharType="separate"/>
      </w:r>
      <w:r>
        <w:rPr>
          <w:rFonts w:hint="eastAsia" w:ascii="宋体" w:hAnsi="宋体" w:eastAsia="宋体" w:cs="宋体"/>
          <w:sz w:val="28"/>
          <w:szCs w:val="28"/>
          <w:lang w:val="en-US" w:eastAsia="zh-CN" w:bidi="ar-SA"/>
        </w:rPr>
        <w:t>37</w:t>
      </w:r>
      <w:r>
        <w:rPr>
          <w:rFonts w:hint="eastAsia" w:ascii="宋体" w:hAnsi="宋体" w:eastAsia="宋体" w:cs="宋体"/>
          <w:sz w:val="28"/>
          <w:szCs w:val="28"/>
          <w:lang w:val="en-US" w:eastAsia="zh-CN" w:bidi="ar-SA"/>
        </w:rPr>
        <w:fldChar w:fldCharType="end"/>
      </w:r>
      <w:r>
        <w:rPr>
          <w:rFonts w:hint="eastAsia" w:ascii="宋体" w:hAnsi="宋体" w:eastAsia="宋体" w:cs="宋体"/>
          <w:color w:val="000000"/>
          <w:sz w:val="28"/>
          <w:szCs w:val="28"/>
          <w:lang w:val="en-US" w:eastAsia="zh-CN" w:bidi="ar-SA"/>
        </w:rPr>
        <w:fldChar w:fldCharType="end"/>
      </w:r>
    </w:p>
    <w:p>
      <w:pPr>
        <w:pStyle w:val="29"/>
        <w:tabs>
          <w:tab w:val="right" w:leader="dot" w:pos="14562"/>
        </w:tabs>
        <w:ind w:left="480" w:leftChars="200" w:firstLine="0" w:firstLineChars="0"/>
        <w:jc w:val="both"/>
        <w:sectPr>
          <w:headerReference r:id="rId3" w:type="default"/>
          <w:footerReference r:id="rId5" w:type="default"/>
          <w:headerReference r:id="rId4" w:type="even"/>
          <w:footerReference r:id="rId6" w:type="even"/>
          <w:pgSz w:w="16840" w:h="11900" w:orient="landscape"/>
          <w:pgMar w:top="1587" w:right="1134" w:bottom="1361" w:left="1134" w:header="720" w:footer="720" w:gutter="0"/>
          <w:pgNumType w:start="1"/>
          <w:cols w:space="720" w:num="1"/>
        </w:sectPr>
      </w:pPr>
      <w:r>
        <w:rPr>
          <w:rFonts w:hint="eastAsia" w:ascii="宋体" w:hAnsi="宋体" w:eastAsia="宋体" w:cs="宋体"/>
          <w:color w:val="000000"/>
          <w:sz w:val="28"/>
          <w:szCs w:val="28"/>
          <w:lang w:val="en-US" w:eastAsia="zh-CN" w:bidi="ar-SA"/>
        </w:rPr>
        <w:fldChar w:fldCharType="end"/>
      </w:r>
    </w:p>
    <w:p>
      <w:pPr>
        <w:spacing w:before="0" w:after="0" w:line="240" w:lineRule="auto"/>
        <w:ind w:firstLine="0"/>
        <w:jc w:val="center"/>
        <w:outlineLvl w:val="1"/>
      </w:pPr>
      <w:bookmarkStart w:id="0" w:name="_Toc3547"/>
      <w:r>
        <w:rPr>
          <w:color w:val="000000"/>
          <w:sz w:val="36"/>
        </w:rPr>
        <w:t>部门预算收支总表</w:t>
      </w:r>
      <w:bookmarkEnd w:id="0"/>
    </w:p>
    <w:tbl>
      <w:tblPr>
        <w:tblStyle w:val="7"/>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359成安县融媒体中心</w:t>
            </w:r>
          </w:p>
        </w:tc>
        <w:tc>
          <w:tcPr>
            <w:tcW w:w="5913" w:type="dxa"/>
            <w:gridSpan w:val="3"/>
            <w:tcBorders>
              <w:top w:val="single" w:color="FFFFFF" w:sz="6" w:space="0"/>
              <w:left w:val="single" w:color="FFFFFF" w:sz="6" w:space="0"/>
              <w:right w:val="single" w:color="FFFFFF" w:sz="6" w:space="0"/>
            </w:tcBorders>
            <w:vAlign w:val="center"/>
          </w:tcPr>
          <w:p>
            <w:pPr>
              <w:pStyle w:val="10"/>
            </w:pPr>
            <w:r>
              <w:t>预算年度：2024</w:t>
            </w:r>
          </w:p>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5"/>
            <w:vMerge w:val="restart"/>
            <w:vAlign w:val="center"/>
          </w:tcPr>
          <w:p>
            <w:pPr>
              <w:pStyle w:val="12"/>
            </w:pPr>
            <w:r>
              <w:t>序号</w:t>
            </w:r>
          </w:p>
          <w:p>
            <w:pPr>
              <w:pStyle w:val="12"/>
            </w:pPr>
            <w:r>
              <w:t>收入</w:t>
            </w:r>
          </w:p>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vAlign w:val="top"/>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591.86</w:t>
            </w:r>
          </w:p>
        </w:tc>
        <w:tc>
          <w:tcPr>
            <w:tcW w:w="1971"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五、单位资金</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r>
              <w:t>490.22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82.54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r>
              <w:t>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三十一、人行科目</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6"/>
            </w:pPr>
            <w:r>
              <w:t>本年收入合计</w:t>
            </w:r>
          </w:p>
        </w:tc>
        <w:tc>
          <w:tcPr>
            <w:tcW w:w="1971" w:type="dxa"/>
            <w:vAlign w:val="center"/>
          </w:tcPr>
          <w:p>
            <w:pPr>
              <w:pStyle w:val="17"/>
            </w:pPr>
            <w:r>
              <w:t>591.86</w:t>
            </w:r>
          </w:p>
        </w:tc>
        <w:tc>
          <w:tcPr>
            <w:tcW w:w="1971" w:type="dxa"/>
            <w:vAlign w:val="center"/>
          </w:tcPr>
          <w:p>
            <w:pPr>
              <w:pStyle w:val="16"/>
            </w:pPr>
            <w:r>
              <w:t>本年支出合计</w:t>
            </w:r>
          </w:p>
        </w:tc>
        <w:tc>
          <w:tcPr>
            <w:tcW w:w="1971" w:type="dxa"/>
            <w:vAlign w:val="center"/>
          </w:tcPr>
          <w:p>
            <w:pPr>
              <w:pStyle w:val="17"/>
            </w:pPr>
            <w:r>
              <w:t>591.86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34</w:t>
            </w:r>
          </w:p>
        </w:tc>
        <w:tc>
          <w:tcPr>
            <w:tcW w:w="1971" w:type="dxa"/>
            <w:vAlign w:val="center"/>
          </w:tcPr>
          <w:p>
            <w:pPr>
              <w:pStyle w:val="16"/>
            </w:pPr>
            <w:r>
              <w:t>收入总计</w:t>
            </w:r>
          </w:p>
        </w:tc>
        <w:tc>
          <w:tcPr>
            <w:tcW w:w="1971" w:type="dxa"/>
            <w:vAlign w:val="center"/>
          </w:tcPr>
          <w:p>
            <w:pPr>
              <w:pStyle w:val="17"/>
            </w:pPr>
            <w:r>
              <w:t>591.86</w:t>
            </w:r>
          </w:p>
        </w:tc>
        <w:tc>
          <w:tcPr>
            <w:tcW w:w="1971" w:type="dxa"/>
            <w:vAlign w:val="center"/>
          </w:tcPr>
          <w:p>
            <w:pPr>
              <w:pStyle w:val="16"/>
            </w:pPr>
            <w:r>
              <w:t>支出总计</w:t>
            </w:r>
          </w:p>
        </w:tc>
        <w:tc>
          <w:tcPr>
            <w:tcW w:w="1971" w:type="dxa"/>
            <w:vAlign w:val="center"/>
          </w:tcPr>
          <w:p>
            <w:pPr>
              <w:pStyle w:val="17"/>
            </w:pPr>
            <w:r>
              <w:t>591.86</w:t>
            </w:r>
          </w:p>
        </w:tc>
      </w:tr>
    </w:tbl>
    <w:p>
      <w:pPr>
        <w:sectPr>
          <w:footerReference r:id="rId7" w:type="default"/>
          <w:footerReference r:id="rId8"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29278"/>
      <w:r>
        <w:rPr>
          <w:color w:val="000000"/>
          <w:sz w:val="36"/>
        </w:rPr>
        <w:t>部门预算收入总表</w:t>
      </w:r>
      <w:bookmarkEnd w:id="1"/>
    </w:p>
    <w:tbl>
      <w:tblPr>
        <w:tblStyle w:val="7"/>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4" w:type="dxa"/>
            <w:gridSpan w:val="13"/>
            <w:tcBorders>
              <w:top w:val="single" w:color="FFFFFF" w:sz="6" w:space="0"/>
              <w:left w:val="single" w:color="FFFFFF" w:sz="6" w:space="0"/>
              <w:right w:val="single" w:color="FFFFFF" w:sz="6" w:space="0"/>
            </w:tcBorders>
            <w:vAlign w:val="center"/>
          </w:tcPr>
          <w:p>
            <w:pPr>
              <w:pStyle w:val="11"/>
            </w:pPr>
            <w:r>
              <w:t>359成安县融媒体中心</w:t>
            </w:r>
          </w:p>
          <w:p>
            <w:pPr>
              <w:pStyle w:val="10"/>
            </w:pPr>
            <w:r>
              <w:t>预算年度：2024</w:t>
            </w:r>
          </w:p>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74" w:type="dxa"/>
            <w:gridSpan w:val="3"/>
            <w:vMerge w:val="restart"/>
            <w:vAlign w:val="center"/>
          </w:tcPr>
          <w:p>
            <w:pPr>
              <w:pStyle w:val="12"/>
            </w:pPr>
            <w:r>
              <w:t>序号</w:t>
            </w:r>
          </w:p>
          <w:p>
            <w:pPr>
              <w:pStyle w:val="12"/>
            </w:pPr>
            <w:r>
              <w:t>功能分类科目</w:t>
            </w:r>
          </w:p>
        </w:tc>
        <w:tc>
          <w:tcPr>
            <w:tcW w:w="6822" w:type="dxa"/>
            <w:gridSpan w:val="9"/>
            <w:vMerge w:val="restart"/>
            <w:vAlign w:val="center"/>
          </w:tcPr>
          <w:p>
            <w:pPr>
              <w:pStyle w:val="12"/>
            </w:pPr>
            <w:r>
              <w:t>合计</w:t>
            </w:r>
          </w:p>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vAlign w:val="top"/>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vAlign w:val="top"/>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591.86</w:t>
            </w:r>
          </w:p>
        </w:tc>
        <w:tc>
          <w:tcPr>
            <w:tcW w:w="758" w:type="dxa"/>
            <w:vAlign w:val="center"/>
          </w:tcPr>
          <w:p>
            <w:pPr>
              <w:pStyle w:val="17"/>
            </w:pPr>
            <w:r>
              <w:t>591.86</w:t>
            </w:r>
          </w:p>
        </w:tc>
        <w:tc>
          <w:tcPr>
            <w:tcW w:w="758" w:type="dxa"/>
            <w:vAlign w:val="center"/>
          </w:tcPr>
          <w:p>
            <w:pPr>
              <w:pStyle w:val="17"/>
            </w:pPr>
            <w:r>
              <w:t>591.86</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207</w:t>
            </w:r>
          </w:p>
        </w:tc>
        <w:tc>
          <w:tcPr>
            <w:tcW w:w="758" w:type="dxa"/>
            <w:vAlign w:val="center"/>
          </w:tcPr>
          <w:p>
            <w:pPr>
              <w:pStyle w:val="14"/>
            </w:pPr>
            <w:r>
              <w:t>文化旅游体育与传媒支出</w:t>
            </w:r>
          </w:p>
        </w:tc>
        <w:tc>
          <w:tcPr>
            <w:tcW w:w="758" w:type="dxa"/>
            <w:vAlign w:val="center"/>
          </w:tcPr>
          <w:p>
            <w:pPr>
              <w:pStyle w:val="13"/>
            </w:pPr>
            <w:r>
              <w:t>490.22</w:t>
            </w:r>
          </w:p>
        </w:tc>
        <w:tc>
          <w:tcPr>
            <w:tcW w:w="758" w:type="dxa"/>
            <w:vAlign w:val="center"/>
          </w:tcPr>
          <w:p>
            <w:pPr>
              <w:pStyle w:val="13"/>
            </w:pPr>
            <w:r>
              <w:t>490.22</w:t>
            </w:r>
          </w:p>
        </w:tc>
        <w:tc>
          <w:tcPr>
            <w:tcW w:w="758" w:type="dxa"/>
            <w:vAlign w:val="center"/>
          </w:tcPr>
          <w:p>
            <w:pPr>
              <w:pStyle w:val="13"/>
            </w:pPr>
            <w:r>
              <w:t>490.22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20708</w:t>
            </w:r>
          </w:p>
        </w:tc>
        <w:tc>
          <w:tcPr>
            <w:tcW w:w="758" w:type="dxa"/>
            <w:vAlign w:val="center"/>
          </w:tcPr>
          <w:p>
            <w:pPr>
              <w:pStyle w:val="14"/>
            </w:pPr>
            <w:r>
              <w:t>广播电视</w:t>
            </w:r>
          </w:p>
        </w:tc>
        <w:tc>
          <w:tcPr>
            <w:tcW w:w="758" w:type="dxa"/>
            <w:vAlign w:val="center"/>
          </w:tcPr>
          <w:p>
            <w:pPr>
              <w:pStyle w:val="13"/>
            </w:pPr>
            <w:r>
              <w:t>476.21</w:t>
            </w:r>
          </w:p>
        </w:tc>
        <w:tc>
          <w:tcPr>
            <w:tcW w:w="758" w:type="dxa"/>
            <w:vAlign w:val="center"/>
          </w:tcPr>
          <w:p>
            <w:pPr>
              <w:pStyle w:val="13"/>
            </w:pPr>
            <w:r>
              <w:t>476.21</w:t>
            </w:r>
          </w:p>
        </w:tc>
        <w:tc>
          <w:tcPr>
            <w:tcW w:w="758" w:type="dxa"/>
            <w:vAlign w:val="center"/>
          </w:tcPr>
          <w:p>
            <w:pPr>
              <w:pStyle w:val="13"/>
            </w:pPr>
            <w:r>
              <w:t>476.21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2070801</w:t>
            </w:r>
          </w:p>
        </w:tc>
        <w:tc>
          <w:tcPr>
            <w:tcW w:w="758" w:type="dxa"/>
            <w:vAlign w:val="center"/>
          </w:tcPr>
          <w:p>
            <w:pPr>
              <w:pStyle w:val="14"/>
            </w:pPr>
            <w:r>
              <w:t>行政运行</w:t>
            </w:r>
          </w:p>
        </w:tc>
        <w:tc>
          <w:tcPr>
            <w:tcW w:w="758" w:type="dxa"/>
            <w:vAlign w:val="center"/>
          </w:tcPr>
          <w:p>
            <w:pPr>
              <w:pStyle w:val="13"/>
            </w:pPr>
            <w:r>
              <w:t>476.21</w:t>
            </w:r>
          </w:p>
        </w:tc>
        <w:tc>
          <w:tcPr>
            <w:tcW w:w="758" w:type="dxa"/>
            <w:vAlign w:val="center"/>
          </w:tcPr>
          <w:p>
            <w:pPr>
              <w:pStyle w:val="13"/>
            </w:pPr>
            <w:r>
              <w:t>476.21</w:t>
            </w:r>
          </w:p>
        </w:tc>
        <w:tc>
          <w:tcPr>
            <w:tcW w:w="758" w:type="dxa"/>
            <w:vAlign w:val="center"/>
          </w:tcPr>
          <w:p>
            <w:pPr>
              <w:pStyle w:val="13"/>
            </w:pPr>
            <w:r>
              <w:t>476.21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20799</w:t>
            </w:r>
          </w:p>
        </w:tc>
        <w:tc>
          <w:tcPr>
            <w:tcW w:w="758" w:type="dxa"/>
            <w:vAlign w:val="center"/>
          </w:tcPr>
          <w:p>
            <w:pPr>
              <w:pStyle w:val="14"/>
            </w:pPr>
            <w:r>
              <w:t>其他文化旅游体育与传媒支出</w:t>
            </w:r>
          </w:p>
        </w:tc>
        <w:tc>
          <w:tcPr>
            <w:tcW w:w="758" w:type="dxa"/>
            <w:vAlign w:val="center"/>
          </w:tcPr>
          <w:p>
            <w:pPr>
              <w:pStyle w:val="13"/>
            </w:pPr>
            <w:r>
              <w:t>14.02</w:t>
            </w:r>
          </w:p>
        </w:tc>
        <w:tc>
          <w:tcPr>
            <w:tcW w:w="758" w:type="dxa"/>
            <w:vAlign w:val="center"/>
          </w:tcPr>
          <w:p>
            <w:pPr>
              <w:pStyle w:val="13"/>
            </w:pPr>
            <w:r>
              <w:t>14.02</w:t>
            </w:r>
          </w:p>
        </w:tc>
        <w:tc>
          <w:tcPr>
            <w:tcW w:w="758" w:type="dxa"/>
            <w:vAlign w:val="center"/>
          </w:tcPr>
          <w:p>
            <w:pPr>
              <w:pStyle w:val="13"/>
            </w:pPr>
            <w:r>
              <w:t>14.02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2079999</w:t>
            </w:r>
          </w:p>
        </w:tc>
        <w:tc>
          <w:tcPr>
            <w:tcW w:w="758" w:type="dxa"/>
            <w:vAlign w:val="center"/>
          </w:tcPr>
          <w:p>
            <w:pPr>
              <w:pStyle w:val="14"/>
            </w:pPr>
            <w:r>
              <w:t>其他文化旅游体育与传媒支出</w:t>
            </w:r>
          </w:p>
        </w:tc>
        <w:tc>
          <w:tcPr>
            <w:tcW w:w="758" w:type="dxa"/>
            <w:vAlign w:val="center"/>
          </w:tcPr>
          <w:p>
            <w:pPr>
              <w:pStyle w:val="13"/>
            </w:pPr>
            <w:r>
              <w:t>14.02</w:t>
            </w:r>
          </w:p>
        </w:tc>
        <w:tc>
          <w:tcPr>
            <w:tcW w:w="758" w:type="dxa"/>
            <w:vAlign w:val="center"/>
          </w:tcPr>
          <w:p>
            <w:pPr>
              <w:pStyle w:val="13"/>
            </w:pPr>
            <w:r>
              <w:t>14.02</w:t>
            </w:r>
          </w:p>
        </w:tc>
        <w:tc>
          <w:tcPr>
            <w:tcW w:w="758" w:type="dxa"/>
            <w:vAlign w:val="center"/>
          </w:tcPr>
          <w:p>
            <w:pPr>
              <w:pStyle w:val="13"/>
            </w:pPr>
            <w:r>
              <w:t>14.02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82.54</w:t>
            </w:r>
          </w:p>
        </w:tc>
        <w:tc>
          <w:tcPr>
            <w:tcW w:w="758" w:type="dxa"/>
            <w:vAlign w:val="center"/>
          </w:tcPr>
          <w:p>
            <w:pPr>
              <w:pStyle w:val="13"/>
            </w:pPr>
            <w:r>
              <w:t>82.54</w:t>
            </w:r>
          </w:p>
        </w:tc>
        <w:tc>
          <w:tcPr>
            <w:tcW w:w="758" w:type="dxa"/>
            <w:vAlign w:val="center"/>
          </w:tcPr>
          <w:p>
            <w:pPr>
              <w:pStyle w:val="13"/>
            </w:pPr>
            <w:r>
              <w:t>82.54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81.06</w:t>
            </w:r>
          </w:p>
        </w:tc>
        <w:tc>
          <w:tcPr>
            <w:tcW w:w="758" w:type="dxa"/>
            <w:vAlign w:val="center"/>
          </w:tcPr>
          <w:p>
            <w:pPr>
              <w:pStyle w:val="13"/>
            </w:pPr>
            <w:r>
              <w:t>81.06</w:t>
            </w:r>
          </w:p>
        </w:tc>
        <w:tc>
          <w:tcPr>
            <w:tcW w:w="758" w:type="dxa"/>
            <w:vAlign w:val="center"/>
          </w:tcPr>
          <w:p>
            <w:pPr>
              <w:pStyle w:val="13"/>
            </w:pPr>
            <w:r>
              <w:t>81.06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2080501</w:t>
            </w:r>
          </w:p>
        </w:tc>
        <w:tc>
          <w:tcPr>
            <w:tcW w:w="758" w:type="dxa"/>
            <w:vAlign w:val="center"/>
          </w:tcPr>
          <w:p>
            <w:pPr>
              <w:pStyle w:val="14"/>
            </w:pPr>
            <w:r>
              <w:t>行政单位离退休</w:t>
            </w:r>
          </w:p>
        </w:tc>
        <w:tc>
          <w:tcPr>
            <w:tcW w:w="758" w:type="dxa"/>
            <w:vAlign w:val="center"/>
          </w:tcPr>
          <w:p>
            <w:pPr>
              <w:pStyle w:val="13"/>
            </w:pPr>
            <w:r>
              <w:t>22.90</w:t>
            </w:r>
          </w:p>
        </w:tc>
        <w:tc>
          <w:tcPr>
            <w:tcW w:w="758" w:type="dxa"/>
            <w:vAlign w:val="center"/>
          </w:tcPr>
          <w:p>
            <w:pPr>
              <w:pStyle w:val="13"/>
            </w:pPr>
            <w:r>
              <w:t>22.90</w:t>
            </w:r>
          </w:p>
        </w:tc>
        <w:tc>
          <w:tcPr>
            <w:tcW w:w="758" w:type="dxa"/>
            <w:vAlign w:val="center"/>
          </w:tcPr>
          <w:p>
            <w:pPr>
              <w:pStyle w:val="13"/>
            </w:pPr>
            <w:r>
              <w:t>22.90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58.16</w:t>
            </w:r>
          </w:p>
        </w:tc>
        <w:tc>
          <w:tcPr>
            <w:tcW w:w="758" w:type="dxa"/>
            <w:vAlign w:val="center"/>
          </w:tcPr>
          <w:p>
            <w:pPr>
              <w:pStyle w:val="13"/>
            </w:pPr>
            <w:r>
              <w:t>58.16</w:t>
            </w:r>
          </w:p>
        </w:tc>
        <w:tc>
          <w:tcPr>
            <w:tcW w:w="758" w:type="dxa"/>
            <w:vAlign w:val="center"/>
          </w:tcPr>
          <w:p>
            <w:pPr>
              <w:pStyle w:val="13"/>
            </w:pPr>
            <w:r>
              <w:t>58.16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20808</w:t>
            </w:r>
          </w:p>
        </w:tc>
        <w:tc>
          <w:tcPr>
            <w:tcW w:w="758" w:type="dxa"/>
            <w:vAlign w:val="center"/>
          </w:tcPr>
          <w:p>
            <w:pPr>
              <w:pStyle w:val="14"/>
            </w:pPr>
            <w:r>
              <w:t>抚恤</w:t>
            </w:r>
          </w:p>
        </w:tc>
        <w:tc>
          <w:tcPr>
            <w:tcW w:w="758" w:type="dxa"/>
            <w:vAlign w:val="center"/>
          </w:tcPr>
          <w:p>
            <w:pPr>
              <w:pStyle w:val="13"/>
            </w:pPr>
            <w:r>
              <w:t>1.48</w:t>
            </w:r>
          </w:p>
        </w:tc>
        <w:tc>
          <w:tcPr>
            <w:tcW w:w="758" w:type="dxa"/>
            <w:vAlign w:val="center"/>
          </w:tcPr>
          <w:p>
            <w:pPr>
              <w:pStyle w:val="13"/>
            </w:pPr>
            <w:r>
              <w:t>1.48</w:t>
            </w:r>
          </w:p>
        </w:tc>
        <w:tc>
          <w:tcPr>
            <w:tcW w:w="758" w:type="dxa"/>
            <w:vAlign w:val="center"/>
          </w:tcPr>
          <w:p>
            <w:pPr>
              <w:pStyle w:val="13"/>
            </w:pPr>
            <w:r>
              <w:t>1.48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2080801</w:t>
            </w:r>
          </w:p>
        </w:tc>
        <w:tc>
          <w:tcPr>
            <w:tcW w:w="758" w:type="dxa"/>
            <w:vAlign w:val="center"/>
          </w:tcPr>
          <w:p>
            <w:pPr>
              <w:pStyle w:val="14"/>
            </w:pPr>
            <w:r>
              <w:t>死亡抚恤</w:t>
            </w:r>
          </w:p>
        </w:tc>
        <w:tc>
          <w:tcPr>
            <w:tcW w:w="758" w:type="dxa"/>
            <w:vAlign w:val="center"/>
          </w:tcPr>
          <w:p>
            <w:pPr>
              <w:pStyle w:val="13"/>
            </w:pPr>
            <w:r>
              <w:t>1.48</w:t>
            </w:r>
          </w:p>
        </w:tc>
        <w:tc>
          <w:tcPr>
            <w:tcW w:w="758" w:type="dxa"/>
            <w:vAlign w:val="center"/>
          </w:tcPr>
          <w:p>
            <w:pPr>
              <w:pStyle w:val="13"/>
            </w:pPr>
            <w:r>
              <w:t>1.48</w:t>
            </w:r>
          </w:p>
        </w:tc>
        <w:tc>
          <w:tcPr>
            <w:tcW w:w="758" w:type="dxa"/>
            <w:vAlign w:val="center"/>
          </w:tcPr>
          <w:p>
            <w:pPr>
              <w:pStyle w:val="13"/>
            </w:pPr>
            <w:r>
              <w:t>1.48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7.60</w:t>
            </w:r>
          </w:p>
        </w:tc>
        <w:tc>
          <w:tcPr>
            <w:tcW w:w="758" w:type="dxa"/>
            <w:vAlign w:val="center"/>
          </w:tcPr>
          <w:p>
            <w:pPr>
              <w:pStyle w:val="13"/>
            </w:pPr>
            <w:r>
              <w:t>7.60</w:t>
            </w:r>
          </w:p>
        </w:tc>
        <w:tc>
          <w:tcPr>
            <w:tcW w:w="758" w:type="dxa"/>
            <w:vAlign w:val="center"/>
          </w:tcPr>
          <w:p>
            <w:pPr>
              <w:pStyle w:val="13"/>
            </w:pPr>
            <w:r>
              <w:t>7.60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21012</w:t>
            </w:r>
          </w:p>
        </w:tc>
        <w:tc>
          <w:tcPr>
            <w:tcW w:w="758" w:type="dxa"/>
            <w:vAlign w:val="center"/>
          </w:tcPr>
          <w:p>
            <w:pPr>
              <w:pStyle w:val="14"/>
            </w:pPr>
            <w:r>
              <w:t>财政对基本医疗保险基金的补助</w:t>
            </w:r>
          </w:p>
        </w:tc>
        <w:tc>
          <w:tcPr>
            <w:tcW w:w="758" w:type="dxa"/>
            <w:vAlign w:val="center"/>
          </w:tcPr>
          <w:p>
            <w:pPr>
              <w:pStyle w:val="13"/>
            </w:pPr>
            <w:r>
              <w:t>7.60</w:t>
            </w:r>
          </w:p>
        </w:tc>
        <w:tc>
          <w:tcPr>
            <w:tcW w:w="758" w:type="dxa"/>
            <w:vAlign w:val="center"/>
          </w:tcPr>
          <w:p>
            <w:pPr>
              <w:pStyle w:val="13"/>
            </w:pPr>
            <w:r>
              <w:t>7.60</w:t>
            </w:r>
          </w:p>
        </w:tc>
        <w:tc>
          <w:tcPr>
            <w:tcW w:w="758" w:type="dxa"/>
            <w:vAlign w:val="center"/>
          </w:tcPr>
          <w:p>
            <w:pPr>
              <w:pStyle w:val="13"/>
            </w:pPr>
            <w:r>
              <w:t>7.60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2101201</w:t>
            </w:r>
          </w:p>
        </w:tc>
        <w:tc>
          <w:tcPr>
            <w:tcW w:w="758" w:type="dxa"/>
            <w:vAlign w:val="center"/>
          </w:tcPr>
          <w:p>
            <w:pPr>
              <w:pStyle w:val="14"/>
            </w:pPr>
            <w:r>
              <w:t>财政对职工基本医疗保险基金的补助</w:t>
            </w:r>
          </w:p>
        </w:tc>
        <w:tc>
          <w:tcPr>
            <w:tcW w:w="758" w:type="dxa"/>
            <w:vAlign w:val="center"/>
          </w:tcPr>
          <w:p>
            <w:pPr>
              <w:pStyle w:val="13"/>
            </w:pPr>
            <w:r>
              <w:t>7.60</w:t>
            </w:r>
          </w:p>
        </w:tc>
        <w:tc>
          <w:tcPr>
            <w:tcW w:w="758" w:type="dxa"/>
            <w:vAlign w:val="center"/>
          </w:tcPr>
          <w:p>
            <w:pPr>
              <w:pStyle w:val="13"/>
            </w:pPr>
            <w:r>
              <w:t>7.60</w:t>
            </w:r>
          </w:p>
        </w:tc>
        <w:tc>
          <w:tcPr>
            <w:tcW w:w="758" w:type="dxa"/>
            <w:vAlign w:val="center"/>
          </w:tcPr>
          <w:p>
            <w:pPr>
              <w:pStyle w:val="13"/>
            </w:pPr>
            <w:r>
              <w:t>7.60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11.50</w:t>
            </w:r>
          </w:p>
        </w:tc>
        <w:tc>
          <w:tcPr>
            <w:tcW w:w="758" w:type="dxa"/>
            <w:vAlign w:val="center"/>
          </w:tcPr>
          <w:p>
            <w:pPr>
              <w:pStyle w:val="13"/>
            </w:pPr>
            <w:r>
              <w:t>11.50</w:t>
            </w:r>
          </w:p>
        </w:tc>
        <w:tc>
          <w:tcPr>
            <w:tcW w:w="758" w:type="dxa"/>
            <w:vAlign w:val="center"/>
          </w:tcPr>
          <w:p>
            <w:pPr>
              <w:pStyle w:val="13"/>
            </w:pPr>
            <w:r>
              <w:t>11.50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11.50</w:t>
            </w:r>
          </w:p>
        </w:tc>
        <w:tc>
          <w:tcPr>
            <w:tcW w:w="758" w:type="dxa"/>
            <w:vAlign w:val="center"/>
          </w:tcPr>
          <w:p>
            <w:pPr>
              <w:pStyle w:val="13"/>
            </w:pPr>
            <w:r>
              <w:t>11.50</w:t>
            </w:r>
          </w:p>
        </w:tc>
        <w:tc>
          <w:tcPr>
            <w:tcW w:w="758" w:type="dxa"/>
            <w:vAlign w:val="center"/>
          </w:tcPr>
          <w:p>
            <w:pPr>
              <w:pStyle w:val="13"/>
            </w:pPr>
            <w:r>
              <w:t>11.50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11.50</w:t>
            </w:r>
          </w:p>
        </w:tc>
        <w:tc>
          <w:tcPr>
            <w:tcW w:w="758" w:type="dxa"/>
            <w:vAlign w:val="center"/>
          </w:tcPr>
          <w:p>
            <w:pPr>
              <w:pStyle w:val="13"/>
            </w:pPr>
            <w:r>
              <w:t>11.50</w:t>
            </w:r>
          </w:p>
        </w:tc>
        <w:tc>
          <w:tcPr>
            <w:tcW w:w="758" w:type="dxa"/>
            <w:vAlign w:val="center"/>
          </w:tcPr>
          <w:p>
            <w:pPr>
              <w:pStyle w:val="13"/>
            </w:pPr>
            <w:r>
              <w:t>11.50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23948"/>
      <w:r>
        <w:rPr>
          <w:color w:val="000000"/>
          <w:sz w:val="36"/>
        </w:rPr>
        <w:t>部门预算支出总表</w:t>
      </w:r>
      <w:bookmarkEnd w:id="2"/>
    </w:p>
    <w:tbl>
      <w:tblPr>
        <w:tblStyle w:val="7"/>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9"/>
            <w:tcBorders>
              <w:top w:val="single" w:color="FFFFFF" w:sz="6" w:space="0"/>
              <w:left w:val="single" w:color="FFFFFF" w:sz="6" w:space="0"/>
              <w:right w:val="single" w:color="FFFFFF" w:sz="6" w:space="0"/>
            </w:tcBorders>
            <w:vAlign w:val="center"/>
          </w:tcPr>
          <w:p>
            <w:pPr>
              <w:pStyle w:val="11"/>
            </w:pPr>
            <w:r>
              <w:t>359成安县融媒体中心</w:t>
            </w:r>
          </w:p>
          <w:p>
            <w:pPr>
              <w:pStyle w:val="10"/>
            </w:pPr>
            <w:r>
              <w:t>预算年度：2024</w:t>
            </w:r>
          </w:p>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vMerge w:val="restart"/>
            <w:vAlign w:val="center"/>
          </w:tcPr>
          <w:p>
            <w:pPr>
              <w:pStyle w:val="12"/>
            </w:pPr>
            <w:r>
              <w:t>序号</w:t>
            </w:r>
          </w:p>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vAlign w:val="top"/>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591.86</w:t>
            </w:r>
          </w:p>
        </w:tc>
        <w:tc>
          <w:tcPr>
            <w:tcW w:w="1095" w:type="dxa"/>
            <w:vAlign w:val="center"/>
          </w:tcPr>
          <w:p>
            <w:pPr>
              <w:pStyle w:val="17"/>
            </w:pPr>
            <w:r>
              <w:t>549.84</w:t>
            </w:r>
          </w:p>
        </w:tc>
        <w:tc>
          <w:tcPr>
            <w:tcW w:w="1095" w:type="dxa"/>
            <w:vAlign w:val="center"/>
          </w:tcPr>
          <w:p>
            <w:pPr>
              <w:pStyle w:val="17"/>
            </w:pPr>
            <w:r>
              <w:t>42.02</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207</w:t>
            </w:r>
          </w:p>
        </w:tc>
        <w:tc>
          <w:tcPr>
            <w:tcW w:w="1095" w:type="dxa"/>
            <w:vAlign w:val="center"/>
          </w:tcPr>
          <w:p>
            <w:pPr>
              <w:pStyle w:val="14"/>
            </w:pPr>
            <w:r>
              <w:t>文化旅游体育与传媒支出</w:t>
            </w:r>
          </w:p>
        </w:tc>
        <w:tc>
          <w:tcPr>
            <w:tcW w:w="1095" w:type="dxa"/>
            <w:vAlign w:val="center"/>
          </w:tcPr>
          <w:p>
            <w:pPr>
              <w:pStyle w:val="13"/>
            </w:pPr>
            <w:r>
              <w:t>490.22</w:t>
            </w:r>
          </w:p>
        </w:tc>
        <w:tc>
          <w:tcPr>
            <w:tcW w:w="1095" w:type="dxa"/>
            <w:vAlign w:val="center"/>
          </w:tcPr>
          <w:p>
            <w:pPr>
              <w:pStyle w:val="13"/>
            </w:pPr>
            <w:r>
              <w:t>448.21</w:t>
            </w:r>
          </w:p>
        </w:tc>
        <w:tc>
          <w:tcPr>
            <w:tcW w:w="1095" w:type="dxa"/>
            <w:vAlign w:val="center"/>
          </w:tcPr>
          <w:p>
            <w:pPr>
              <w:pStyle w:val="13"/>
            </w:pPr>
            <w:r>
              <w:t>42.02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20708</w:t>
            </w:r>
          </w:p>
        </w:tc>
        <w:tc>
          <w:tcPr>
            <w:tcW w:w="1095" w:type="dxa"/>
            <w:vAlign w:val="center"/>
          </w:tcPr>
          <w:p>
            <w:pPr>
              <w:pStyle w:val="14"/>
            </w:pPr>
            <w:r>
              <w:t>广播电视</w:t>
            </w:r>
          </w:p>
        </w:tc>
        <w:tc>
          <w:tcPr>
            <w:tcW w:w="1095" w:type="dxa"/>
            <w:vAlign w:val="center"/>
          </w:tcPr>
          <w:p>
            <w:pPr>
              <w:pStyle w:val="13"/>
            </w:pPr>
            <w:r>
              <w:t>476.21</w:t>
            </w:r>
          </w:p>
        </w:tc>
        <w:tc>
          <w:tcPr>
            <w:tcW w:w="1095" w:type="dxa"/>
            <w:vAlign w:val="center"/>
          </w:tcPr>
          <w:p>
            <w:pPr>
              <w:pStyle w:val="13"/>
            </w:pPr>
            <w:r>
              <w:t>448.21</w:t>
            </w:r>
          </w:p>
        </w:tc>
        <w:tc>
          <w:tcPr>
            <w:tcW w:w="1095" w:type="dxa"/>
            <w:vAlign w:val="center"/>
          </w:tcPr>
          <w:p>
            <w:pPr>
              <w:pStyle w:val="13"/>
            </w:pPr>
            <w:r>
              <w:t>28.00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2070801</w:t>
            </w:r>
          </w:p>
        </w:tc>
        <w:tc>
          <w:tcPr>
            <w:tcW w:w="1095" w:type="dxa"/>
            <w:vAlign w:val="center"/>
          </w:tcPr>
          <w:p>
            <w:pPr>
              <w:pStyle w:val="14"/>
            </w:pPr>
            <w:r>
              <w:t>行政运行</w:t>
            </w:r>
          </w:p>
        </w:tc>
        <w:tc>
          <w:tcPr>
            <w:tcW w:w="1095" w:type="dxa"/>
            <w:vAlign w:val="center"/>
          </w:tcPr>
          <w:p>
            <w:pPr>
              <w:pStyle w:val="13"/>
            </w:pPr>
            <w:r>
              <w:t>476.21</w:t>
            </w:r>
          </w:p>
        </w:tc>
        <w:tc>
          <w:tcPr>
            <w:tcW w:w="1095" w:type="dxa"/>
            <w:vAlign w:val="center"/>
          </w:tcPr>
          <w:p>
            <w:pPr>
              <w:pStyle w:val="13"/>
            </w:pPr>
            <w:r>
              <w:t>448.21</w:t>
            </w:r>
          </w:p>
        </w:tc>
        <w:tc>
          <w:tcPr>
            <w:tcW w:w="1095" w:type="dxa"/>
            <w:vAlign w:val="center"/>
          </w:tcPr>
          <w:p>
            <w:pPr>
              <w:pStyle w:val="13"/>
            </w:pPr>
            <w:r>
              <w:t>28.00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20799</w:t>
            </w:r>
          </w:p>
        </w:tc>
        <w:tc>
          <w:tcPr>
            <w:tcW w:w="1095" w:type="dxa"/>
            <w:vAlign w:val="center"/>
          </w:tcPr>
          <w:p>
            <w:pPr>
              <w:pStyle w:val="14"/>
            </w:pPr>
            <w:r>
              <w:t>其他文化旅游体育与传媒支出</w:t>
            </w:r>
          </w:p>
        </w:tc>
        <w:tc>
          <w:tcPr>
            <w:tcW w:w="1095" w:type="dxa"/>
            <w:vAlign w:val="center"/>
          </w:tcPr>
          <w:p>
            <w:pPr>
              <w:pStyle w:val="13"/>
            </w:pPr>
            <w:r>
              <w:t>14.02</w:t>
            </w:r>
          </w:p>
        </w:tc>
        <w:tc>
          <w:tcPr>
            <w:tcW w:w="1095" w:type="dxa"/>
            <w:vAlign w:val="center"/>
          </w:tcPr>
          <w:p>
            <w:pPr>
              <w:pStyle w:val="13"/>
            </w:pPr>
          </w:p>
        </w:tc>
        <w:tc>
          <w:tcPr>
            <w:tcW w:w="1095" w:type="dxa"/>
            <w:vAlign w:val="center"/>
          </w:tcPr>
          <w:p>
            <w:pPr>
              <w:pStyle w:val="13"/>
            </w:pPr>
            <w:r>
              <w:t>14.02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2079999</w:t>
            </w:r>
          </w:p>
        </w:tc>
        <w:tc>
          <w:tcPr>
            <w:tcW w:w="1095" w:type="dxa"/>
            <w:vAlign w:val="center"/>
          </w:tcPr>
          <w:p>
            <w:pPr>
              <w:pStyle w:val="14"/>
            </w:pPr>
            <w:r>
              <w:t>其他文化旅游体育与传媒支出</w:t>
            </w:r>
          </w:p>
        </w:tc>
        <w:tc>
          <w:tcPr>
            <w:tcW w:w="1095" w:type="dxa"/>
            <w:vAlign w:val="center"/>
          </w:tcPr>
          <w:p>
            <w:pPr>
              <w:pStyle w:val="13"/>
            </w:pPr>
            <w:r>
              <w:t>14.02</w:t>
            </w:r>
          </w:p>
        </w:tc>
        <w:tc>
          <w:tcPr>
            <w:tcW w:w="1095" w:type="dxa"/>
            <w:vAlign w:val="center"/>
          </w:tcPr>
          <w:p>
            <w:pPr>
              <w:pStyle w:val="13"/>
            </w:pPr>
          </w:p>
        </w:tc>
        <w:tc>
          <w:tcPr>
            <w:tcW w:w="1095" w:type="dxa"/>
            <w:vAlign w:val="center"/>
          </w:tcPr>
          <w:p>
            <w:pPr>
              <w:pStyle w:val="13"/>
            </w:pPr>
            <w:r>
              <w:t>14.02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82.54</w:t>
            </w:r>
          </w:p>
        </w:tc>
        <w:tc>
          <w:tcPr>
            <w:tcW w:w="1095" w:type="dxa"/>
            <w:vAlign w:val="center"/>
          </w:tcPr>
          <w:p>
            <w:pPr>
              <w:pStyle w:val="13"/>
            </w:pPr>
            <w:r>
              <w:t>82.54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81.06</w:t>
            </w:r>
          </w:p>
        </w:tc>
        <w:tc>
          <w:tcPr>
            <w:tcW w:w="1095" w:type="dxa"/>
            <w:vAlign w:val="center"/>
          </w:tcPr>
          <w:p>
            <w:pPr>
              <w:pStyle w:val="13"/>
            </w:pPr>
            <w:r>
              <w:t>81.06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2080501</w:t>
            </w:r>
          </w:p>
        </w:tc>
        <w:tc>
          <w:tcPr>
            <w:tcW w:w="1095" w:type="dxa"/>
            <w:vAlign w:val="center"/>
          </w:tcPr>
          <w:p>
            <w:pPr>
              <w:pStyle w:val="14"/>
            </w:pPr>
            <w:r>
              <w:t>行政单位离退休</w:t>
            </w:r>
          </w:p>
        </w:tc>
        <w:tc>
          <w:tcPr>
            <w:tcW w:w="1095" w:type="dxa"/>
            <w:vAlign w:val="center"/>
          </w:tcPr>
          <w:p>
            <w:pPr>
              <w:pStyle w:val="13"/>
            </w:pPr>
            <w:r>
              <w:t>22.90</w:t>
            </w:r>
          </w:p>
        </w:tc>
        <w:tc>
          <w:tcPr>
            <w:tcW w:w="1095" w:type="dxa"/>
            <w:vAlign w:val="center"/>
          </w:tcPr>
          <w:p>
            <w:pPr>
              <w:pStyle w:val="13"/>
            </w:pPr>
            <w:r>
              <w:t>22.90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58.16</w:t>
            </w:r>
          </w:p>
        </w:tc>
        <w:tc>
          <w:tcPr>
            <w:tcW w:w="1095" w:type="dxa"/>
            <w:vAlign w:val="center"/>
          </w:tcPr>
          <w:p>
            <w:pPr>
              <w:pStyle w:val="13"/>
            </w:pPr>
            <w:r>
              <w:t>58.16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20808</w:t>
            </w:r>
          </w:p>
        </w:tc>
        <w:tc>
          <w:tcPr>
            <w:tcW w:w="1095" w:type="dxa"/>
            <w:vAlign w:val="center"/>
          </w:tcPr>
          <w:p>
            <w:pPr>
              <w:pStyle w:val="14"/>
            </w:pPr>
            <w:r>
              <w:t>抚恤</w:t>
            </w:r>
          </w:p>
        </w:tc>
        <w:tc>
          <w:tcPr>
            <w:tcW w:w="1095" w:type="dxa"/>
            <w:vAlign w:val="center"/>
          </w:tcPr>
          <w:p>
            <w:pPr>
              <w:pStyle w:val="13"/>
            </w:pPr>
            <w:r>
              <w:t>1.48</w:t>
            </w:r>
          </w:p>
        </w:tc>
        <w:tc>
          <w:tcPr>
            <w:tcW w:w="1095" w:type="dxa"/>
            <w:vAlign w:val="center"/>
          </w:tcPr>
          <w:p>
            <w:pPr>
              <w:pStyle w:val="13"/>
            </w:pPr>
            <w:r>
              <w:t>1.48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2080801</w:t>
            </w:r>
          </w:p>
        </w:tc>
        <w:tc>
          <w:tcPr>
            <w:tcW w:w="1095" w:type="dxa"/>
            <w:vAlign w:val="center"/>
          </w:tcPr>
          <w:p>
            <w:pPr>
              <w:pStyle w:val="14"/>
            </w:pPr>
            <w:r>
              <w:t>死亡抚恤</w:t>
            </w:r>
          </w:p>
        </w:tc>
        <w:tc>
          <w:tcPr>
            <w:tcW w:w="1095" w:type="dxa"/>
            <w:vAlign w:val="center"/>
          </w:tcPr>
          <w:p>
            <w:pPr>
              <w:pStyle w:val="13"/>
            </w:pPr>
            <w:r>
              <w:t>1.48</w:t>
            </w:r>
          </w:p>
        </w:tc>
        <w:tc>
          <w:tcPr>
            <w:tcW w:w="1095" w:type="dxa"/>
            <w:vAlign w:val="center"/>
          </w:tcPr>
          <w:p>
            <w:pPr>
              <w:pStyle w:val="13"/>
            </w:pPr>
            <w:r>
              <w:t>1.48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7.60</w:t>
            </w:r>
          </w:p>
        </w:tc>
        <w:tc>
          <w:tcPr>
            <w:tcW w:w="1095" w:type="dxa"/>
            <w:vAlign w:val="center"/>
          </w:tcPr>
          <w:p>
            <w:pPr>
              <w:pStyle w:val="13"/>
            </w:pPr>
            <w:r>
              <w:t>7.60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21012</w:t>
            </w:r>
          </w:p>
        </w:tc>
        <w:tc>
          <w:tcPr>
            <w:tcW w:w="1095" w:type="dxa"/>
            <w:vAlign w:val="center"/>
          </w:tcPr>
          <w:p>
            <w:pPr>
              <w:pStyle w:val="14"/>
            </w:pPr>
            <w:r>
              <w:t>财政对基本医疗保险基金的补助</w:t>
            </w:r>
          </w:p>
        </w:tc>
        <w:tc>
          <w:tcPr>
            <w:tcW w:w="1095" w:type="dxa"/>
            <w:vAlign w:val="center"/>
          </w:tcPr>
          <w:p>
            <w:pPr>
              <w:pStyle w:val="13"/>
            </w:pPr>
            <w:r>
              <w:t>7.60</w:t>
            </w:r>
          </w:p>
        </w:tc>
        <w:tc>
          <w:tcPr>
            <w:tcW w:w="1095" w:type="dxa"/>
            <w:vAlign w:val="center"/>
          </w:tcPr>
          <w:p>
            <w:pPr>
              <w:pStyle w:val="13"/>
            </w:pPr>
            <w:r>
              <w:t>7.60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2101201</w:t>
            </w:r>
          </w:p>
        </w:tc>
        <w:tc>
          <w:tcPr>
            <w:tcW w:w="1095" w:type="dxa"/>
            <w:vAlign w:val="center"/>
          </w:tcPr>
          <w:p>
            <w:pPr>
              <w:pStyle w:val="14"/>
            </w:pPr>
            <w:r>
              <w:t>财政对职工基本医疗保险基金的补助</w:t>
            </w:r>
          </w:p>
        </w:tc>
        <w:tc>
          <w:tcPr>
            <w:tcW w:w="1095" w:type="dxa"/>
            <w:vAlign w:val="center"/>
          </w:tcPr>
          <w:p>
            <w:pPr>
              <w:pStyle w:val="13"/>
            </w:pPr>
            <w:r>
              <w:t>7.60</w:t>
            </w:r>
          </w:p>
        </w:tc>
        <w:tc>
          <w:tcPr>
            <w:tcW w:w="1095" w:type="dxa"/>
            <w:vAlign w:val="center"/>
          </w:tcPr>
          <w:p>
            <w:pPr>
              <w:pStyle w:val="13"/>
            </w:pPr>
            <w:r>
              <w:t>7.60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11.50</w:t>
            </w:r>
          </w:p>
        </w:tc>
        <w:tc>
          <w:tcPr>
            <w:tcW w:w="1095" w:type="dxa"/>
            <w:vAlign w:val="center"/>
          </w:tcPr>
          <w:p>
            <w:pPr>
              <w:pStyle w:val="13"/>
            </w:pPr>
            <w:r>
              <w:t>11.50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11.50</w:t>
            </w:r>
          </w:p>
        </w:tc>
        <w:tc>
          <w:tcPr>
            <w:tcW w:w="1095" w:type="dxa"/>
            <w:vAlign w:val="center"/>
          </w:tcPr>
          <w:p>
            <w:pPr>
              <w:pStyle w:val="13"/>
            </w:pPr>
            <w:r>
              <w:t>11.50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11.50</w:t>
            </w:r>
          </w:p>
        </w:tc>
        <w:tc>
          <w:tcPr>
            <w:tcW w:w="1095" w:type="dxa"/>
            <w:vAlign w:val="center"/>
          </w:tcPr>
          <w:p>
            <w:pPr>
              <w:pStyle w:val="13"/>
            </w:pPr>
            <w:r>
              <w:t>11.50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22094"/>
      <w:r>
        <w:rPr>
          <w:color w:val="000000"/>
          <w:sz w:val="36"/>
        </w:rPr>
        <w:t>部门预算财政拨款收支总表</w:t>
      </w:r>
      <w:bookmarkEnd w:id="3"/>
    </w:p>
    <w:tbl>
      <w:tblPr>
        <w:tblStyle w:val="7"/>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359成安县融媒体中心</w:t>
            </w:r>
          </w:p>
        </w:tc>
        <w:tc>
          <w:tcPr>
            <w:tcW w:w="6160" w:type="dxa"/>
            <w:gridSpan w:val="5"/>
            <w:tcBorders>
              <w:top w:val="single" w:color="FFFFFF" w:sz="6" w:space="0"/>
              <w:left w:val="single" w:color="FFFFFF" w:sz="6" w:space="0"/>
              <w:right w:val="single" w:color="FFFFFF" w:sz="6" w:space="0"/>
            </w:tcBorders>
            <w:vAlign w:val="center"/>
          </w:tcPr>
          <w:p>
            <w:pPr>
              <w:pStyle w:val="10"/>
            </w:pPr>
            <w:r>
              <w:t>预算年度：2024</w:t>
            </w:r>
          </w:p>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6" w:type="dxa"/>
            <w:gridSpan w:val="8"/>
            <w:vMerge w:val="restart"/>
            <w:vAlign w:val="center"/>
          </w:tcPr>
          <w:p>
            <w:pPr>
              <w:pStyle w:val="12"/>
            </w:pPr>
            <w:r>
              <w:t>序号</w:t>
            </w:r>
          </w:p>
          <w:p>
            <w:pPr>
              <w:pStyle w:val="12"/>
            </w:pPr>
            <w:r>
              <w:t>收入</w:t>
            </w:r>
          </w:p>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vAlign w:val="top"/>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591.86</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r>
              <w:t>490.22</w:t>
            </w:r>
          </w:p>
        </w:tc>
        <w:tc>
          <w:tcPr>
            <w:tcW w:w="1232" w:type="dxa"/>
            <w:vAlign w:val="center"/>
          </w:tcPr>
          <w:p>
            <w:pPr>
              <w:pStyle w:val="13"/>
            </w:pPr>
            <w:r>
              <w:t>490.22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82.54</w:t>
            </w:r>
          </w:p>
        </w:tc>
        <w:tc>
          <w:tcPr>
            <w:tcW w:w="1232" w:type="dxa"/>
            <w:vAlign w:val="center"/>
          </w:tcPr>
          <w:p>
            <w:pPr>
              <w:pStyle w:val="13"/>
            </w:pPr>
            <w:r>
              <w:t>82.54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7.60</w:t>
            </w:r>
          </w:p>
        </w:tc>
        <w:tc>
          <w:tcPr>
            <w:tcW w:w="1232" w:type="dxa"/>
            <w:vAlign w:val="center"/>
          </w:tcPr>
          <w:p>
            <w:pPr>
              <w:pStyle w:val="13"/>
            </w:pPr>
            <w:r>
              <w:t>7.60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11.50</w:t>
            </w:r>
          </w:p>
        </w:tc>
        <w:tc>
          <w:tcPr>
            <w:tcW w:w="1232" w:type="dxa"/>
            <w:vAlign w:val="center"/>
          </w:tcPr>
          <w:p>
            <w:pPr>
              <w:pStyle w:val="13"/>
            </w:pPr>
            <w:r>
              <w:t>11.50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591.86</w:t>
            </w:r>
          </w:p>
        </w:tc>
        <w:tc>
          <w:tcPr>
            <w:tcW w:w="1232" w:type="dxa"/>
            <w:vAlign w:val="center"/>
          </w:tcPr>
          <w:p>
            <w:pPr>
              <w:pStyle w:val="16"/>
            </w:pPr>
            <w:r>
              <w:t>本年支出合计</w:t>
            </w:r>
          </w:p>
        </w:tc>
        <w:tc>
          <w:tcPr>
            <w:tcW w:w="1232" w:type="dxa"/>
            <w:vAlign w:val="center"/>
          </w:tcPr>
          <w:p>
            <w:pPr>
              <w:pStyle w:val="17"/>
            </w:pPr>
            <w:r>
              <w:t>591.86</w:t>
            </w:r>
          </w:p>
        </w:tc>
        <w:tc>
          <w:tcPr>
            <w:tcW w:w="1232" w:type="dxa"/>
            <w:vAlign w:val="center"/>
          </w:tcPr>
          <w:p>
            <w:pPr>
              <w:pStyle w:val="17"/>
            </w:pPr>
            <w:r>
              <w:t>591.86</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591.86</w:t>
            </w:r>
          </w:p>
        </w:tc>
        <w:tc>
          <w:tcPr>
            <w:tcW w:w="1232" w:type="dxa"/>
            <w:vAlign w:val="center"/>
          </w:tcPr>
          <w:p>
            <w:pPr>
              <w:pStyle w:val="16"/>
            </w:pPr>
            <w:r>
              <w:t>支出总计</w:t>
            </w:r>
          </w:p>
        </w:tc>
        <w:tc>
          <w:tcPr>
            <w:tcW w:w="1232" w:type="dxa"/>
            <w:vAlign w:val="center"/>
          </w:tcPr>
          <w:p>
            <w:pPr>
              <w:pStyle w:val="17"/>
            </w:pPr>
            <w:r>
              <w:t>591.86</w:t>
            </w:r>
          </w:p>
        </w:tc>
        <w:tc>
          <w:tcPr>
            <w:tcW w:w="1232" w:type="dxa"/>
            <w:vAlign w:val="center"/>
          </w:tcPr>
          <w:p>
            <w:pPr>
              <w:pStyle w:val="17"/>
            </w:pPr>
            <w:r>
              <w:t>591.86</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28627"/>
      <w:r>
        <w:rPr>
          <w:color w:val="000000"/>
          <w:sz w:val="36"/>
        </w:rPr>
        <w:t>部门预算一般公共预算财政拨款支出表</w:t>
      </w:r>
      <w:bookmarkEnd w:id="4"/>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359成安县融媒体中心</w:t>
            </w:r>
          </w:p>
        </w:tc>
        <w:tc>
          <w:tcPr>
            <w:tcW w:w="4929" w:type="dxa"/>
            <w:gridSpan w:val="3"/>
            <w:tcBorders>
              <w:top w:val="single" w:color="FFFFFF" w:sz="6" w:space="0"/>
              <w:left w:val="single" w:color="FFFFFF" w:sz="6" w:space="0"/>
              <w:right w:val="single" w:color="FFFFFF" w:sz="6" w:space="0"/>
            </w:tcBorders>
            <w:vAlign w:val="center"/>
          </w:tcPr>
          <w:p>
            <w:pPr>
              <w:pStyle w:val="10"/>
            </w:pPr>
            <w:r>
              <w:t>预算年度：2024</w:t>
            </w:r>
          </w:p>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12"/>
            </w:pPr>
            <w:r>
              <w:t>序号</w:t>
            </w:r>
          </w:p>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591.86</w:t>
            </w:r>
          </w:p>
        </w:tc>
        <w:tc>
          <w:tcPr>
            <w:tcW w:w="1643" w:type="dxa"/>
            <w:vAlign w:val="center"/>
          </w:tcPr>
          <w:p>
            <w:pPr>
              <w:pStyle w:val="17"/>
            </w:pPr>
            <w:r>
              <w:t>549.84</w:t>
            </w:r>
          </w:p>
        </w:tc>
        <w:tc>
          <w:tcPr>
            <w:tcW w:w="1643" w:type="dxa"/>
            <w:vAlign w:val="center"/>
          </w:tcPr>
          <w:p>
            <w:pPr>
              <w:pStyle w:val="17"/>
            </w:pPr>
            <w:r>
              <w:t>42.02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207</w:t>
            </w:r>
          </w:p>
        </w:tc>
        <w:tc>
          <w:tcPr>
            <w:tcW w:w="1643" w:type="dxa"/>
            <w:vAlign w:val="center"/>
          </w:tcPr>
          <w:p>
            <w:pPr>
              <w:pStyle w:val="14"/>
            </w:pPr>
            <w:r>
              <w:t>文化旅游体育与传媒支出</w:t>
            </w:r>
          </w:p>
        </w:tc>
        <w:tc>
          <w:tcPr>
            <w:tcW w:w="1643" w:type="dxa"/>
            <w:vAlign w:val="center"/>
          </w:tcPr>
          <w:p>
            <w:pPr>
              <w:pStyle w:val="13"/>
            </w:pPr>
            <w:r>
              <w:t>490.22</w:t>
            </w:r>
          </w:p>
        </w:tc>
        <w:tc>
          <w:tcPr>
            <w:tcW w:w="1643" w:type="dxa"/>
            <w:vAlign w:val="center"/>
          </w:tcPr>
          <w:p>
            <w:pPr>
              <w:pStyle w:val="13"/>
            </w:pPr>
            <w:r>
              <w:t>448.21</w:t>
            </w:r>
          </w:p>
        </w:tc>
        <w:tc>
          <w:tcPr>
            <w:tcW w:w="1643" w:type="dxa"/>
            <w:vAlign w:val="center"/>
          </w:tcPr>
          <w:p>
            <w:pPr>
              <w:pStyle w:val="13"/>
            </w:pPr>
            <w:r>
              <w:t>42.02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20708</w:t>
            </w:r>
          </w:p>
        </w:tc>
        <w:tc>
          <w:tcPr>
            <w:tcW w:w="1643" w:type="dxa"/>
            <w:vAlign w:val="center"/>
          </w:tcPr>
          <w:p>
            <w:pPr>
              <w:pStyle w:val="14"/>
            </w:pPr>
            <w:r>
              <w:t>广播电视</w:t>
            </w:r>
          </w:p>
        </w:tc>
        <w:tc>
          <w:tcPr>
            <w:tcW w:w="1643" w:type="dxa"/>
            <w:vAlign w:val="center"/>
          </w:tcPr>
          <w:p>
            <w:pPr>
              <w:pStyle w:val="13"/>
            </w:pPr>
            <w:r>
              <w:t>476.21</w:t>
            </w:r>
          </w:p>
        </w:tc>
        <w:tc>
          <w:tcPr>
            <w:tcW w:w="1643" w:type="dxa"/>
            <w:vAlign w:val="center"/>
          </w:tcPr>
          <w:p>
            <w:pPr>
              <w:pStyle w:val="13"/>
            </w:pPr>
            <w:r>
              <w:t>448.21</w:t>
            </w:r>
          </w:p>
        </w:tc>
        <w:tc>
          <w:tcPr>
            <w:tcW w:w="1643" w:type="dxa"/>
            <w:vAlign w:val="center"/>
          </w:tcPr>
          <w:p>
            <w:pPr>
              <w:pStyle w:val="13"/>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2070801</w:t>
            </w:r>
          </w:p>
        </w:tc>
        <w:tc>
          <w:tcPr>
            <w:tcW w:w="1643" w:type="dxa"/>
            <w:vAlign w:val="center"/>
          </w:tcPr>
          <w:p>
            <w:pPr>
              <w:pStyle w:val="14"/>
            </w:pPr>
            <w:r>
              <w:t>行政运行</w:t>
            </w:r>
          </w:p>
        </w:tc>
        <w:tc>
          <w:tcPr>
            <w:tcW w:w="1643" w:type="dxa"/>
            <w:vAlign w:val="center"/>
          </w:tcPr>
          <w:p>
            <w:pPr>
              <w:pStyle w:val="13"/>
            </w:pPr>
            <w:r>
              <w:t>476.21</w:t>
            </w:r>
          </w:p>
        </w:tc>
        <w:tc>
          <w:tcPr>
            <w:tcW w:w="1643" w:type="dxa"/>
            <w:vAlign w:val="center"/>
          </w:tcPr>
          <w:p>
            <w:pPr>
              <w:pStyle w:val="13"/>
            </w:pPr>
            <w:r>
              <w:t>448.21</w:t>
            </w:r>
          </w:p>
        </w:tc>
        <w:tc>
          <w:tcPr>
            <w:tcW w:w="1643" w:type="dxa"/>
            <w:vAlign w:val="center"/>
          </w:tcPr>
          <w:p>
            <w:pPr>
              <w:pStyle w:val="13"/>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20799</w:t>
            </w:r>
          </w:p>
        </w:tc>
        <w:tc>
          <w:tcPr>
            <w:tcW w:w="1643" w:type="dxa"/>
            <w:vAlign w:val="center"/>
          </w:tcPr>
          <w:p>
            <w:pPr>
              <w:pStyle w:val="14"/>
            </w:pPr>
            <w:r>
              <w:t>其他文化旅游体育与传媒支出</w:t>
            </w:r>
          </w:p>
        </w:tc>
        <w:tc>
          <w:tcPr>
            <w:tcW w:w="1643" w:type="dxa"/>
            <w:vAlign w:val="center"/>
          </w:tcPr>
          <w:p>
            <w:pPr>
              <w:pStyle w:val="13"/>
            </w:pPr>
            <w:r>
              <w:t>14.02</w:t>
            </w:r>
          </w:p>
        </w:tc>
        <w:tc>
          <w:tcPr>
            <w:tcW w:w="1643" w:type="dxa"/>
            <w:vAlign w:val="center"/>
          </w:tcPr>
          <w:p>
            <w:pPr>
              <w:pStyle w:val="13"/>
            </w:pPr>
          </w:p>
        </w:tc>
        <w:tc>
          <w:tcPr>
            <w:tcW w:w="1643" w:type="dxa"/>
            <w:vAlign w:val="center"/>
          </w:tcPr>
          <w:p>
            <w:pPr>
              <w:pStyle w:val="13"/>
            </w:pPr>
            <w:r>
              <w:t>14.02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2079999</w:t>
            </w:r>
          </w:p>
        </w:tc>
        <w:tc>
          <w:tcPr>
            <w:tcW w:w="1643" w:type="dxa"/>
            <w:vAlign w:val="center"/>
          </w:tcPr>
          <w:p>
            <w:pPr>
              <w:pStyle w:val="14"/>
            </w:pPr>
            <w:r>
              <w:t>其他文化旅游体育与传媒支出</w:t>
            </w:r>
          </w:p>
        </w:tc>
        <w:tc>
          <w:tcPr>
            <w:tcW w:w="1643" w:type="dxa"/>
            <w:vAlign w:val="center"/>
          </w:tcPr>
          <w:p>
            <w:pPr>
              <w:pStyle w:val="13"/>
            </w:pPr>
            <w:r>
              <w:t>14.02</w:t>
            </w:r>
          </w:p>
        </w:tc>
        <w:tc>
          <w:tcPr>
            <w:tcW w:w="1643" w:type="dxa"/>
            <w:vAlign w:val="center"/>
          </w:tcPr>
          <w:p>
            <w:pPr>
              <w:pStyle w:val="13"/>
            </w:pPr>
          </w:p>
        </w:tc>
        <w:tc>
          <w:tcPr>
            <w:tcW w:w="1643" w:type="dxa"/>
            <w:vAlign w:val="center"/>
          </w:tcPr>
          <w:p>
            <w:pPr>
              <w:pStyle w:val="13"/>
            </w:pPr>
            <w:r>
              <w:t>14.02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82.54</w:t>
            </w:r>
          </w:p>
        </w:tc>
        <w:tc>
          <w:tcPr>
            <w:tcW w:w="1643" w:type="dxa"/>
            <w:vAlign w:val="center"/>
          </w:tcPr>
          <w:p>
            <w:pPr>
              <w:pStyle w:val="13"/>
            </w:pPr>
            <w:r>
              <w:t>82.54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81.06</w:t>
            </w:r>
          </w:p>
        </w:tc>
        <w:tc>
          <w:tcPr>
            <w:tcW w:w="1643" w:type="dxa"/>
            <w:vAlign w:val="center"/>
          </w:tcPr>
          <w:p>
            <w:pPr>
              <w:pStyle w:val="13"/>
            </w:pPr>
            <w:r>
              <w:t>81.06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2080501</w:t>
            </w:r>
          </w:p>
        </w:tc>
        <w:tc>
          <w:tcPr>
            <w:tcW w:w="1643" w:type="dxa"/>
            <w:vAlign w:val="center"/>
          </w:tcPr>
          <w:p>
            <w:pPr>
              <w:pStyle w:val="14"/>
            </w:pPr>
            <w:r>
              <w:t>行政单位离退休</w:t>
            </w:r>
          </w:p>
        </w:tc>
        <w:tc>
          <w:tcPr>
            <w:tcW w:w="1643" w:type="dxa"/>
            <w:vAlign w:val="center"/>
          </w:tcPr>
          <w:p>
            <w:pPr>
              <w:pStyle w:val="13"/>
            </w:pPr>
            <w:r>
              <w:t>22.90</w:t>
            </w:r>
          </w:p>
        </w:tc>
        <w:tc>
          <w:tcPr>
            <w:tcW w:w="1643" w:type="dxa"/>
            <w:vAlign w:val="center"/>
          </w:tcPr>
          <w:p>
            <w:pPr>
              <w:pStyle w:val="13"/>
            </w:pPr>
            <w:r>
              <w:t>22.90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58.16</w:t>
            </w:r>
          </w:p>
        </w:tc>
        <w:tc>
          <w:tcPr>
            <w:tcW w:w="1643" w:type="dxa"/>
            <w:vAlign w:val="center"/>
          </w:tcPr>
          <w:p>
            <w:pPr>
              <w:pStyle w:val="13"/>
            </w:pPr>
            <w:r>
              <w:t>58.16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20808</w:t>
            </w:r>
          </w:p>
        </w:tc>
        <w:tc>
          <w:tcPr>
            <w:tcW w:w="1643" w:type="dxa"/>
            <w:vAlign w:val="center"/>
          </w:tcPr>
          <w:p>
            <w:pPr>
              <w:pStyle w:val="14"/>
            </w:pPr>
            <w:r>
              <w:t>抚恤</w:t>
            </w:r>
          </w:p>
        </w:tc>
        <w:tc>
          <w:tcPr>
            <w:tcW w:w="1643" w:type="dxa"/>
            <w:vAlign w:val="center"/>
          </w:tcPr>
          <w:p>
            <w:pPr>
              <w:pStyle w:val="13"/>
            </w:pPr>
            <w:r>
              <w:t>1.48</w:t>
            </w:r>
          </w:p>
        </w:tc>
        <w:tc>
          <w:tcPr>
            <w:tcW w:w="1643" w:type="dxa"/>
            <w:vAlign w:val="center"/>
          </w:tcPr>
          <w:p>
            <w:pPr>
              <w:pStyle w:val="13"/>
            </w:pPr>
            <w:r>
              <w:t>1.48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2080801</w:t>
            </w:r>
          </w:p>
        </w:tc>
        <w:tc>
          <w:tcPr>
            <w:tcW w:w="1643" w:type="dxa"/>
            <w:vAlign w:val="center"/>
          </w:tcPr>
          <w:p>
            <w:pPr>
              <w:pStyle w:val="14"/>
            </w:pPr>
            <w:r>
              <w:t>死亡抚恤</w:t>
            </w:r>
          </w:p>
        </w:tc>
        <w:tc>
          <w:tcPr>
            <w:tcW w:w="1643" w:type="dxa"/>
            <w:vAlign w:val="center"/>
          </w:tcPr>
          <w:p>
            <w:pPr>
              <w:pStyle w:val="13"/>
            </w:pPr>
            <w:r>
              <w:t>1.48</w:t>
            </w:r>
          </w:p>
        </w:tc>
        <w:tc>
          <w:tcPr>
            <w:tcW w:w="1643" w:type="dxa"/>
            <w:vAlign w:val="center"/>
          </w:tcPr>
          <w:p>
            <w:pPr>
              <w:pStyle w:val="13"/>
            </w:pPr>
            <w:r>
              <w:t>1.48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7.60</w:t>
            </w:r>
          </w:p>
        </w:tc>
        <w:tc>
          <w:tcPr>
            <w:tcW w:w="1643" w:type="dxa"/>
            <w:vAlign w:val="center"/>
          </w:tcPr>
          <w:p>
            <w:pPr>
              <w:pStyle w:val="13"/>
            </w:pPr>
            <w:r>
              <w:t>7.60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21012</w:t>
            </w:r>
          </w:p>
        </w:tc>
        <w:tc>
          <w:tcPr>
            <w:tcW w:w="1643" w:type="dxa"/>
            <w:vAlign w:val="center"/>
          </w:tcPr>
          <w:p>
            <w:pPr>
              <w:pStyle w:val="14"/>
            </w:pPr>
            <w:r>
              <w:t>财政对基本医疗保险基金的补助</w:t>
            </w:r>
          </w:p>
        </w:tc>
        <w:tc>
          <w:tcPr>
            <w:tcW w:w="1643" w:type="dxa"/>
            <w:vAlign w:val="center"/>
          </w:tcPr>
          <w:p>
            <w:pPr>
              <w:pStyle w:val="13"/>
            </w:pPr>
            <w:r>
              <w:t>7.60</w:t>
            </w:r>
          </w:p>
        </w:tc>
        <w:tc>
          <w:tcPr>
            <w:tcW w:w="1643" w:type="dxa"/>
            <w:vAlign w:val="center"/>
          </w:tcPr>
          <w:p>
            <w:pPr>
              <w:pStyle w:val="13"/>
            </w:pPr>
            <w:r>
              <w:t>7.60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2101201</w:t>
            </w:r>
          </w:p>
        </w:tc>
        <w:tc>
          <w:tcPr>
            <w:tcW w:w="1643" w:type="dxa"/>
            <w:vAlign w:val="center"/>
          </w:tcPr>
          <w:p>
            <w:pPr>
              <w:pStyle w:val="14"/>
            </w:pPr>
            <w:r>
              <w:t>财政对职工基本医疗保险基金的补助</w:t>
            </w:r>
          </w:p>
        </w:tc>
        <w:tc>
          <w:tcPr>
            <w:tcW w:w="1643" w:type="dxa"/>
            <w:vAlign w:val="center"/>
          </w:tcPr>
          <w:p>
            <w:pPr>
              <w:pStyle w:val="13"/>
            </w:pPr>
            <w:r>
              <w:t>7.60</w:t>
            </w:r>
          </w:p>
        </w:tc>
        <w:tc>
          <w:tcPr>
            <w:tcW w:w="1643" w:type="dxa"/>
            <w:vAlign w:val="center"/>
          </w:tcPr>
          <w:p>
            <w:pPr>
              <w:pStyle w:val="13"/>
            </w:pPr>
            <w:r>
              <w:t>7.60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11.50</w:t>
            </w:r>
          </w:p>
        </w:tc>
        <w:tc>
          <w:tcPr>
            <w:tcW w:w="1643" w:type="dxa"/>
            <w:vAlign w:val="center"/>
          </w:tcPr>
          <w:p>
            <w:pPr>
              <w:pStyle w:val="13"/>
            </w:pPr>
            <w:r>
              <w:t>11.50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11.50</w:t>
            </w:r>
          </w:p>
        </w:tc>
        <w:tc>
          <w:tcPr>
            <w:tcW w:w="1643" w:type="dxa"/>
            <w:vAlign w:val="center"/>
          </w:tcPr>
          <w:p>
            <w:pPr>
              <w:pStyle w:val="13"/>
            </w:pPr>
            <w:r>
              <w:t>11.50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11.50</w:t>
            </w:r>
          </w:p>
        </w:tc>
        <w:tc>
          <w:tcPr>
            <w:tcW w:w="1643" w:type="dxa"/>
            <w:vAlign w:val="center"/>
          </w:tcPr>
          <w:p>
            <w:pPr>
              <w:pStyle w:val="13"/>
            </w:pPr>
            <w:r>
              <w:t>11.50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16345"/>
      <w:r>
        <w:rPr>
          <w:color w:val="000000"/>
          <w:sz w:val="36"/>
        </w:rPr>
        <w:t>部门预算一般公共预算财政拨款基本支出表</w:t>
      </w:r>
      <w:bookmarkEnd w:id="5"/>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359成安县融媒体中心</w:t>
            </w:r>
          </w:p>
        </w:tc>
        <w:tc>
          <w:tcPr>
            <w:tcW w:w="4929" w:type="dxa"/>
            <w:gridSpan w:val="3"/>
            <w:tcBorders>
              <w:top w:val="single" w:color="FFFFFF" w:sz="6" w:space="0"/>
              <w:left w:val="single" w:color="FFFFFF" w:sz="6" w:space="0"/>
              <w:right w:val="single" w:color="FFFFFF" w:sz="6" w:space="0"/>
            </w:tcBorders>
            <w:vAlign w:val="center"/>
          </w:tcPr>
          <w:p>
            <w:pPr>
              <w:pStyle w:val="10"/>
            </w:pPr>
            <w:r>
              <w:t>预算年度：2024</w:t>
            </w:r>
          </w:p>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vMerge w:val="restart"/>
            <w:vAlign w:val="center"/>
          </w:tcPr>
          <w:p>
            <w:pPr>
              <w:pStyle w:val="12"/>
            </w:pPr>
            <w:r>
              <w:t>序号</w:t>
            </w:r>
          </w:p>
          <w:p>
            <w:pPr>
              <w:pStyle w:val="12"/>
            </w:pPr>
            <w:r>
              <w:t>支出部门经济分类科目</w:t>
            </w:r>
          </w:p>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549.84</w:t>
            </w:r>
          </w:p>
        </w:tc>
        <w:tc>
          <w:tcPr>
            <w:tcW w:w="1643" w:type="dxa"/>
            <w:vAlign w:val="center"/>
          </w:tcPr>
          <w:p>
            <w:pPr>
              <w:pStyle w:val="17"/>
            </w:pPr>
            <w:r>
              <w:t>518.46</w:t>
            </w:r>
          </w:p>
        </w:tc>
        <w:tc>
          <w:tcPr>
            <w:tcW w:w="1643" w:type="dxa"/>
            <w:vAlign w:val="center"/>
          </w:tcPr>
          <w:p>
            <w:pPr>
              <w:pStyle w:val="17"/>
            </w:pPr>
            <w:r>
              <w:t>31.38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494.09</w:t>
            </w:r>
          </w:p>
        </w:tc>
        <w:tc>
          <w:tcPr>
            <w:tcW w:w="1643" w:type="dxa"/>
            <w:vAlign w:val="center"/>
          </w:tcPr>
          <w:p>
            <w:pPr>
              <w:pStyle w:val="13"/>
            </w:pPr>
            <w:r>
              <w:t>494.09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356.52</w:t>
            </w:r>
          </w:p>
        </w:tc>
        <w:tc>
          <w:tcPr>
            <w:tcW w:w="1643" w:type="dxa"/>
            <w:vAlign w:val="center"/>
          </w:tcPr>
          <w:p>
            <w:pPr>
              <w:pStyle w:val="13"/>
            </w:pPr>
            <w:r>
              <w:t>356.52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12.00</w:t>
            </w:r>
          </w:p>
        </w:tc>
        <w:tc>
          <w:tcPr>
            <w:tcW w:w="1643" w:type="dxa"/>
            <w:vAlign w:val="center"/>
          </w:tcPr>
          <w:p>
            <w:pPr>
              <w:pStyle w:val="13"/>
            </w:pPr>
            <w:r>
              <w:t>12.00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6.80</w:t>
            </w:r>
          </w:p>
        </w:tc>
        <w:tc>
          <w:tcPr>
            <w:tcW w:w="1643" w:type="dxa"/>
            <w:vAlign w:val="center"/>
          </w:tcPr>
          <w:p>
            <w:pPr>
              <w:pStyle w:val="13"/>
            </w:pPr>
            <w:r>
              <w:t>6.80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13.20</w:t>
            </w:r>
          </w:p>
        </w:tc>
        <w:tc>
          <w:tcPr>
            <w:tcW w:w="1643" w:type="dxa"/>
            <w:vAlign w:val="center"/>
          </w:tcPr>
          <w:p>
            <w:pPr>
              <w:pStyle w:val="13"/>
            </w:pPr>
            <w:r>
              <w:t>13.20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7.20</w:t>
            </w:r>
          </w:p>
        </w:tc>
        <w:tc>
          <w:tcPr>
            <w:tcW w:w="1643" w:type="dxa"/>
            <w:vAlign w:val="center"/>
          </w:tcPr>
          <w:p>
            <w:pPr>
              <w:pStyle w:val="13"/>
            </w:pPr>
            <w:r>
              <w:t>7.20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1.91</w:t>
            </w:r>
          </w:p>
        </w:tc>
        <w:tc>
          <w:tcPr>
            <w:tcW w:w="1643" w:type="dxa"/>
            <w:vAlign w:val="center"/>
          </w:tcPr>
          <w:p>
            <w:pPr>
              <w:pStyle w:val="13"/>
            </w:pPr>
            <w:r>
              <w:t>1.91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11.50</w:t>
            </w:r>
          </w:p>
        </w:tc>
        <w:tc>
          <w:tcPr>
            <w:tcW w:w="1643" w:type="dxa"/>
            <w:vAlign w:val="center"/>
          </w:tcPr>
          <w:p>
            <w:pPr>
              <w:pStyle w:val="13"/>
            </w:pPr>
            <w:r>
              <w:t>11.50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84.96</w:t>
            </w:r>
          </w:p>
        </w:tc>
        <w:tc>
          <w:tcPr>
            <w:tcW w:w="1643" w:type="dxa"/>
            <w:vAlign w:val="center"/>
          </w:tcPr>
          <w:p>
            <w:pPr>
              <w:pStyle w:val="13"/>
            </w:pPr>
            <w:r>
              <w:t>84.96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31.38</w:t>
            </w:r>
          </w:p>
        </w:tc>
        <w:tc>
          <w:tcPr>
            <w:tcW w:w="1643" w:type="dxa"/>
            <w:vAlign w:val="center"/>
          </w:tcPr>
          <w:p>
            <w:pPr>
              <w:pStyle w:val="13"/>
            </w:pPr>
          </w:p>
        </w:tc>
        <w:tc>
          <w:tcPr>
            <w:tcW w:w="1643" w:type="dxa"/>
            <w:vAlign w:val="center"/>
          </w:tcPr>
          <w:p>
            <w:pPr>
              <w:pStyle w:val="13"/>
            </w:pPr>
            <w:r>
              <w:t>31.38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1.38</w:t>
            </w:r>
          </w:p>
        </w:tc>
        <w:tc>
          <w:tcPr>
            <w:tcW w:w="1643" w:type="dxa"/>
            <w:vAlign w:val="center"/>
          </w:tcPr>
          <w:p>
            <w:pPr>
              <w:pStyle w:val="13"/>
            </w:pPr>
          </w:p>
        </w:tc>
        <w:tc>
          <w:tcPr>
            <w:tcW w:w="1643" w:type="dxa"/>
            <w:vAlign w:val="center"/>
          </w:tcPr>
          <w:p>
            <w:pPr>
              <w:pStyle w:val="13"/>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30299</w:t>
            </w:r>
          </w:p>
        </w:tc>
        <w:tc>
          <w:tcPr>
            <w:tcW w:w="1643" w:type="dxa"/>
            <w:vAlign w:val="center"/>
          </w:tcPr>
          <w:p>
            <w:pPr>
              <w:pStyle w:val="14"/>
            </w:pPr>
            <w:r>
              <w:t>其他商品和服务支出</w:t>
            </w:r>
          </w:p>
        </w:tc>
        <w:tc>
          <w:tcPr>
            <w:tcW w:w="1643" w:type="dxa"/>
            <w:vAlign w:val="center"/>
          </w:tcPr>
          <w:p>
            <w:pPr>
              <w:pStyle w:val="13"/>
            </w:pPr>
            <w:r>
              <w:t>30.00</w:t>
            </w:r>
          </w:p>
        </w:tc>
        <w:tc>
          <w:tcPr>
            <w:tcW w:w="1643" w:type="dxa"/>
            <w:vAlign w:val="center"/>
          </w:tcPr>
          <w:p>
            <w:pPr>
              <w:pStyle w:val="13"/>
            </w:pPr>
          </w:p>
        </w:tc>
        <w:tc>
          <w:tcPr>
            <w:tcW w:w="1643"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24.38</w:t>
            </w:r>
          </w:p>
        </w:tc>
        <w:tc>
          <w:tcPr>
            <w:tcW w:w="1643" w:type="dxa"/>
            <w:vAlign w:val="center"/>
          </w:tcPr>
          <w:p>
            <w:pPr>
              <w:pStyle w:val="13"/>
            </w:pPr>
            <w:r>
              <w:t>24.38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22.90</w:t>
            </w:r>
          </w:p>
        </w:tc>
        <w:tc>
          <w:tcPr>
            <w:tcW w:w="1643" w:type="dxa"/>
            <w:vAlign w:val="center"/>
          </w:tcPr>
          <w:p>
            <w:pPr>
              <w:pStyle w:val="13"/>
            </w:pPr>
            <w:r>
              <w:t>22.90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1.48</w:t>
            </w:r>
          </w:p>
        </w:tc>
        <w:tc>
          <w:tcPr>
            <w:tcW w:w="1643" w:type="dxa"/>
            <w:vAlign w:val="center"/>
          </w:tcPr>
          <w:p>
            <w:pPr>
              <w:pStyle w:val="13"/>
            </w:pPr>
            <w:r>
              <w:t>1.48</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16953"/>
      <w:r>
        <w:rPr>
          <w:color w:val="000000"/>
          <w:sz w:val="36"/>
        </w:rPr>
        <w:t>部门预算政府性基金预算财政拨款支出表</w:t>
      </w:r>
      <w:bookmarkEnd w:id="6"/>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359成安县融媒体中心</w:t>
            </w:r>
          </w:p>
        </w:tc>
        <w:tc>
          <w:tcPr>
            <w:tcW w:w="4929" w:type="dxa"/>
            <w:gridSpan w:val="3"/>
            <w:tcBorders>
              <w:top w:val="single" w:color="FFFFFF" w:sz="6" w:space="0"/>
              <w:left w:val="single" w:color="FFFFFF" w:sz="6" w:space="0"/>
              <w:right w:val="single" w:color="FFFFFF" w:sz="6" w:space="0"/>
            </w:tcBorders>
            <w:vAlign w:val="center"/>
          </w:tcPr>
          <w:p>
            <w:pPr>
              <w:pStyle w:val="10"/>
            </w:pPr>
            <w:r>
              <w:t>预算年度：2024</w:t>
            </w:r>
          </w:p>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12"/>
            </w:pPr>
            <w:r>
              <w:t>序号</w:t>
            </w:r>
          </w:p>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color w:val="000000"/>
          <w:sz w:val="21"/>
        </w:rPr>
        <w:t>注：无政府基金预算财政拨款预算，空表列示。</w:t>
      </w:r>
    </w:p>
    <w:p>
      <w:pPr>
        <w:spacing w:before="0" w:after="0" w:line="240" w:lineRule="auto"/>
        <w:ind w:firstLine="0"/>
        <w:jc w:val="center"/>
        <w:outlineLvl w:val="1"/>
      </w:pPr>
      <w:bookmarkStart w:id="7" w:name="_Toc19248"/>
      <w:r>
        <w:rPr>
          <w:color w:val="000000"/>
          <w:sz w:val="36"/>
        </w:rPr>
        <w:t>部门预算国有资本经营预算财政拨款支出表</w:t>
      </w:r>
      <w:bookmarkEnd w:id="7"/>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359成安县融媒体中心</w:t>
            </w:r>
          </w:p>
        </w:tc>
        <w:tc>
          <w:tcPr>
            <w:tcW w:w="4929" w:type="dxa"/>
            <w:gridSpan w:val="3"/>
            <w:tcBorders>
              <w:top w:val="single" w:color="FFFFFF" w:sz="6" w:space="0"/>
              <w:left w:val="single" w:color="FFFFFF" w:sz="6" w:space="0"/>
              <w:right w:val="single" w:color="FFFFFF" w:sz="6" w:space="0"/>
            </w:tcBorders>
            <w:vAlign w:val="center"/>
          </w:tcPr>
          <w:p>
            <w:pPr>
              <w:pStyle w:val="10"/>
            </w:pPr>
            <w:r>
              <w:t>预算年度：2024</w:t>
            </w:r>
          </w:p>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12"/>
            </w:pPr>
            <w:r>
              <w:t>序号</w:t>
            </w:r>
          </w:p>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color w:val="000000"/>
          <w:sz w:val="21"/>
        </w:rPr>
        <w:t>注：无国有资本经营预算财政拨款预算，空表列示。</w:t>
      </w:r>
    </w:p>
    <w:p>
      <w:pPr>
        <w:spacing w:before="0" w:after="0" w:line="240" w:lineRule="auto"/>
        <w:ind w:firstLine="0"/>
        <w:jc w:val="center"/>
        <w:outlineLvl w:val="1"/>
      </w:pPr>
      <w:bookmarkStart w:id="8" w:name="_Toc2487"/>
      <w:r>
        <w:rPr>
          <w:color w:val="000000"/>
          <w:sz w:val="36"/>
        </w:rPr>
        <w:t>部门预算财政拨款“三公”经费支出表</w:t>
      </w:r>
      <w:bookmarkEnd w:id="8"/>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359成安县融媒体中心</w:t>
            </w:r>
          </w:p>
        </w:tc>
        <w:tc>
          <w:tcPr>
            <w:tcW w:w="4929" w:type="dxa"/>
            <w:gridSpan w:val="3"/>
            <w:tcBorders>
              <w:top w:val="single" w:color="FFFFFF" w:sz="6" w:space="0"/>
              <w:left w:val="single" w:color="FFFFFF" w:sz="6" w:space="0"/>
              <w:right w:val="single" w:color="FFFFFF" w:sz="6" w:space="0"/>
            </w:tcBorders>
            <w:vAlign w:val="center"/>
          </w:tcPr>
          <w:p>
            <w:pPr>
              <w:pStyle w:val="10"/>
            </w:pPr>
            <w:r>
              <w:t>预算年度：2024</w:t>
            </w:r>
          </w:p>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8215" w:type="dxa"/>
            <w:gridSpan w:val="5"/>
            <w:vMerge w:val="restart"/>
            <w:vAlign w:val="center"/>
          </w:tcPr>
          <w:p>
            <w:pPr>
              <w:pStyle w:val="12"/>
            </w:pPr>
            <w:r>
              <w:t>项  目</w:t>
            </w:r>
          </w:p>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vAlign w:val="top"/>
          </w:tcPr>
          <w:p/>
        </w:tc>
        <w:tc>
          <w:tcPr>
            <w:tcW w:w="1643" w:type="dxa"/>
            <w:vMerge w:val="continue"/>
            <w:vAlign w:val="top"/>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pPr>
      <w:r>
        <w:rPr>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color w:val="FFFFFF"/>
          <w:sz w:val="21"/>
        </w:rPr>
        <w:t>第一部分  成安县融媒体中心2024年部门预算信息公开情况说明</w:t>
      </w:r>
    </w:p>
    <w:p>
      <w:pPr>
        <w:spacing w:before="0" w:after="0" w:line="240" w:lineRule="auto"/>
        <w:ind w:firstLine="0"/>
        <w:jc w:val="center"/>
        <w:outlineLvl w:val="9"/>
      </w:pPr>
      <w:r>
        <w:rPr>
          <w:color w:val="000000"/>
          <w:sz w:val="44"/>
        </w:rPr>
        <w:t>成安县融媒体中心2024年部门预算信息公开情况说明</w:t>
      </w:r>
    </w:p>
    <w:p>
      <w:pPr>
        <w:spacing w:before="0" w:after="0" w:line="500" w:lineRule="exact"/>
        <w:ind w:firstLine="560"/>
        <w:jc w:val="left"/>
        <w:outlineLvl w:val="9"/>
      </w:pPr>
      <w:r>
        <w:rPr>
          <w:color w:val="000000"/>
          <w:sz w:val="28"/>
        </w:rPr>
        <w:t>按照《中华人民共和国预算法》、《地方预决算公开操作规程》和《关于进一步推进预算公开工作的实施意见》规定，现将成安县融媒体中心2024年部门预算公开如下：</w:t>
      </w:r>
    </w:p>
    <w:p>
      <w:pPr>
        <w:spacing w:before="10" w:after="10" w:line="360" w:lineRule="auto"/>
        <w:ind w:firstLine="640"/>
        <w:jc w:val="left"/>
        <w:outlineLvl w:val="2"/>
      </w:pPr>
      <w:bookmarkStart w:id="9" w:name="_Toc27125"/>
      <w:r>
        <w:rPr>
          <w:color w:val="000000"/>
          <w:sz w:val="32"/>
        </w:rPr>
        <w:t>一、部门职责及机构设置情况</w:t>
      </w:r>
      <w:bookmarkEnd w:id="9"/>
    </w:p>
    <w:p>
      <w:pPr>
        <w:spacing w:before="0" w:after="0" w:line="240" w:lineRule="auto"/>
        <w:ind w:firstLine="640"/>
        <w:jc w:val="left"/>
        <w:outlineLvl w:val="9"/>
        <w:rPr>
          <w:b/>
          <w:color w:val="000000"/>
          <w:sz w:val="32"/>
        </w:rPr>
      </w:pPr>
      <w:r>
        <w:rPr>
          <w:b/>
          <w:color w:val="000000"/>
          <w:sz w:val="32"/>
        </w:rPr>
        <w:t>部门职责：</w:t>
      </w:r>
    </w:p>
    <w:p>
      <w:pPr>
        <w:spacing w:line="560" w:lineRule="exact"/>
        <w:ind w:firstLine="640"/>
        <w:rPr>
          <w:rFonts w:ascii="宋体" w:hAnsi="宋体" w:cs="宋体"/>
          <w:sz w:val="28"/>
          <w:szCs w:val="28"/>
        </w:rPr>
      </w:pPr>
      <w:r>
        <w:rPr>
          <w:rFonts w:hint="eastAsia" w:ascii="宋体" w:hAnsi="宋体" w:cs="宋体"/>
          <w:sz w:val="28"/>
          <w:szCs w:val="28"/>
        </w:rPr>
        <w:t>（一）全面贯彻国家、省、市、县在广播电视工作的路线方针政策和国家的法律法规，把握好舆论导向。深入开展干部作风建设，充分发挥舆论把宣传党的十</w:t>
      </w:r>
      <w:r>
        <w:rPr>
          <w:rFonts w:hint="eastAsia" w:ascii="宋体" w:hAnsi="宋体" w:cs="宋体"/>
          <w:sz w:val="28"/>
          <w:szCs w:val="28"/>
          <w:lang w:eastAsia="zh-CN"/>
        </w:rPr>
        <w:t>九</w:t>
      </w:r>
      <w:r>
        <w:rPr>
          <w:rFonts w:hint="eastAsia" w:ascii="宋体" w:hAnsi="宋体" w:cs="宋体"/>
          <w:sz w:val="28"/>
          <w:szCs w:val="28"/>
        </w:rPr>
        <w:t>大精神作为工作重点，全面贯彻国家、省、市、县在广播电视工作的路线方针政策和国家的法律法规，把握好舆论导向。深入开展干部作风建设，充分发挥舆论喉舌优势,体现中国先进文化前进方向,满足人民群众不断增长的精神业余文化需求，促进全民放思想道德素质和科学文化素质的不断提高，紧紧围绕县委、县政府工作适时开展宣传战役，打好主动仗，不断改进宣传形势，拓展宣传内容，提高宣传质量，增强制作能力，增加播出时段，为全县对外开放，经济建设，社会稳定，计划生育等工作营造良好氛围。</w:t>
      </w:r>
    </w:p>
    <w:p>
      <w:pPr>
        <w:spacing w:line="560" w:lineRule="exact"/>
        <w:ind w:firstLine="640"/>
        <w:rPr>
          <w:rFonts w:ascii="宋体" w:hAnsi="宋体" w:cs="宋体"/>
          <w:sz w:val="28"/>
          <w:szCs w:val="28"/>
        </w:rPr>
      </w:pPr>
      <w:r>
        <w:rPr>
          <w:rFonts w:hint="eastAsia" w:ascii="宋体" w:hAnsi="宋体" w:cs="宋体"/>
          <w:sz w:val="28"/>
          <w:szCs w:val="28"/>
        </w:rPr>
        <w:t>（二）组织和指导全县广播电视宣传及节目制作，组织审查在广播电视播出的电影、电视剧及其它节目的内容和质量，监督管理全县广播电视节目播出，通过网络向公众传播视听节目。管理全县电视市场及用于全县播出机构广播电视节目的进口并负责内容审核工作。</w:t>
      </w:r>
    </w:p>
    <w:p>
      <w:pPr>
        <w:spacing w:line="560" w:lineRule="exact"/>
        <w:ind w:firstLine="640"/>
        <w:rPr>
          <w:rFonts w:ascii="宋体" w:hAnsi="宋体" w:cs="宋体"/>
          <w:sz w:val="28"/>
          <w:szCs w:val="28"/>
        </w:rPr>
      </w:pPr>
      <w:r>
        <w:rPr>
          <w:rFonts w:hint="eastAsia" w:ascii="宋体" w:hAnsi="宋体" w:cs="宋体"/>
          <w:sz w:val="28"/>
          <w:szCs w:val="28"/>
        </w:rPr>
        <w:t>（三）贯彻实施国家省、市有关广播电视事业的政策法规，并依法监督检查执行制订全县广播电视事业发展目标和规划，促进广播电视事业的发展和繁荣。　　</w:t>
      </w:r>
    </w:p>
    <w:p>
      <w:pPr>
        <w:spacing w:line="560" w:lineRule="exact"/>
        <w:ind w:firstLine="640"/>
        <w:rPr>
          <w:rFonts w:ascii="宋体" w:hAnsi="宋体" w:cs="宋体"/>
          <w:sz w:val="28"/>
          <w:szCs w:val="28"/>
        </w:rPr>
      </w:pPr>
      <w:r>
        <w:rPr>
          <w:rFonts w:hint="eastAsia" w:ascii="宋体" w:hAnsi="宋体" w:cs="宋体"/>
          <w:sz w:val="28"/>
          <w:szCs w:val="28"/>
        </w:rPr>
        <w:t>（四）根据国家的统筹规划、宏观政策和法律、法规，对全县广播电视专用网进行具体规划，并管理贯彻落实广播电视专用设备网络的具体法律、法规，规章、政策和技术标准，保证广播电视节目的安全播出，参与制定全县信息网络的总体规划。组织制定相应的政策和措施，研究和推进全县广播电视系统内部管理体制改革，负责全县广播电视队伍建设，按照广播电视事业发展的需要，有计划、多层次地培养各种专业人才。</w:t>
      </w:r>
    </w:p>
    <w:p>
      <w:pPr>
        <w:spacing w:line="560" w:lineRule="exact"/>
        <w:ind w:firstLine="640"/>
        <w:rPr>
          <w:rFonts w:ascii="宋体" w:hAnsi="宋体" w:cs="宋体"/>
          <w:sz w:val="28"/>
          <w:szCs w:val="28"/>
        </w:rPr>
      </w:pPr>
      <w:r>
        <w:rPr>
          <w:rFonts w:hint="eastAsia" w:ascii="宋体" w:hAnsi="宋体" w:cs="宋体"/>
          <w:sz w:val="28"/>
          <w:szCs w:val="28"/>
        </w:rPr>
        <w:t>（五）继续坚持以人民群众利益为根本努力,为广大群众排忧,解难,为广大群众生产,生活服务。进一步改进拓展新的节目形势,探求鲜活的，生动的群众喜爱并易于接受的传播方式，强化新闻传播的亲和力，感染力和穿透力。</w:t>
      </w:r>
    </w:p>
    <w:p>
      <w:pPr>
        <w:spacing w:line="560" w:lineRule="exact"/>
        <w:ind w:firstLine="640"/>
        <w:rPr>
          <w:rFonts w:ascii="宋体" w:hAnsi="宋体" w:cs="宋体"/>
          <w:sz w:val="28"/>
          <w:szCs w:val="28"/>
        </w:rPr>
      </w:pPr>
      <w:r>
        <w:rPr>
          <w:rFonts w:hint="eastAsia" w:ascii="宋体" w:hAnsi="宋体" w:cs="宋体"/>
          <w:sz w:val="28"/>
          <w:szCs w:val="28"/>
        </w:rPr>
        <w:t>（六）建立安全播出运行管理系统，及时掌握重点播出资源，播出状态，播出效果等重要信息，重点播出系统必须建立系统级备份，确保运行安全。</w:t>
      </w:r>
    </w:p>
    <w:p>
      <w:pPr>
        <w:spacing w:before="0" w:after="0" w:line="240" w:lineRule="auto"/>
        <w:ind w:firstLine="640"/>
        <w:jc w:val="left"/>
        <w:outlineLvl w:val="9"/>
        <w:rPr>
          <w:b/>
          <w:color w:val="000000"/>
          <w:sz w:val="32"/>
        </w:rPr>
      </w:pPr>
    </w:p>
    <w:p>
      <w:pPr>
        <w:pStyle w:val="19"/>
      </w:pPr>
    </w:p>
    <w:p>
      <w:pPr>
        <w:spacing w:before="0" w:after="0" w:line="240" w:lineRule="auto"/>
        <w:ind w:firstLine="640"/>
        <w:jc w:val="left"/>
        <w:outlineLvl w:val="9"/>
      </w:pPr>
      <w:r>
        <w:rPr>
          <w:b/>
          <w:color w:val="000000"/>
          <w:sz w:val="32"/>
        </w:rPr>
        <w:t>机构设置：</w:t>
      </w:r>
    </w:p>
    <w:p>
      <w:pPr>
        <w:spacing w:before="0" w:after="0" w:line="240" w:lineRule="auto"/>
        <w:ind w:firstLine="0"/>
        <w:jc w:val="center"/>
        <w:outlineLvl w:val="9"/>
      </w:pPr>
      <w:r>
        <w:rPr>
          <w:color w:val="000000"/>
          <w:sz w:val="32"/>
        </w:rPr>
        <w:t>部门机构设置情况</w:t>
      </w:r>
    </w:p>
    <w:tbl>
      <w:tblPr>
        <w:tblStyle w:val="7"/>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成安县融媒体中心</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财政性资金定额或定项补助</w:t>
            </w:r>
          </w:p>
        </w:tc>
      </w:tr>
    </w:tbl>
    <w:p>
      <w:pPr>
        <w:spacing w:before="10" w:after="10" w:line="360" w:lineRule="auto"/>
        <w:ind w:firstLine="640"/>
        <w:jc w:val="left"/>
        <w:outlineLvl w:val="2"/>
        <w:rPr>
          <w:rFonts w:hint="eastAsia" w:ascii="宋体" w:hAnsi="宋体" w:cs="宋体"/>
          <w:bCs/>
          <w:sz w:val="28"/>
          <w:szCs w:val="28"/>
          <w:lang w:eastAsia="zh-CN"/>
        </w:rPr>
      </w:pPr>
      <w:bookmarkStart w:id="10" w:name="_Toc9192"/>
      <w:r>
        <w:rPr>
          <w:rFonts w:hint="eastAsia" w:ascii="宋体" w:hAnsi="宋体" w:cs="宋体"/>
          <w:bCs/>
          <w:sz w:val="28"/>
          <w:szCs w:val="28"/>
        </w:rPr>
        <w:t>成安县融媒体中心，预算编码是359001，内设3个内部机构</w:t>
      </w:r>
      <w:r>
        <w:rPr>
          <w:rFonts w:hint="eastAsia" w:ascii="宋体" w:hAnsi="宋体" w:cs="宋体"/>
          <w:bCs/>
          <w:sz w:val="28"/>
          <w:szCs w:val="28"/>
          <w:lang w:eastAsia="zh-CN"/>
        </w:rPr>
        <w:t>。</w:t>
      </w:r>
      <w:bookmarkEnd w:id="10"/>
    </w:p>
    <w:p>
      <w:pPr>
        <w:spacing w:line="360" w:lineRule="auto"/>
        <w:ind w:left="480" w:leftChars="200"/>
        <w:rPr>
          <w:rFonts w:ascii="宋体" w:hAnsi="宋体" w:cs="宋体"/>
          <w:bCs/>
          <w:sz w:val="28"/>
          <w:szCs w:val="28"/>
        </w:rPr>
      </w:pPr>
      <w:r>
        <w:rPr>
          <w:rFonts w:hint="eastAsia" w:ascii="宋体" w:hAnsi="宋体" w:cs="宋体"/>
          <w:bCs/>
          <w:sz w:val="28"/>
          <w:szCs w:val="28"/>
        </w:rPr>
        <w:t>1、办公室</w:t>
      </w:r>
    </w:p>
    <w:p>
      <w:pPr>
        <w:spacing w:line="360" w:lineRule="auto"/>
        <w:ind w:firstLine="560" w:firstLineChars="200"/>
        <w:rPr>
          <w:rFonts w:ascii="宋体" w:hAnsi="宋体" w:cs="宋体"/>
          <w:bCs/>
          <w:sz w:val="28"/>
          <w:szCs w:val="28"/>
        </w:rPr>
      </w:pPr>
      <w:r>
        <w:rPr>
          <w:rFonts w:hint="eastAsia" w:ascii="宋体" w:hAnsi="宋体" w:cs="宋体"/>
          <w:bCs/>
          <w:sz w:val="28"/>
          <w:szCs w:val="28"/>
        </w:rPr>
        <w:t>主要负责：负责机关日常事务工作；负责党建工作；负责工建工作；负责团建工作；做好人才引进、培养工作，为各类人才提供工资晋升、职称评定等服务。</w:t>
      </w:r>
    </w:p>
    <w:p>
      <w:pPr>
        <w:spacing w:line="360" w:lineRule="auto"/>
        <w:ind w:firstLine="560" w:firstLineChars="200"/>
        <w:rPr>
          <w:rFonts w:ascii="宋体" w:hAnsi="宋体" w:cs="宋体"/>
          <w:bCs/>
          <w:sz w:val="28"/>
          <w:szCs w:val="28"/>
        </w:rPr>
      </w:pPr>
      <w:r>
        <w:rPr>
          <w:rFonts w:hint="eastAsia" w:ascii="宋体" w:hAnsi="宋体" w:cs="宋体"/>
          <w:bCs/>
          <w:sz w:val="28"/>
          <w:szCs w:val="28"/>
        </w:rPr>
        <w:t xml:space="preserve"> 2、新闻部</w:t>
      </w:r>
    </w:p>
    <w:p>
      <w:pPr>
        <w:spacing w:line="450" w:lineRule="atLeast"/>
        <w:ind w:firstLine="560" w:firstLineChars="200"/>
        <w:rPr>
          <w:rFonts w:ascii="宋体" w:hAnsi="宋体" w:cs="宋体"/>
          <w:color w:val="000000"/>
          <w:sz w:val="28"/>
          <w:szCs w:val="28"/>
        </w:rPr>
      </w:pPr>
      <w:r>
        <w:rPr>
          <w:rFonts w:hint="eastAsia" w:ascii="宋体" w:hAnsi="宋体" w:cs="宋体"/>
          <w:bCs/>
          <w:sz w:val="28"/>
          <w:szCs w:val="28"/>
        </w:rPr>
        <w:t>主要负责：</w:t>
      </w:r>
      <w:r>
        <w:rPr>
          <w:rFonts w:hint="eastAsia" w:ascii="宋体" w:hAnsi="宋体" w:cs="宋体"/>
          <w:color w:val="000000"/>
          <w:sz w:val="28"/>
          <w:szCs w:val="28"/>
        </w:rPr>
        <w:t>围绕全县中心工作，精心策划重点报道；尤其是组织好系列报道和民生新闻，增加新闻的可视性。负责外宣和创优工作；负责新闻档案（包括图像、文稿等新闻资料）的收集、整理、建档工作。</w:t>
      </w:r>
    </w:p>
    <w:p>
      <w:pPr>
        <w:spacing w:line="360" w:lineRule="auto"/>
        <w:ind w:firstLine="700" w:firstLineChars="250"/>
        <w:rPr>
          <w:rFonts w:ascii="宋体" w:hAnsi="宋体" w:cs="宋体"/>
          <w:bCs/>
          <w:sz w:val="28"/>
          <w:szCs w:val="28"/>
        </w:rPr>
      </w:pPr>
      <w:r>
        <w:rPr>
          <w:rFonts w:hint="eastAsia" w:ascii="宋体" w:hAnsi="宋体" w:cs="宋体"/>
          <w:bCs/>
          <w:sz w:val="28"/>
          <w:szCs w:val="28"/>
        </w:rPr>
        <w:t>3、电影院</w:t>
      </w:r>
    </w:p>
    <w:p>
      <w:pPr>
        <w:spacing w:before="10" w:after="10" w:line="360" w:lineRule="auto"/>
        <w:ind w:firstLine="640"/>
        <w:jc w:val="left"/>
        <w:outlineLvl w:val="2"/>
        <w:rPr>
          <w:rFonts w:hint="eastAsia" w:ascii="宋体" w:hAnsi="宋体" w:cs="宋体"/>
          <w:bCs/>
          <w:sz w:val="28"/>
          <w:szCs w:val="28"/>
          <w:lang w:eastAsia="zh-CN"/>
        </w:rPr>
      </w:pPr>
      <w:bookmarkStart w:id="11" w:name="_Toc11643"/>
      <w:r>
        <w:rPr>
          <w:rFonts w:hint="eastAsia" w:ascii="宋体" w:hAnsi="宋体" w:cs="宋体"/>
          <w:bCs/>
          <w:sz w:val="28"/>
          <w:szCs w:val="28"/>
        </w:rPr>
        <w:t>主要负责：必须听从单位安排，严格执行单位制定的放映任务；完成家村公益性电影放映场次的任务。</w:t>
      </w:r>
      <w:bookmarkEnd w:id="11"/>
    </w:p>
    <w:p>
      <w:pPr>
        <w:numPr>
          <w:ilvl w:val="0"/>
          <w:numId w:val="1"/>
        </w:numPr>
        <w:spacing w:before="10" w:after="10" w:line="360" w:lineRule="auto"/>
        <w:ind w:firstLine="640"/>
        <w:jc w:val="left"/>
        <w:outlineLvl w:val="2"/>
        <w:rPr>
          <w:color w:val="000000"/>
          <w:sz w:val="32"/>
        </w:rPr>
      </w:pPr>
      <w:bookmarkStart w:id="12" w:name="_Toc22187"/>
      <w:r>
        <w:rPr>
          <w:color w:val="000000"/>
          <w:sz w:val="32"/>
        </w:rPr>
        <w:t>部门预算安排的总体情况</w:t>
      </w:r>
      <w:bookmarkEnd w:id="12"/>
    </w:p>
    <w:p>
      <w:pPr>
        <w:numPr>
          <w:ilvl w:val="0"/>
          <w:numId w:val="0"/>
        </w:numPr>
        <w:spacing w:before="10" w:after="10" w:line="360" w:lineRule="auto"/>
        <w:jc w:val="left"/>
        <w:outlineLvl w:val="2"/>
        <w:rPr>
          <w:color w:val="000000"/>
          <w:sz w:val="28"/>
        </w:rPr>
      </w:pPr>
      <w:r>
        <w:rPr>
          <w:rFonts w:hint="eastAsia"/>
          <w:color w:val="000000"/>
          <w:sz w:val="28"/>
          <w:lang w:val="en-US" w:eastAsia="zh-CN"/>
        </w:rPr>
        <w:t xml:space="preserve">         </w:t>
      </w:r>
      <w:bookmarkStart w:id="13" w:name="_Toc1235"/>
      <w:r>
        <w:rPr>
          <w:color w:val="000000"/>
          <w:sz w:val="28"/>
        </w:rPr>
        <w:t>按照预算管理有关规定，目前我省部门预算的编制实行综合预算管理，即全部收入和支出都反映在预算中。成安县融媒体中心机关及所属事业单位的收支包含在部门预算中。</w:t>
      </w:r>
      <w:bookmarkEnd w:id="13"/>
    </w:p>
    <w:p>
      <w:pPr>
        <w:spacing w:line="560" w:lineRule="exact"/>
        <w:ind w:firstLine="562" w:firstLineChars="200"/>
        <w:rPr>
          <w:rFonts w:ascii="宋体" w:hAnsi="宋体" w:cs="宋体"/>
          <w:b/>
          <w:bCs/>
          <w:sz w:val="28"/>
          <w:szCs w:val="28"/>
        </w:rPr>
      </w:pPr>
      <w:r>
        <w:rPr>
          <w:rFonts w:hint="eastAsia" w:ascii="宋体" w:hAnsi="宋体" w:cs="宋体"/>
          <w:b/>
          <w:bCs/>
          <w:sz w:val="28"/>
          <w:szCs w:val="28"/>
        </w:rPr>
        <w:t>1、收入说明</w:t>
      </w:r>
    </w:p>
    <w:p>
      <w:pPr>
        <w:spacing w:line="560" w:lineRule="exact"/>
        <w:ind w:firstLine="640"/>
        <w:rPr>
          <w:rFonts w:ascii="宋体" w:hAnsi="宋体" w:cs="宋体"/>
          <w:sz w:val="28"/>
          <w:szCs w:val="28"/>
        </w:rPr>
      </w:pPr>
      <w:r>
        <w:rPr>
          <w:rFonts w:hint="eastAsia" w:ascii="宋体" w:hAnsi="宋体" w:cs="宋体"/>
          <w:sz w:val="28"/>
          <w:szCs w:val="28"/>
        </w:rPr>
        <w:t>202</w:t>
      </w:r>
      <w:r>
        <w:rPr>
          <w:rFonts w:hint="eastAsia" w:ascii="宋体" w:hAnsi="宋体" w:cs="宋体"/>
          <w:sz w:val="28"/>
          <w:szCs w:val="28"/>
          <w:lang w:val="en-US" w:eastAsia="zh-CN"/>
        </w:rPr>
        <w:t>4</w:t>
      </w:r>
      <w:r>
        <w:rPr>
          <w:rFonts w:hint="eastAsia" w:ascii="宋体" w:hAnsi="宋体" w:cs="宋体"/>
          <w:sz w:val="28"/>
          <w:szCs w:val="28"/>
        </w:rPr>
        <w:t>年预算收入</w:t>
      </w:r>
      <w:r>
        <w:rPr>
          <w:rFonts w:hint="eastAsia" w:ascii="宋体" w:hAnsi="宋体" w:cs="宋体"/>
          <w:sz w:val="28"/>
          <w:szCs w:val="28"/>
          <w:lang w:val="en-US" w:eastAsia="zh-CN"/>
        </w:rPr>
        <w:t>591.86</w:t>
      </w:r>
      <w:r>
        <w:rPr>
          <w:rFonts w:hint="eastAsia" w:ascii="宋体" w:hAnsi="宋体" w:cs="宋体"/>
          <w:sz w:val="28"/>
          <w:szCs w:val="28"/>
        </w:rPr>
        <w:t>万元，其中：一般公共预算收入</w:t>
      </w:r>
      <w:r>
        <w:rPr>
          <w:rFonts w:hint="eastAsia" w:ascii="宋体" w:hAnsi="宋体" w:cs="宋体"/>
          <w:sz w:val="28"/>
          <w:szCs w:val="28"/>
          <w:lang w:val="en-US" w:eastAsia="zh-CN"/>
        </w:rPr>
        <w:t>591.86</w:t>
      </w:r>
      <w:r>
        <w:rPr>
          <w:rFonts w:hint="eastAsia" w:ascii="宋体" w:hAnsi="宋体" w:cs="宋体"/>
          <w:sz w:val="28"/>
          <w:szCs w:val="28"/>
        </w:rPr>
        <w:t>万元，政府性基金收入0万元，国有资本经营收入0万元，事业收入0万元，其他收入0万元。</w:t>
      </w:r>
    </w:p>
    <w:p>
      <w:pPr>
        <w:spacing w:line="560" w:lineRule="exact"/>
        <w:ind w:firstLine="640"/>
        <w:rPr>
          <w:rFonts w:ascii="宋体" w:hAnsi="宋体" w:cs="宋体"/>
          <w:b/>
          <w:bCs/>
          <w:sz w:val="28"/>
          <w:szCs w:val="28"/>
        </w:rPr>
      </w:pPr>
      <w:r>
        <w:rPr>
          <w:rFonts w:hint="eastAsia" w:ascii="宋体" w:hAnsi="宋体" w:cs="宋体"/>
          <w:b/>
          <w:bCs/>
          <w:sz w:val="28"/>
          <w:szCs w:val="28"/>
        </w:rPr>
        <w:t>2、支出说明</w:t>
      </w:r>
    </w:p>
    <w:p>
      <w:pPr>
        <w:ind w:firstLine="420" w:firstLineChars="15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202</w:t>
      </w:r>
      <w:r>
        <w:rPr>
          <w:rFonts w:hint="eastAsia" w:ascii="宋体" w:hAnsi="宋体" w:cs="宋体"/>
          <w:sz w:val="28"/>
          <w:szCs w:val="28"/>
          <w:lang w:val="en-US" w:eastAsia="zh-CN"/>
        </w:rPr>
        <w:t>4</w:t>
      </w:r>
      <w:r>
        <w:rPr>
          <w:rFonts w:hint="eastAsia" w:ascii="宋体" w:hAnsi="宋体" w:cs="宋体"/>
          <w:sz w:val="28"/>
          <w:szCs w:val="28"/>
        </w:rPr>
        <w:t>年支出预算</w:t>
      </w:r>
      <w:r>
        <w:rPr>
          <w:rFonts w:hint="eastAsia" w:ascii="宋体" w:hAnsi="宋体" w:cs="宋体"/>
          <w:sz w:val="28"/>
          <w:szCs w:val="28"/>
          <w:lang w:val="en-US" w:eastAsia="zh-CN"/>
        </w:rPr>
        <w:t>591.86</w:t>
      </w:r>
      <w:r>
        <w:rPr>
          <w:rFonts w:hint="eastAsia" w:ascii="宋体" w:hAnsi="宋体" w:cs="宋体"/>
          <w:sz w:val="28"/>
          <w:szCs w:val="28"/>
        </w:rPr>
        <w:t>万元，其中基本支出5</w:t>
      </w:r>
      <w:r>
        <w:rPr>
          <w:rFonts w:hint="eastAsia" w:ascii="宋体" w:hAnsi="宋体" w:cs="宋体"/>
          <w:sz w:val="28"/>
          <w:szCs w:val="28"/>
          <w:lang w:val="en-US" w:eastAsia="zh-CN"/>
        </w:rPr>
        <w:t>49.84</w:t>
      </w:r>
      <w:r>
        <w:rPr>
          <w:rFonts w:hint="eastAsia" w:ascii="宋体" w:hAnsi="宋体" w:cs="宋体"/>
          <w:sz w:val="28"/>
          <w:szCs w:val="28"/>
        </w:rPr>
        <w:t>万元，主要是人员经费</w:t>
      </w:r>
      <w:r>
        <w:rPr>
          <w:rFonts w:hint="eastAsia" w:ascii="宋体" w:hAnsi="宋体" w:cs="宋体"/>
          <w:sz w:val="28"/>
          <w:szCs w:val="28"/>
          <w:lang w:val="en-US" w:eastAsia="zh-CN"/>
        </w:rPr>
        <w:t>518.46</w:t>
      </w:r>
      <w:r>
        <w:rPr>
          <w:rFonts w:hint="eastAsia" w:ascii="宋体" w:hAnsi="宋体" w:cs="宋体"/>
          <w:sz w:val="28"/>
          <w:szCs w:val="28"/>
        </w:rPr>
        <w:t>万元，日常公用经费</w:t>
      </w:r>
      <w:r>
        <w:rPr>
          <w:rFonts w:hint="eastAsia" w:ascii="宋体" w:hAnsi="宋体" w:cs="宋体"/>
          <w:sz w:val="28"/>
          <w:szCs w:val="28"/>
          <w:lang w:val="en-US" w:eastAsia="zh-CN"/>
        </w:rPr>
        <w:t>31.38</w:t>
      </w:r>
      <w:r>
        <w:rPr>
          <w:rFonts w:hint="eastAsia" w:ascii="宋体" w:hAnsi="宋体" w:cs="宋体"/>
          <w:sz w:val="28"/>
          <w:szCs w:val="28"/>
        </w:rPr>
        <w:t>万元；项目支出</w:t>
      </w:r>
      <w:r>
        <w:rPr>
          <w:rFonts w:hint="eastAsia" w:ascii="宋体" w:hAnsi="宋体" w:cs="宋体"/>
          <w:sz w:val="28"/>
          <w:szCs w:val="28"/>
          <w:lang w:val="en-US" w:eastAsia="zh-CN"/>
        </w:rPr>
        <w:t>42.02</w:t>
      </w:r>
      <w:r>
        <w:rPr>
          <w:rFonts w:hint="eastAsia" w:ascii="宋体" w:hAnsi="宋体" w:cs="宋体"/>
          <w:sz w:val="28"/>
          <w:szCs w:val="28"/>
        </w:rPr>
        <w:t>万元。</w:t>
      </w:r>
    </w:p>
    <w:p>
      <w:pPr>
        <w:spacing w:line="560" w:lineRule="exact"/>
        <w:ind w:firstLine="640"/>
        <w:rPr>
          <w:rFonts w:ascii="宋体" w:hAnsi="宋体" w:cs="宋体"/>
          <w:b/>
          <w:bCs/>
          <w:sz w:val="28"/>
          <w:szCs w:val="28"/>
        </w:rPr>
      </w:pPr>
      <w:r>
        <w:rPr>
          <w:rFonts w:hint="eastAsia" w:ascii="宋体" w:hAnsi="宋体" w:cs="宋体"/>
          <w:b/>
          <w:bCs/>
          <w:sz w:val="28"/>
          <w:szCs w:val="28"/>
        </w:rPr>
        <w:t>3、比上年增减变化情况</w:t>
      </w:r>
    </w:p>
    <w:p>
      <w:pPr>
        <w:spacing w:line="360" w:lineRule="auto"/>
        <w:ind w:firstLine="560" w:firstLineChars="200"/>
        <w:rPr>
          <w:rFonts w:ascii="宋体" w:hAnsi="宋体" w:cs="宋体"/>
          <w:color w:val="FF0000"/>
          <w:sz w:val="28"/>
          <w:szCs w:val="28"/>
        </w:rPr>
      </w:pPr>
      <w:r>
        <w:rPr>
          <w:rFonts w:hint="eastAsia" w:ascii="宋体" w:hAnsi="宋体" w:cs="宋体"/>
          <w:sz w:val="28"/>
          <w:szCs w:val="28"/>
        </w:rPr>
        <w:t>202</w:t>
      </w:r>
      <w:r>
        <w:rPr>
          <w:rFonts w:hint="eastAsia" w:ascii="宋体" w:hAnsi="宋体" w:cs="宋体"/>
          <w:sz w:val="28"/>
          <w:szCs w:val="28"/>
          <w:lang w:val="en-US" w:eastAsia="zh-CN"/>
        </w:rPr>
        <w:t>4</w:t>
      </w:r>
      <w:r>
        <w:rPr>
          <w:rFonts w:hint="eastAsia" w:ascii="宋体" w:hAnsi="宋体" w:cs="宋体"/>
          <w:sz w:val="28"/>
          <w:szCs w:val="28"/>
        </w:rPr>
        <w:t>年预算收支安排</w:t>
      </w:r>
      <w:r>
        <w:rPr>
          <w:rFonts w:hint="eastAsia" w:ascii="宋体" w:hAnsi="宋体" w:cs="宋体"/>
          <w:sz w:val="28"/>
          <w:szCs w:val="28"/>
          <w:lang w:val="en-US" w:eastAsia="zh-CN"/>
        </w:rPr>
        <w:t>591.86</w:t>
      </w:r>
      <w:r>
        <w:rPr>
          <w:rFonts w:hint="eastAsia" w:ascii="宋体" w:hAnsi="宋体" w:cs="宋体"/>
          <w:sz w:val="28"/>
          <w:szCs w:val="28"/>
        </w:rPr>
        <w:t>万元，较202</w:t>
      </w:r>
      <w:r>
        <w:rPr>
          <w:rFonts w:hint="eastAsia" w:ascii="宋体" w:hAnsi="宋体" w:cs="宋体"/>
          <w:sz w:val="28"/>
          <w:szCs w:val="28"/>
          <w:lang w:val="en-US" w:eastAsia="zh-CN"/>
        </w:rPr>
        <w:t>3</w:t>
      </w:r>
      <w:r>
        <w:rPr>
          <w:rFonts w:hint="eastAsia" w:ascii="宋体" w:hAnsi="宋体" w:cs="宋体"/>
          <w:sz w:val="28"/>
          <w:szCs w:val="28"/>
        </w:rPr>
        <w:t>年预算</w:t>
      </w:r>
      <w:r>
        <w:rPr>
          <w:rFonts w:hint="eastAsia" w:ascii="宋体" w:hAnsi="宋体" w:cs="宋体"/>
          <w:sz w:val="28"/>
          <w:szCs w:val="28"/>
          <w:lang w:eastAsia="zh-CN"/>
        </w:rPr>
        <w:t>减少</w:t>
      </w:r>
      <w:r>
        <w:rPr>
          <w:rFonts w:hint="eastAsia" w:ascii="宋体" w:hAnsi="宋体" w:cs="宋体"/>
          <w:sz w:val="28"/>
          <w:szCs w:val="28"/>
          <w:lang w:val="en-US" w:eastAsia="zh-CN"/>
        </w:rPr>
        <w:t>101.21</w:t>
      </w:r>
      <w:r>
        <w:rPr>
          <w:rFonts w:hint="eastAsia" w:ascii="宋体" w:hAnsi="宋体" w:cs="宋体"/>
          <w:sz w:val="28"/>
          <w:szCs w:val="28"/>
        </w:rPr>
        <w:t>万元，其中</w:t>
      </w:r>
      <w:r>
        <w:rPr>
          <w:rFonts w:hint="eastAsia" w:ascii="宋体" w:hAnsi="宋体" w:cs="宋体"/>
          <w:sz w:val="28"/>
          <w:szCs w:val="28"/>
          <w:lang w:eastAsia="zh-CN"/>
        </w:rPr>
        <w:t>项目支出减少</w:t>
      </w:r>
      <w:r>
        <w:rPr>
          <w:rFonts w:hint="eastAsia" w:ascii="宋体" w:hAnsi="宋体" w:cs="宋体"/>
          <w:sz w:val="28"/>
          <w:szCs w:val="28"/>
          <w:lang w:val="en-US" w:eastAsia="zh-CN"/>
        </w:rPr>
        <w:t>101.21</w:t>
      </w:r>
      <w:r>
        <w:rPr>
          <w:rFonts w:hint="eastAsia" w:ascii="宋体" w:hAnsi="宋体" w:cs="宋体"/>
          <w:sz w:val="28"/>
          <w:szCs w:val="28"/>
        </w:rPr>
        <w:t>万元。</w:t>
      </w:r>
    </w:p>
    <w:p>
      <w:pPr>
        <w:numPr>
          <w:ilvl w:val="0"/>
          <w:numId w:val="0"/>
        </w:numPr>
        <w:spacing w:before="10" w:after="10" w:line="360" w:lineRule="auto"/>
        <w:jc w:val="left"/>
        <w:outlineLvl w:val="2"/>
        <w:rPr>
          <w:color w:val="000000"/>
          <w:sz w:val="28"/>
        </w:rPr>
      </w:pPr>
    </w:p>
    <w:p>
      <w:pPr>
        <w:spacing w:before="10" w:after="10" w:line="360" w:lineRule="auto"/>
        <w:ind w:firstLine="640"/>
        <w:jc w:val="left"/>
        <w:outlineLvl w:val="2"/>
      </w:pPr>
      <w:bookmarkStart w:id="14" w:name="_Toc19171"/>
      <w:r>
        <w:rPr>
          <w:color w:val="000000"/>
          <w:sz w:val="32"/>
        </w:rPr>
        <w:t>三、机关运行经费安排情况</w:t>
      </w:r>
      <w:bookmarkEnd w:id="14"/>
    </w:p>
    <w:p>
      <w:pPr>
        <w:pStyle w:val="21"/>
      </w:pPr>
      <w:r>
        <w:rPr>
          <w:rFonts w:hint="eastAsia" w:ascii="宋体" w:hAnsi="宋体" w:cs="宋体"/>
          <w:sz w:val="28"/>
          <w:szCs w:val="28"/>
        </w:rPr>
        <w:t>机关运行经费共计安排</w:t>
      </w:r>
      <w:r>
        <w:rPr>
          <w:rFonts w:hint="eastAsia" w:ascii="宋体" w:hAnsi="宋体" w:cs="宋体"/>
          <w:sz w:val="28"/>
          <w:szCs w:val="28"/>
          <w:lang w:val="en-US" w:eastAsia="zh-CN"/>
        </w:rPr>
        <w:t>3</w:t>
      </w:r>
      <w:r>
        <w:rPr>
          <w:rFonts w:hint="eastAsia" w:ascii="宋体" w:hAnsi="宋体" w:cs="宋体"/>
          <w:sz w:val="28"/>
          <w:szCs w:val="28"/>
        </w:rPr>
        <w:t>1.38万元，主要用于办公区的日常维修、办公用房水电费、邮电费等日常运行支出。</w:t>
      </w:r>
    </w:p>
    <w:p>
      <w:pPr>
        <w:spacing w:before="10" w:after="10" w:line="360" w:lineRule="auto"/>
        <w:ind w:firstLine="640"/>
        <w:jc w:val="left"/>
        <w:outlineLvl w:val="2"/>
      </w:pPr>
      <w:bookmarkStart w:id="15" w:name="_Toc24071"/>
      <w:r>
        <w:rPr>
          <w:color w:val="000000"/>
          <w:sz w:val="32"/>
        </w:rPr>
        <w:t>四、财政拨款“三公”经费预算情况及增减变化原因</w:t>
      </w:r>
      <w:bookmarkEnd w:id="15"/>
    </w:p>
    <w:p>
      <w:pPr>
        <w:autoSpaceDE w:val="0"/>
        <w:autoSpaceDN w:val="0"/>
        <w:adjustRightInd w:val="0"/>
        <w:spacing w:line="560" w:lineRule="exact"/>
        <w:ind w:left="198" w:firstLine="560" w:firstLineChars="200"/>
        <w:rPr>
          <w:rFonts w:ascii="宋体" w:hAnsi="宋体" w:cs="宋体"/>
          <w:sz w:val="28"/>
          <w:szCs w:val="28"/>
        </w:rPr>
      </w:pPr>
      <w:r>
        <w:rPr>
          <w:rFonts w:hint="eastAsia" w:ascii="宋体" w:hAnsi="宋体" w:cs="宋体"/>
          <w:sz w:val="28"/>
          <w:szCs w:val="28"/>
        </w:rPr>
        <w:t>202</w:t>
      </w:r>
      <w:r>
        <w:rPr>
          <w:rFonts w:hint="eastAsia" w:ascii="宋体" w:hAnsi="宋体" w:cs="宋体"/>
          <w:sz w:val="28"/>
          <w:szCs w:val="28"/>
          <w:lang w:val="en-US" w:eastAsia="zh-CN"/>
        </w:rPr>
        <w:t>4</w:t>
      </w:r>
      <w:r>
        <w:rPr>
          <w:rFonts w:hint="eastAsia" w:ascii="宋体" w:hAnsi="宋体" w:cs="宋体"/>
          <w:sz w:val="28"/>
          <w:szCs w:val="28"/>
        </w:rPr>
        <w:t>年，我单位“三公”经费预算安排</w:t>
      </w:r>
      <w:r>
        <w:rPr>
          <w:rFonts w:hint="eastAsia" w:ascii="宋体" w:hAnsi="宋体" w:cs="宋体"/>
          <w:sz w:val="28"/>
          <w:szCs w:val="28"/>
          <w:lang w:val="en-US" w:eastAsia="zh-CN"/>
        </w:rPr>
        <w:t>0</w:t>
      </w:r>
      <w:r>
        <w:rPr>
          <w:rFonts w:hint="eastAsia" w:ascii="宋体" w:hAnsi="宋体" w:cs="宋体"/>
          <w:sz w:val="28"/>
          <w:szCs w:val="28"/>
        </w:rPr>
        <w:t>万元，其中因公出国（境）费0万元；公务用车购置及运维费</w:t>
      </w:r>
      <w:r>
        <w:rPr>
          <w:rFonts w:hint="eastAsia" w:ascii="宋体" w:hAnsi="宋体" w:cs="宋体"/>
          <w:sz w:val="28"/>
          <w:szCs w:val="28"/>
          <w:lang w:val="en-US" w:eastAsia="zh-CN"/>
        </w:rPr>
        <w:t>0</w:t>
      </w:r>
      <w:r>
        <w:rPr>
          <w:rFonts w:hint="eastAsia" w:ascii="宋体" w:hAnsi="宋体" w:cs="宋体"/>
          <w:sz w:val="28"/>
          <w:szCs w:val="28"/>
        </w:rPr>
        <w:t>万元（其中：公务用车购置费为0万元，公务用车运行费0万元)；因公出国（境）费较202</w:t>
      </w:r>
      <w:r>
        <w:rPr>
          <w:rFonts w:hint="eastAsia" w:ascii="宋体" w:hAnsi="宋体" w:cs="宋体"/>
          <w:sz w:val="28"/>
          <w:szCs w:val="28"/>
          <w:lang w:val="en-US" w:eastAsia="zh-CN"/>
        </w:rPr>
        <w:t>3</w:t>
      </w:r>
      <w:r>
        <w:rPr>
          <w:rFonts w:hint="eastAsia" w:ascii="宋体" w:hAnsi="宋体" w:cs="宋体"/>
          <w:sz w:val="28"/>
          <w:szCs w:val="28"/>
        </w:rPr>
        <w:t>年持平；公务接待费较202</w:t>
      </w:r>
      <w:r>
        <w:rPr>
          <w:rFonts w:hint="eastAsia" w:ascii="宋体" w:hAnsi="宋体" w:cs="宋体"/>
          <w:sz w:val="28"/>
          <w:szCs w:val="28"/>
          <w:lang w:val="en-US" w:eastAsia="zh-CN"/>
        </w:rPr>
        <w:t>3</w:t>
      </w:r>
      <w:r>
        <w:rPr>
          <w:rFonts w:hint="eastAsia" w:ascii="宋体" w:hAnsi="宋体" w:cs="宋体"/>
          <w:sz w:val="28"/>
          <w:szCs w:val="28"/>
        </w:rPr>
        <w:t>年持平。</w:t>
      </w:r>
    </w:p>
    <w:p>
      <w:pPr>
        <w:pStyle w:val="22"/>
      </w:pPr>
    </w:p>
    <w:p>
      <w:pPr>
        <w:spacing w:before="10" w:after="10" w:line="360" w:lineRule="auto"/>
        <w:ind w:firstLine="640"/>
        <w:jc w:val="left"/>
        <w:outlineLvl w:val="2"/>
      </w:pPr>
      <w:bookmarkStart w:id="16" w:name="_Toc12236"/>
      <w:r>
        <w:rPr>
          <w:color w:val="000000"/>
          <w:sz w:val="32"/>
        </w:rPr>
        <w:t>五、部门整体绩效目标</w:t>
      </w:r>
      <w:bookmarkEnd w:id="16"/>
    </w:p>
    <w:p>
      <w:pPr>
        <w:spacing w:before="0" w:after="0" w:line="500" w:lineRule="exact"/>
        <w:ind w:firstLine="560"/>
        <w:jc w:val="left"/>
        <w:outlineLvl w:val="9"/>
      </w:pPr>
      <w:r>
        <w:rPr>
          <w:color w:val="000000"/>
          <w:sz w:val="28"/>
        </w:rPr>
        <w:t>（一）总体绩效目标</w:t>
      </w:r>
    </w:p>
    <w:p>
      <w:pPr>
        <w:spacing w:line="560" w:lineRule="exact"/>
        <w:ind w:firstLine="560" w:firstLineChars="200"/>
        <w:rPr>
          <w:rFonts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宣传党的路线、方针、政策和省委、省政府的工作部署，坚持正确舆论导向，发挥主流媒体作用；办好各类广播电视节目；开展各类宣传工作；配合中央台完成我省的采访报道工作并提供各类节目；承担省委、省政府影视宣传片的创作生产、承担影视剧、专题片等的创作生产。负责中央和省广播电视节目的传输发射；负责上星节目的传输；承担有关频率传输发射试验任务；负责全县广播电视微波电路正常运行和维护；负责相关设备的正常运行和维护。在全县建立广播电视安全播出保障体系，对直属台站和省市共管中波发射台进行监管，负责全县广播电视、互联网安全优质播出。</w:t>
      </w:r>
    </w:p>
    <w:p>
      <w:pPr>
        <w:spacing w:line="560" w:lineRule="exact"/>
        <w:ind w:firstLine="560" w:firstLineChars="200"/>
      </w:pPr>
      <w:r>
        <w:rPr>
          <w:rFonts w:hint="eastAsia" w:ascii="宋体" w:hAnsi="宋体" w:cs="宋体"/>
          <w:sz w:val="28"/>
          <w:szCs w:val="28"/>
          <w:lang w:val="en-US" w:eastAsia="zh-CN"/>
        </w:rPr>
        <w:t xml:space="preserve"> </w:t>
      </w:r>
      <w:r>
        <w:rPr>
          <w:rFonts w:hint="eastAsia" w:ascii="宋体" w:hAnsi="宋体" w:cs="宋体"/>
          <w:sz w:val="28"/>
          <w:szCs w:val="28"/>
        </w:rPr>
        <w:t>按照积极推进、科学发展、规范管理、确保导向、一步到位的要求，整合现有媒体平台、装备、人员和信息资源，着力打造一个包括电视台、报刊、新闻门户网站、微博、微信公众号、手机客户端、政务服务平台等形态多样、手段先进、具有竞争力的综合性主流媒体机构，力争将其打造成集主流舆论阵地、综合信息服务、基层舆情聚合的县级融媒体平台。</w:t>
      </w:r>
    </w:p>
    <w:p>
      <w:pPr>
        <w:spacing w:before="0" w:after="0" w:line="500" w:lineRule="exact"/>
        <w:jc w:val="left"/>
        <w:outlineLvl w:val="9"/>
      </w:pPr>
      <w:r>
        <w:rPr>
          <w:rFonts w:hint="eastAsia"/>
          <w:color w:val="000000"/>
          <w:sz w:val="28"/>
          <w:lang w:val="en-US" w:eastAsia="zh-CN"/>
        </w:rPr>
        <w:t xml:space="preserve">       </w:t>
      </w:r>
      <w:r>
        <w:rPr>
          <w:color w:val="000000"/>
          <w:sz w:val="28"/>
        </w:rPr>
        <w:t>（二）分项绩效目标</w:t>
      </w:r>
    </w:p>
    <w:p>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val="en-US" w:eastAsia="zh-CN"/>
        </w:rPr>
        <w:t>1</w:t>
      </w:r>
      <w:r>
        <w:rPr>
          <w:rFonts w:hint="eastAsia" w:ascii="宋体" w:hAnsi="宋体" w:eastAsia="宋体" w:cs="宋体"/>
          <w:bCs/>
          <w:sz w:val="28"/>
          <w:szCs w:val="28"/>
        </w:rPr>
        <w:t>、融媒体中心事业建设绩效目标</w:t>
      </w:r>
    </w:p>
    <w:p>
      <w:pPr>
        <w:spacing w:line="360" w:lineRule="auto"/>
        <w:ind w:firstLine="560" w:firstLineChars="200"/>
        <w:rPr>
          <w:rFonts w:ascii="宋体" w:hAnsi="宋体" w:cs="宋体"/>
          <w:sz w:val="28"/>
          <w:szCs w:val="28"/>
        </w:rPr>
      </w:pPr>
      <w:r>
        <w:rPr>
          <w:rFonts w:hint="eastAsia" w:ascii="宋体" w:hAnsi="宋体" w:cs="宋体"/>
          <w:sz w:val="28"/>
          <w:szCs w:val="28"/>
        </w:rPr>
        <w:t>绩效目标：做好广播电视节目制作、宣传、采访报道工作。提升自办节目生产质量、增加广播电视市场份额，推进广播电视精品创优。</w:t>
      </w:r>
    </w:p>
    <w:p>
      <w:pPr>
        <w:spacing w:line="360" w:lineRule="auto"/>
        <w:ind w:firstLine="560" w:firstLineChars="200"/>
        <w:rPr>
          <w:rFonts w:ascii="宋体" w:hAnsi="宋体" w:cs="宋体"/>
          <w:sz w:val="28"/>
          <w:szCs w:val="28"/>
        </w:rPr>
      </w:pPr>
      <w:r>
        <w:rPr>
          <w:rFonts w:hint="eastAsia" w:ascii="宋体" w:hAnsi="宋体" w:cs="宋体"/>
          <w:sz w:val="28"/>
          <w:szCs w:val="28"/>
        </w:rPr>
        <w:t>绩效指标：1.时政新闻专栏开播数量达到18个以上，时政节目总时长达到1800分钟以上。2.深入开展广播电视宣传报道，不断提升节目生产质量，广播电视自办节目总时长突破12000小时，自办节目总数突破25个，电视收视率同比增长8%，广播市场份额突破60%。</w:t>
      </w:r>
    </w:p>
    <w:p>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val="en-US" w:eastAsia="zh-CN"/>
        </w:rPr>
        <w:t>2</w:t>
      </w:r>
      <w:r>
        <w:rPr>
          <w:rFonts w:hint="eastAsia" w:ascii="宋体" w:hAnsi="宋体" w:eastAsia="宋体" w:cs="宋体"/>
          <w:bCs/>
          <w:sz w:val="28"/>
          <w:szCs w:val="28"/>
        </w:rPr>
        <w:t>、融媒体中心产业建设绩效目标</w:t>
      </w:r>
    </w:p>
    <w:p>
      <w:pPr>
        <w:spacing w:line="360" w:lineRule="auto"/>
        <w:ind w:firstLine="560" w:firstLineChars="200"/>
        <w:rPr>
          <w:rFonts w:ascii="宋体" w:hAnsi="宋体" w:cs="宋体"/>
          <w:sz w:val="28"/>
          <w:szCs w:val="28"/>
        </w:rPr>
      </w:pPr>
      <w:r>
        <w:rPr>
          <w:rFonts w:hint="eastAsia" w:ascii="宋体" w:hAnsi="宋体" w:cs="宋体"/>
          <w:sz w:val="28"/>
          <w:szCs w:val="28"/>
        </w:rPr>
        <w:t>绩效目标：深度推进媒体融合发展。</w:t>
      </w:r>
    </w:p>
    <w:p>
      <w:pPr>
        <w:spacing w:line="360" w:lineRule="auto"/>
        <w:ind w:firstLine="560" w:firstLineChars="200"/>
        <w:rPr>
          <w:rFonts w:ascii="宋体" w:hAnsi="宋体" w:cs="宋体"/>
          <w:sz w:val="28"/>
          <w:szCs w:val="28"/>
        </w:rPr>
      </w:pPr>
      <w:r>
        <w:rPr>
          <w:rFonts w:hint="eastAsia" w:ascii="宋体" w:hAnsi="宋体" w:cs="宋体"/>
          <w:sz w:val="28"/>
          <w:szCs w:val="28"/>
        </w:rPr>
        <w:t>绩效指标：统筹规划并组织实施广播影视产业发展,推进广电网与电信网、互联网三网融合。指导、协调产业项目开展，推动融媒体平台功能完善工作。由传统广播电视的“视听传播”向“综合服务”理念转变，进一步提高广播电视网络的综合承载能力和智能化水平，在智慧城市建设、应急广播体系建设等方面发挥积极作用，不断满足政用、民用、商用的多样性、多层次的视听需求和信息需求，提升成安广电对区域经济社会发展的融入度和贡献度。</w:t>
      </w:r>
    </w:p>
    <w:p>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val="en-US" w:eastAsia="zh-CN"/>
        </w:rPr>
        <w:t>3</w:t>
      </w:r>
      <w:r>
        <w:rPr>
          <w:rFonts w:hint="eastAsia" w:ascii="宋体" w:hAnsi="宋体" w:eastAsia="宋体" w:cs="宋体"/>
          <w:bCs/>
          <w:sz w:val="28"/>
          <w:szCs w:val="28"/>
        </w:rPr>
        <w:t>、建立广播电视安全播出保障体系绩效目标</w:t>
      </w:r>
    </w:p>
    <w:p>
      <w:pPr>
        <w:spacing w:line="360" w:lineRule="auto"/>
        <w:ind w:firstLine="560" w:firstLineChars="200"/>
        <w:rPr>
          <w:rFonts w:ascii="宋体" w:hAnsi="宋体" w:cs="宋体"/>
          <w:sz w:val="28"/>
          <w:szCs w:val="28"/>
        </w:rPr>
      </w:pPr>
      <w:r>
        <w:rPr>
          <w:rFonts w:hint="eastAsia" w:ascii="宋体" w:hAnsi="宋体" w:cs="宋体"/>
          <w:sz w:val="28"/>
          <w:szCs w:val="28"/>
        </w:rPr>
        <w:t>绩效目标：加强台站、安全播出管理，努力实现全年零播出事故。</w:t>
      </w:r>
    </w:p>
    <w:p>
      <w:pPr>
        <w:spacing w:line="360" w:lineRule="auto"/>
        <w:ind w:firstLine="560" w:firstLineChars="200"/>
        <w:rPr>
          <w:rFonts w:ascii="仿宋" w:hAnsi="仿宋" w:eastAsia="仿宋"/>
          <w:sz w:val="30"/>
          <w:szCs w:val="30"/>
        </w:rPr>
      </w:pPr>
      <w:r>
        <w:rPr>
          <w:rFonts w:hint="eastAsia" w:ascii="宋体" w:hAnsi="宋体" w:cs="宋体"/>
          <w:sz w:val="28"/>
          <w:szCs w:val="28"/>
        </w:rPr>
        <w:t>绩效指标：对广播电视节目传输、覆盖及网络和新媒体内容等的安全播出情况进行监管；开展市县共管中波发射台的运行维护管理。确保广播电视节目传输、发射及网络和新媒体内容等的安全播出。做好各项基础性保障工作，所有设备故障发生率控制在10%以内。</w:t>
      </w:r>
    </w:p>
    <w:p>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val="en-US" w:eastAsia="zh-CN"/>
        </w:rPr>
        <w:t>4</w:t>
      </w:r>
      <w:r>
        <w:rPr>
          <w:rFonts w:hint="eastAsia" w:ascii="宋体" w:hAnsi="宋体" w:eastAsia="宋体" w:cs="宋体"/>
          <w:bCs/>
          <w:sz w:val="28"/>
          <w:szCs w:val="28"/>
        </w:rPr>
        <w:t>、政务管理绩效目标</w:t>
      </w:r>
    </w:p>
    <w:p>
      <w:pPr>
        <w:spacing w:line="360" w:lineRule="auto"/>
        <w:ind w:firstLine="560" w:firstLineChars="200"/>
        <w:rPr>
          <w:rFonts w:ascii="宋体" w:hAnsi="宋体" w:cs="宋体"/>
          <w:sz w:val="28"/>
          <w:szCs w:val="28"/>
        </w:rPr>
      </w:pPr>
      <w:r>
        <w:rPr>
          <w:rFonts w:hint="eastAsia" w:ascii="宋体" w:hAnsi="宋体" w:cs="宋体"/>
          <w:sz w:val="28"/>
          <w:szCs w:val="28"/>
        </w:rPr>
        <w:t>绩效目标：做好综合事务管理工作。</w:t>
      </w:r>
    </w:p>
    <w:p>
      <w:pPr>
        <w:pStyle w:val="24"/>
      </w:pPr>
      <w:r>
        <w:rPr>
          <w:rFonts w:hint="eastAsia" w:ascii="宋体" w:hAnsi="宋体" w:cs="宋体"/>
          <w:sz w:val="28"/>
          <w:szCs w:val="28"/>
        </w:rPr>
        <w:t>绩效指标：开展广播电视研究、培训、对外交流、后勤保障以及其他各项基础性保障工作。</w:t>
      </w:r>
    </w:p>
    <w:p>
      <w:pPr>
        <w:spacing w:before="0" w:after="0" w:line="500" w:lineRule="exact"/>
        <w:ind w:firstLine="560"/>
        <w:jc w:val="left"/>
        <w:outlineLvl w:val="9"/>
      </w:pPr>
      <w:r>
        <w:rPr>
          <w:color w:val="000000"/>
          <w:sz w:val="28"/>
        </w:rPr>
        <w:t>（三）工作保障措施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rPr>
          <w:rFonts w:ascii="宋体" w:hAnsi="宋体" w:cs="宋体"/>
          <w:sz w:val="32"/>
          <w:szCs w:val="32"/>
        </w:rPr>
      </w:pPr>
      <w:r>
        <w:rPr>
          <w:rFonts w:hint="eastAsia" w:ascii="宋体" w:hAnsi="宋体" w:cs="宋体"/>
          <w:sz w:val="32"/>
          <w:szCs w:val="32"/>
          <w:lang w:val="en-US" w:eastAsia="zh-CN"/>
        </w:rPr>
        <w:t xml:space="preserve">    </w:t>
      </w:r>
      <w:r>
        <w:rPr>
          <w:rFonts w:hint="eastAsia" w:ascii="宋体" w:hAnsi="宋体" w:eastAsia="宋体" w:cs="宋体"/>
          <w:sz w:val="28"/>
          <w:szCs w:val="28"/>
          <w:lang w:val="en-US" w:eastAsia="zh-CN"/>
        </w:rPr>
        <w:t>1</w:t>
      </w:r>
      <w:r>
        <w:rPr>
          <w:rFonts w:hint="eastAsia" w:ascii="宋体" w:hAnsi="宋体" w:eastAsia="宋体" w:cs="宋体"/>
          <w:sz w:val="28"/>
          <w:szCs w:val="28"/>
        </w:rPr>
        <w:t>、持续加大对上宣传力度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宋体" w:hAnsi="宋体" w:cs="宋体"/>
          <w:sz w:val="28"/>
          <w:szCs w:val="28"/>
        </w:rPr>
      </w:pPr>
      <w:r>
        <w:rPr>
          <w:rFonts w:hint="eastAsia" w:ascii="宋体" w:hAnsi="宋体" w:cs="宋体"/>
          <w:sz w:val="28"/>
          <w:szCs w:val="28"/>
        </w:rPr>
        <w:t>要重策划。由中心主任、总编牵头，组建对上报道选题策划小组，按照部里统</w:t>
      </w:r>
      <w:r>
        <w:rPr>
          <w:rFonts w:hint="eastAsia" w:ascii="宋体" w:hAnsi="宋体" w:cs="宋体"/>
          <w:sz w:val="28"/>
          <w:szCs w:val="28"/>
          <w:lang w:eastAsia="zh-CN"/>
        </w:rPr>
        <w:t>筹安</w:t>
      </w:r>
      <w:r>
        <w:rPr>
          <w:rFonts w:hint="eastAsia" w:ascii="宋体" w:hAnsi="宋体" w:cs="宋体"/>
          <w:sz w:val="28"/>
          <w:szCs w:val="28"/>
        </w:rPr>
        <w:t>排，聚焦全市中心、重点、亮点工作和重大典型，着力攻系列报道、攻头条、攻提要、攻单条。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宋体" w:hAnsi="宋体" w:cs="宋体"/>
          <w:sz w:val="28"/>
          <w:szCs w:val="28"/>
        </w:rPr>
      </w:pPr>
      <w:r>
        <w:rPr>
          <w:rFonts w:hint="eastAsia" w:ascii="宋体" w:hAnsi="宋体" w:cs="宋体"/>
          <w:sz w:val="28"/>
          <w:szCs w:val="28"/>
        </w:rPr>
        <w:t>要重保障。完善激励机制，形成全台抓对上的浓厚氛围，同时加强对上工作后勤保障。通过努力，推出一批有影响的精品力作，保持在全省城市台对上报道前茅地位。</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宋体" w:hAnsi="宋体" w:cs="宋体"/>
          <w:sz w:val="28"/>
          <w:szCs w:val="28"/>
        </w:rPr>
      </w:pPr>
      <w:r>
        <w:rPr>
          <w:rFonts w:hint="eastAsia" w:ascii="宋体" w:hAnsi="宋体" w:cs="宋体"/>
          <w:sz w:val="28"/>
          <w:szCs w:val="28"/>
        </w:rPr>
        <w:t>要重制作。调配政治素质和业务能力过硬的采编人员，选用全台最好的摄录设备，增强对上报道力量，强化采录、撰稿、编辑各环节的质量把控，力求内容更精，声音、画面更美。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宋体" w:hAnsi="宋体" w:cs="宋体"/>
          <w:sz w:val="28"/>
          <w:szCs w:val="28"/>
        </w:rPr>
      </w:pPr>
      <w:r>
        <w:rPr>
          <w:rFonts w:hint="eastAsia" w:ascii="宋体" w:hAnsi="宋体" w:cs="宋体"/>
          <w:sz w:val="28"/>
          <w:szCs w:val="28"/>
        </w:rPr>
        <w:t>要重沟通。保持经常与省市台记者联系，了解宣传方案、报道重点、采访计划，特别是争取与上级媒体的大力度合作。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、着力提升主题宣传效果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宋体" w:hAnsi="宋体" w:cs="宋体"/>
          <w:sz w:val="28"/>
          <w:szCs w:val="28"/>
        </w:rPr>
      </w:pPr>
      <w:r>
        <w:rPr>
          <w:rFonts w:hint="eastAsia" w:ascii="宋体" w:hAnsi="宋体" w:cs="宋体"/>
          <w:sz w:val="28"/>
          <w:szCs w:val="28"/>
        </w:rPr>
        <w:t>做到精心选题。健全选题策划制度，围绕中央省、市中心工作，结合时政和民生栏目的定位特点组织选题，从新闻创作源头入手，提高选题质量和水平。</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仿宋" w:hAnsi="仿宋" w:eastAsia="仿宋"/>
          <w:sz w:val="30"/>
          <w:szCs w:val="30"/>
        </w:rPr>
      </w:pPr>
      <w:r>
        <w:rPr>
          <w:rFonts w:hint="eastAsia" w:ascii="宋体" w:hAnsi="宋体" w:cs="宋体"/>
          <w:sz w:val="28"/>
          <w:szCs w:val="28"/>
        </w:rPr>
        <w:t>做到融合传播。适应媒体环境变化，从受众的获取信息习惯出发，加强新闻语言、表现手法、传播方式创新，做到既有全、精、深，又有短、平、快。统筹运用广播、电视、广电网、AP、微信、微博和广电报等全媒体传播手段，打好主题宣传报道的组合拳，形成宣传声势，增强整体效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华文楷体" w:hAnsi="华文楷体" w:eastAsia="华文楷体"/>
          <w:sz w:val="32"/>
          <w:szCs w:val="32"/>
        </w:rPr>
      </w:pPr>
      <w:r>
        <w:rPr>
          <w:rFonts w:hint="eastAsia" w:ascii="宋体" w:hAnsi="宋体" w:eastAsia="宋体" w:cs="宋体"/>
          <w:sz w:val="28"/>
          <w:szCs w:val="28"/>
          <w:lang w:val="en-US" w:eastAsia="zh-CN"/>
        </w:rPr>
        <w:t>3</w:t>
      </w:r>
      <w:r>
        <w:rPr>
          <w:rFonts w:hint="eastAsia" w:ascii="宋体" w:hAnsi="宋体" w:eastAsia="宋体" w:cs="宋体"/>
          <w:sz w:val="28"/>
          <w:szCs w:val="28"/>
        </w:rPr>
        <w:t>、提升创收能力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仿宋" w:hAnsi="仿宋" w:eastAsia="仿宋"/>
          <w:sz w:val="30"/>
          <w:szCs w:val="30"/>
        </w:rPr>
      </w:pPr>
      <w:r>
        <w:rPr>
          <w:rFonts w:hint="eastAsia" w:ascii="宋体" w:hAnsi="宋体" w:cs="宋体"/>
          <w:sz w:val="28"/>
          <w:szCs w:val="28"/>
        </w:rPr>
        <w:t>面对广电行业普遍经营下滑，主动转变经营理念，提高创收能力，通过加强广告创意、举办特色活动、做好政务服务和拓展延伸产业等手段，力求经营创收能力稳定向好，保障成安县融媒体中心稳步发展。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rPr>
          <w:rFonts w:ascii="华文楷体" w:hAnsi="华文楷体" w:eastAsia="华文楷体"/>
          <w:sz w:val="32"/>
          <w:szCs w:val="32"/>
        </w:rPr>
      </w:pPr>
      <w:r>
        <w:rPr>
          <w:rFonts w:hint="eastAsia" w:ascii="华文楷体" w:hAnsi="华文楷体" w:eastAsia="华文楷体" w:cs="新宋体"/>
          <w:sz w:val="32"/>
          <w:szCs w:val="32"/>
          <w:lang w:val="en-US" w:eastAsia="zh-CN"/>
        </w:rPr>
        <w:t xml:space="preserve">    </w:t>
      </w:r>
      <w:r>
        <w:rPr>
          <w:rFonts w:hint="eastAsia" w:ascii="宋体" w:hAnsi="宋体" w:eastAsia="宋体" w:cs="宋体"/>
          <w:sz w:val="28"/>
          <w:szCs w:val="28"/>
          <w:lang w:val="en-US" w:eastAsia="zh-CN"/>
        </w:rPr>
        <w:t>4</w:t>
      </w:r>
      <w:r>
        <w:rPr>
          <w:rFonts w:hint="eastAsia" w:ascii="宋体" w:hAnsi="宋体" w:eastAsia="宋体" w:cs="宋体"/>
          <w:sz w:val="28"/>
          <w:szCs w:val="28"/>
        </w:rPr>
        <w:t>、提高媒体的传播力、引导力、影响力、公信力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仿宋" w:hAnsi="仿宋" w:eastAsia="仿宋"/>
          <w:b/>
          <w:bCs/>
          <w:sz w:val="30"/>
          <w:szCs w:val="30"/>
        </w:rPr>
      </w:pPr>
      <w:r>
        <w:rPr>
          <w:rFonts w:hint="eastAsia" w:ascii="宋体" w:hAnsi="宋体" w:cs="宋体"/>
          <w:sz w:val="28"/>
          <w:szCs w:val="28"/>
        </w:rPr>
        <w:t>从机制和人才两方面着眼，从内容创新和平台创新两方面着手，以增强受众</w:t>
      </w:r>
      <w:r>
        <w:rPr>
          <w:rFonts w:hint="eastAsia" w:ascii="宋体" w:hAnsi="宋体" w:cs="宋体"/>
          <w:sz w:val="28"/>
          <w:szCs w:val="28"/>
          <w:lang w:eastAsia="zh-CN"/>
        </w:rPr>
        <w:t>黏性</w:t>
      </w:r>
      <w:bookmarkStart w:id="22" w:name="_GoBack"/>
      <w:bookmarkEnd w:id="22"/>
      <w:r>
        <w:rPr>
          <w:rFonts w:hint="eastAsia" w:ascii="宋体" w:hAnsi="宋体" w:cs="宋体"/>
          <w:sz w:val="28"/>
          <w:szCs w:val="28"/>
        </w:rPr>
        <w:t>舆论引导能力为目标，宣传党的路线、方针、政策和市委、市政府的工作部署，坚持正确舆论导向，发挥主流媒体作用。不断提高媒体的传播力、引导力、影响力、公信力。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、完善各项制度建设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30"/>
        <w:rPr>
          <w:rFonts w:ascii="宋体" w:hAnsi="宋体" w:cs="宋体"/>
          <w:sz w:val="28"/>
          <w:szCs w:val="28"/>
        </w:rPr>
      </w:pPr>
      <w:r>
        <w:rPr>
          <w:rFonts w:hint="eastAsia" w:ascii="宋体" w:hAnsi="宋体" w:cs="宋体"/>
          <w:sz w:val="28"/>
          <w:szCs w:val="28"/>
        </w:rPr>
        <w:t>制定并完善预算绩效管理制度、货币资金管理办法，完善财务管理制度，严格审批程序，加强固定资产登记、使用和报废处置管理，做到支出合理，物尽其用。通过创新绩效考核和分配制度，树立“多劳多得、优劳优酬”的分配导向，激活队伍内生动力。为全年预算绩效目标的实现奠定了制度基础。</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、加强绩效运行监控，做好绩效自评，加强内部监督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30"/>
        <w:rPr>
          <w:rFonts w:ascii="宋体" w:hAnsi="宋体" w:cs="宋体"/>
          <w:sz w:val="28"/>
          <w:szCs w:val="28"/>
        </w:rPr>
      </w:pPr>
      <w:r>
        <w:rPr>
          <w:rFonts w:hint="eastAsia" w:ascii="宋体" w:hAnsi="宋体" w:cs="宋体"/>
          <w:sz w:val="28"/>
          <w:szCs w:val="28"/>
        </w:rPr>
        <w:t>按要求开展绩效运行监控，发现问题及时采取措施，确保绩效目标如期保质实现。按要求开展上年度部门预算绩效自评和重点评价工作，对评价中发现的问题及时整改。持续举办“新闻（节目）创意策划”“播音主持业务”“营销创意”“后期制作创意”等系列业务评比，不断促进各项工作提质增效。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rPr>
          <w:rFonts w:hint="eastAsia" w:ascii="华文楷体" w:hAnsi="华文楷体" w:eastAsia="华文楷体" w:cs="新宋体"/>
          <w:sz w:val="32"/>
          <w:szCs w:val="32"/>
        </w:rPr>
      </w:pPr>
      <w:r>
        <w:rPr>
          <w:rFonts w:hint="eastAsia" w:ascii="华文楷体" w:hAnsi="华文楷体" w:eastAsia="华文楷体" w:cs="新宋体"/>
          <w:sz w:val="32"/>
          <w:szCs w:val="32"/>
          <w:lang w:val="en-US" w:eastAsia="zh-CN"/>
        </w:rPr>
        <w:t xml:space="preserve">    </w:t>
      </w:r>
      <w:r>
        <w:rPr>
          <w:rFonts w:hint="eastAsia" w:ascii="宋体" w:hAnsi="宋体" w:eastAsia="宋体" w:cs="宋体"/>
          <w:sz w:val="28"/>
          <w:szCs w:val="28"/>
          <w:lang w:val="en-US" w:eastAsia="zh-CN"/>
        </w:rPr>
        <w:t>7、</w:t>
      </w:r>
      <w:r>
        <w:rPr>
          <w:rFonts w:hint="eastAsia" w:ascii="宋体" w:hAnsi="宋体" w:eastAsia="宋体" w:cs="宋体"/>
          <w:sz w:val="28"/>
          <w:szCs w:val="28"/>
        </w:rPr>
        <w:t>加强宣传培训与调研工作</w:t>
      </w:r>
    </w:p>
    <w:p>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rPr>
          <w:rFonts w:hint="eastAsia" w:ascii="宋体" w:hAnsi="宋体" w:eastAsia="宋体" w:cs="宋体"/>
          <w:sz w:val="28"/>
          <w:szCs w:val="28"/>
        </w:rPr>
      </w:pPr>
      <w:r>
        <w:rPr>
          <w:rFonts w:hint="eastAsia" w:ascii="宋体" w:hAnsi="宋体" w:cs="宋体"/>
          <w:szCs w:val="28"/>
          <w:lang w:val="en-US" w:eastAsia="zh-CN"/>
        </w:rPr>
        <w:t xml:space="preserve">    </w:t>
      </w:r>
      <w:r>
        <w:rPr>
          <w:rFonts w:hint="eastAsia" w:ascii="宋体" w:hAnsi="宋体" w:eastAsia="宋体" w:cs="宋体"/>
          <w:sz w:val="32"/>
          <w:szCs w:val="32"/>
          <w:lang w:val="en-US" w:eastAsia="zh-CN"/>
        </w:rPr>
        <w:t xml:space="preserve"> </w:t>
      </w:r>
      <w:r>
        <w:rPr>
          <w:rFonts w:hint="eastAsia" w:ascii="宋体" w:hAnsi="宋体" w:eastAsia="宋体" w:cs="宋体"/>
          <w:sz w:val="28"/>
          <w:szCs w:val="28"/>
        </w:rPr>
        <w:t>加强各部门人员培训力度，增加培训次数，提高各部门职工业务能力、综合素质，以更积极的工作热情高效完成本职工作；加强调研、集思广益，提出优化财政资金配置、提高资金使用效益的意见和建议，不断改进，让每一分钱落到实处；加大宣传力度，强化各部门预算绩效管理意识，促进预算绩效管理水平进一步提升。</w:t>
      </w:r>
    </w:p>
    <w:p>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rPr>
          <w:color w:val="000000"/>
          <w:sz w:val="32"/>
        </w:rPr>
      </w:pPr>
      <w:r>
        <w:rPr>
          <w:rFonts w:hint="eastAsia" w:ascii="宋体" w:hAnsi="宋体" w:eastAsia="宋体" w:cs="宋体"/>
          <w:sz w:val="32"/>
          <w:szCs w:val="32"/>
          <w:lang w:val="en-US" w:eastAsia="zh-CN"/>
        </w:rPr>
        <w:t xml:space="preserve">     </w:t>
      </w:r>
      <w:r>
        <w:rPr>
          <w:color w:val="000000"/>
          <w:sz w:val="32"/>
        </w:rPr>
        <w:t>六、部门主管专项资金预算安排情况及绩效目标</w:t>
      </w:r>
    </w:p>
    <w:p>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rPr>
          <w:color w:val="000000"/>
          <w:sz w:val="32"/>
        </w:rPr>
      </w:pPr>
    </w:p>
    <w:p>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sectPr>
          <w:pgSz w:w="16840" w:h="11900" w:orient="landscape"/>
          <w:pgMar w:top="1361" w:right="1020" w:bottom="1361" w:left="1020" w:header="720" w:footer="720" w:gutter="0"/>
          <w:cols w:space="720" w:num="1"/>
        </w:sectPr>
      </w:pPr>
      <w:r>
        <w:rPr>
          <w:rFonts w:hint="eastAsia" w:ascii="仿宋_GB2312" w:hAnsi="仿宋_GB2312" w:eastAsia="仿宋_GB2312" w:cs="仿宋_GB2312"/>
          <w:sz w:val="32"/>
          <w:szCs w:val="32"/>
          <w:lang w:val="en-US" w:eastAsia="zh-CN"/>
        </w:rPr>
        <w:t xml:space="preserve">     </w:t>
      </w:r>
      <w:r>
        <w:rPr>
          <w:rFonts w:hint="eastAsia" w:ascii="宋体" w:hAnsi="宋体" w:eastAsia="宋体" w:cs="宋体"/>
          <w:sz w:val="28"/>
          <w:szCs w:val="28"/>
          <w:lang w:val="en-US" w:eastAsia="zh-CN"/>
        </w:rPr>
        <w:t>2024年省级公共文化服务体系建设补助</w:t>
      </w:r>
      <w:r>
        <w:rPr>
          <w:rFonts w:hint="eastAsia" w:ascii="宋体" w:hAnsi="宋体" w:eastAsia="宋体" w:cs="宋体"/>
          <w:sz w:val="28"/>
          <w:szCs w:val="28"/>
        </w:rPr>
        <w:t>项目项目自评综述：根据年初设定的绩效目标，全年预算数为</w:t>
      </w:r>
      <w:r>
        <w:rPr>
          <w:rFonts w:hint="eastAsia" w:ascii="宋体" w:hAnsi="宋体" w:eastAsia="宋体" w:cs="宋体"/>
          <w:sz w:val="28"/>
          <w:szCs w:val="28"/>
          <w:lang w:val="en-US" w:eastAsia="zh-CN"/>
        </w:rPr>
        <w:t>3.798</w:t>
      </w:r>
      <w:r>
        <w:rPr>
          <w:rFonts w:hint="eastAsia" w:ascii="宋体" w:hAnsi="宋体" w:eastAsia="宋体" w:cs="宋体"/>
          <w:sz w:val="28"/>
          <w:szCs w:val="28"/>
        </w:rPr>
        <w:t>万元，执行数为</w:t>
      </w:r>
      <w:r>
        <w:rPr>
          <w:rFonts w:hint="eastAsia" w:ascii="宋体" w:hAnsi="宋体" w:eastAsia="宋体" w:cs="宋体"/>
          <w:sz w:val="28"/>
          <w:szCs w:val="28"/>
          <w:lang w:val="en-US" w:eastAsia="zh-CN"/>
        </w:rPr>
        <w:t>3.798</w:t>
      </w:r>
      <w:r>
        <w:rPr>
          <w:rFonts w:hint="eastAsia" w:ascii="宋体" w:hAnsi="宋体" w:eastAsia="宋体" w:cs="宋体"/>
          <w:sz w:val="28"/>
          <w:szCs w:val="28"/>
        </w:rPr>
        <w:t>万元，完成预算的</w:t>
      </w:r>
      <w:r>
        <w:rPr>
          <w:rFonts w:hint="eastAsia" w:ascii="宋体" w:hAnsi="宋体" w:eastAsia="宋体" w:cs="宋体"/>
          <w:sz w:val="28"/>
          <w:szCs w:val="28"/>
          <w:lang w:val="en-US" w:eastAsia="zh-CN"/>
        </w:rPr>
        <w:t>100%</w:t>
      </w:r>
      <w:r>
        <w:rPr>
          <w:rFonts w:hint="eastAsia" w:ascii="宋体" w:hAnsi="宋体" w:eastAsia="宋体" w:cs="宋体"/>
          <w:sz w:val="28"/>
          <w:szCs w:val="28"/>
        </w:rPr>
        <w:t>。项目绩效目标完成情况：</w:t>
      </w:r>
      <w:r>
        <w:rPr>
          <w:rFonts w:hint="eastAsia" w:ascii="宋体" w:hAnsi="宋体" w:eastAsia="宋体" w:cs="宋体"/>
          <w:color w:val="auto"/>
          <w:sz w:val="28"/>
          <w:szCs w:val="28"/>
          <w:highlight w:val="none"/>
          <w:shd w:val="clear" w:color="auto" w:fill="auto"/>
        </w:rPr>
        <w:t>通过项目实施，完成了年初设定的各项绩效目标，完成</w:t>
      </w:r>
      <w:r>
        <w:rPr>
          <w:rFonts w:hint="eastAsia" w:ascii="宋体" w:hAnsi="宋体" w:eastAsia="宋体" w:cs="宋体"/>
          <w:color w:val="auto"/>
          <w:sz w:val="28"/>
          <w:szCs w:val="28"/>
          <w:highlight w:val="none"/>
          <w:shd w:val="clear" w:color="auto" w:fill="auto"/>
          <w:lang w:eastAsia="zh-CN"/>
        </w:rPr>
        <w:t>补助金发放人数</w:t>
      </w:r>
      <w:r>
        <w:rPr>
          <w:rFonts w:hint="eastAsia" w:ascii="宋体" w:hAnsi="宋体" w:eastAsia="宋体" w:cs="宋体"/>
          <w:color w:val="auto"/>
          <w:sz w:val="28"/>
          <w:szCs w:val="28"/>
          <w:highlight w:val="none"/>
          <w:shd w:val="clear" w:color="auto" w:fill="auto"/>
          <w:lang w:val="en-US" w:eastAsia="zh-CN"/>
        </w:rPr>
        <w:t>24人，对补助对象将全部覆盖</w:t>
      </w:r>
      <w:r>
        <w:rPr>
          <w:rFonts w:hint="eastAsia" w:ascii="宋体" w:hAnsi="宋体" w:cs="宋体"/>
          <w:color w:val="auto"/>
          <w:sz w:val="28"/>
          <w:szCs w:val="28"/>
          <w:highlight w:val="none"/>
          <w:shd w:val="clear" w:color="auto" w:fill="auto"/>
          <w:lang w:val="en-US" w:eastAsia="zh-CN"/>
        </w:rPr>
        <w:t>。</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7" w:name="_Toc10075"/>
      <w:r>
        <w:rPr>
          <w:color w:val="000000"/>
          <w:sz w:val="32"/>
        </w:rPr>
        <w:t>七、部门项目预算安排情况及绩效目标</w:t>
      </w:r>
      <w:bookmarkEnd w:id="17"/>
    </w:p>
    <w:p>
      <w:pPr>
        <w:spacing w:before="0" w:after="0"/>
        <w:ind w:firstLine="560"/>
        <w:jc w:val="left"/>
        <w:outlineLvl w:val="9"/>
      </w:pPr>
      <w:r>
        <w:rPr>
          <w:color w:val="000000"/>
          <w:sz w:val="28"/>
        </w:rPr>
        <w:t>1、2024年包干经费绩效目标表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Align w:val="center"/>
          </w:tcPr>
          <w:p>
            <w:pPr>
              <w:pStyle w:val="12"/>
            </w:pPr>
            <w:r>
              <w:t>项目编码</w:t>
            </w:r>
          </w:p>
          <w:p>
            <w:pPr>
              <w:pStyle w:val="14"/>
            </w:pPr>
            <w:r>
              <w:t>13042424P00P97U100039</w:t>
            </w:r>
          </w:p>
        </w:tc>
        <w:tc>
          <w:tcPr>
            <w:tcW w:w="8456" w:type="dxa"/>
            <w:gridSpan w:val="4"/>
            <w:vAlign w:val="center"/>
          </w:tcPr>
          <w:p>
            <w:pPr>
              <w:pStyle w:val="12"/>
            </w:pPr>
            <w:r>
              <w:t>项目名称</w:t>
            </w:r>
          </w:p>
          <w:p>
            <w:pPr>
              <w:pStyle w:val="14"/>
            </w:pPr>
            <w:r>
              <w:t>2024年包干经费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28.00</w:t>
            </w:r>
          </w:p>
        </w:tc>
        <w:tc>
          <w:tcPr>
            <w:tcW w:w="2114" w:type="dxa"/>
            <w:vAlign w:val="center"/>
          </w:tcPr>
          <w:p>
            <w:pPr>
              <w:pStyle w:val="12"/>
            </w:pPr>
            <w:r>
              <w:t>其中：财政    资金</w:t>
            </w:r>
          </w:p>
        </w:tc>
        <w:tc>
          <w:tcPr>
            <w:tcW w:w="2114" w:type="dxa"/>
            <w:vAlign w:val="center"/>
          </w:tcPr>
          <w:p>
            <w:pPr>
              <w:pStyle w:val="14"/>
            </w:pPr>
            <w:r>
              <w:t>28.00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7"/>
            <w:vMerge w:val="continue"/>
            <w:vAlign w:val="top"/>
          </w:tcPr>
          <w:p>
            <w:pPr>
              <w:pStyle w:val="14"/>
            </w:pPr>
            <w:r>
              <w:t>用于中心运转经费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Merge w:val="restart"/>
            <w:vAlign w:val="center"/>
          </w:tcPr>
          <w:p>
            <w:pPr>
              <w:pStyle w:val="12"/>
            </w:pPr>
            <w:r>
              <w:t>资金支出计划（%）</w:t>
            </w:r>
          </w:p>
          <w:p>
            <w:pPr>
              <w:pStyle w:val="12"/>
            </w:pPr>
            <w:r>
              <w:t>3月底</w:t>
            </w:r>
          </w:p>
        </w:tc>
        <w:tc>
          <w:tcPr>
            <w:tcW w:w="2114" w:type="dxa"/>
            <w:vAlign w:val="center"/>
          </w:tcPr>
          <w:p>
            <w:pPr>
              <w:pStyle w:val="12"/>
            </w:pPr>
            <w:r>
              <w:t>6月底</w:t>
            </w:r>
          </w:p>
        </w:tc>
        <w:tc>
          <w:tcPr>
            <w:tcW w:w="6342" w:type="dxa"/>
            <w:gridSpan w:val="3"/>
            <w:vAlign w:val="center"/>
          </w:tcPr>
          <w:p>
            <w:pPr>
              <w:pStyle w:val="12"/>
            </w:pPr>
            <w:r>
              <w:t>10月底</w:t>
            </w:r>
          </w:p>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Merge w:val="continue"/>
            <w:vAlign w:val="top"/>
          </w:tcPr>
          <w:p>
            <w:pPr>
              <w:pStyle w:val="15"/>
            </w:pPr>
            <w:r>
              <w:t>7.00</w:t>
            </w:r>
          </w:p>
        </w:tc>
        <w:tc>
          <w:tcPr>
            <w:tcW w:w="2114" w:type="dxa"/>
            <w:vAlign w:val="center"/>
          </w:tcPr>
          <w:p>
            <w:pPr>
              <w:pStyle w:val="15"/>
            </w:pPr>
            <w:r>
              <w:t>14.00</w:t>
            </w:r>
          </w:p>
        </w:tc>
        <w:tc>
          <w:tcPr>
            <w:tcW w:w="6342" w:type="dxa"/>
            <w:gridSpan w:val="3"/>
            <w:vAlign w:val="center"/>
          </w:tcPr>
          <w:p>
            <w:pPr>
              <w:pStyle w:val="15"/>
            </w:pPr>
            <w:r>
              <w:t>21.00</w:t>
            </w:r>
          </w:p>
          <w:p>
            <w:pPr>
              <w:pStyle w:val="15"/>
            </w:pPr>
            <w:r>
              <w:t>28.00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7"/>
            <w:vAlign w:val="center"/>
          </w:tcPr>
          <w:p>
            <w:pPr>
              <w:pStyle w:val="12"/>
            </w:pPr>
            <w:r>
              <w:t>绩效目标</w:t>
            </w:r>
          </w:p>
          <w:p>
            <w:pPr>
              <w:pStyle w:val="14"/>
            </w:pPr>
            <w:r>
              <w:t>1.保障中心正常运转经费</w:t>
            </w:r>
          </w:p>
        </w:tc>
      </w:tr>
    </w:tbl>
    <w:p>
      <w:pPr>
        <w:spacing w:before="0" w:after="0" w:line="2" w:lineRule="exact"/>
        <w:ind w:firstLine="0"/>
        <w:jc w:val="center"/>
        <w:outlineLvl w:val="9"/>
      </w:pPr>
      <w:r>
        <w:rPr>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6342" w:type="dxa"/>
            <w:vAlign w:val="center"/>
          </w:tcPr>
          <w:p>
            <w:pPr>
              <w:pStyle w:val="12"/>
            </w:pPr>
            <w:r>
              <w:t>三级指标</w:t>
            </w:r>
          </w:p>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6342" w:type="dxa"/>
            <w:vAlign w:val="center"/>
          </w:tcPr>
          <w:p>
            <w:pPr>
              <w:pStyle w:val="14"/>
            </w:pPr>
            <w:r>
              <w:t>工作经费</w:t>
            </w:r>
          </w:p>
          <w:p>
            <w:pPr>
              <w:pStyle w:val="14"/>
            </w:pPr>
            <w:r>
              <w:t>单位办公费</w:t>
            </w:r>
          </w:p>
        </w:tc>
        <w:tc>
          <w:tcPr>
            <w:tcW w:w="2114" w:type="dxa"/>
            <w:vAlign w:val="center"/>
          </w:tcPr>
          <w:p>
            <w:pPr>
              <w:pStyle w:val="14"/>
            </w:pPr>
            <w:r>
              <w:t>≥5万元</w:t>
            </w:r>
          </w:p>
        </w:tc>
        <w:tc>
          <w:tcPr>
            <w:tcW w:w="2114" w:type="dxa"/>
            <w:vAlign w:val="center"/>
          </w:tcPr>
          <w:p>
            <w:pPr>
              <w:pStyle w:val="14"/>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6342" w:type="dxa"/>
            <w:vAlign w:val="center"/>
          </w:tcPr>
          <w:p>
            <w:pPr>
              <w:pStyle w:val="14"/>
            </w:pPr>
            <w:r>
              <w:t>取暖费</w:t>
            </w:r>
          </w:p>
          <w:p>
            <w:pPr>
              <w:pStyle w:val="14"/>
            </w:pPr>
            <w:r>
              <w:t>单位取暖费</w:t>
            </w:r>
          </w:p>
        </w:tc>
        <w:tc>
          <w:tcPr>
            <w:tcW w:w="2114" w:type="dxa"/>
            <w:vAlign w:val="center"/>
          </w:tcPr>
          <w:p>
            <w:pPr>
              <w:pStyle w:val="14"/>
            </w:pPr>
            <w:r>
              <w:t>3.6万元</w:t>
            </w:r>
          </w:p>
        </w:tc>
        <w:tc>
          <w:tcPr>
            <w:tcW w:w="2114" w:type="dxa"/>
            <w:vAlign w:val="center"/>
          </w:tcPr>
          <w:p>
            <w:pPr>
              <w:pStyle w:val="14"/>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6342" w:type="dxa"/>
            <w:vAlign w:val="center"/>
          </w:tcPr>
          <w:p>
            <w:pPr>
              <w:pStyle w:val="14"/>
            </w:pPr>
            <w:r>
              <w:t>资金使用率</w:t>
            </w:r>
          </w:p>
          <w:p>
            <w:pPr>
              <w:pStyle w:val="14"/>
            </w:pPr>
            <w:r>
              <w:t>资金正常使用率</w:t>
            </w:r>
          </w:p>
        </w:tc>
        <w:tc>
          <w:tcPr>
            <w:tcW w:w="2114" w:type="dxa"/>
            <w:vAlign w:val="center"/>
          </w:tcPr>
          <w:p>
            <w:pPr>
              <w:pStyle w:val="14"/>
            </w:pPr>
            <w:r>
              <w:t>100%</w:t>
            </w:r>
          </w:p>
        </w:tc>
        <w:tc>
          <w:tcPr>
            <w:tcW w:w="2114" w:type="dxa"/>
            <w:vAlign w:val="center"/>
          </w:tcPr>
          <w:p>
            <w:pPr>
              <w:pStyle w:val="14"/>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6342" w:type="dxa"/>
            <w:vAlign w:val="center"/>
          </w:tcPr>
          <w:p>
            <w:pPr>
              <w:pStyle w:val="14"/>
            </w:pPr>
            <w:r>
              <w:t>使用时间</w:t>
            </w:r>
          </w:p>
          <w:p>
            <w:pPr>
              <w:pStyle w:val="14"/>
            </w:pPr>
            <w:r>
              <w:t>资金使用时间</w:t>
            </w:r>
          </w:p>
        </w:tc>
        <w:tc>
          <w:tcPr>
            <w:tcW w:w="2114" w:type="dxa"/>
            <w:vAlign w:val="center"/>
          </w:tcPr>
          <w:p>
            <w:pPr>
              <w:pStyle w:val="14"/>
            </w:pPr>
            <w:r>
              <w:t>1年</w:t>
            </w:r>
          </w:p>
        </w:tc>
        <w:tc>
          <w:tcPr>
            <w:tcW w:w="2114" w:type="dxa"/>
            <w:vAlign w:val="center"/>
          </w:tcPr>
          <w:p>
            <w:pPr>
              <w:pStyle w:val="14"/>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6342" w:type="dxa"/>
            <w:vAlign w:val="center"/>
          </w:tcPr>
          <w:p>
            <w:pPr>
              <w:pStyle w:val="14"/>
            </w:pPr>
            <w:r>
              <w:t>资金成本</w:t>
            </w:r>
          </w:p>
          <w:p>
            <w:pPr>
              <w:pStyle w:val="14"/>
            </w:pPr>
            <w:r>
              <w:t>资金成本</w:t>
            </w:r>
          </w:p>
        </w:tc>
        <w:tc>
          <w:tcPr>
            <w:tcW w:w="2114" w:type="dxa"/>
            <w:vAlign w:val="center"/>
          </w:tcPr>
          <w:p>
            <w:pPr>
              <w:pStyle w:val="14"/>
            </w:pPr>
            <w:r>
              <w:t>28万元</w:t>
            </w:r>
          </w:p>
        </w:tc>
        <w:tc>
          <w:tcPr>
            <w:tcW w:w="2114" w:type="dxa"/>
            <w:vAlign w:val="center"/>
          </w:tcPr>
          <w:p>
            <w:pPr>
              <w:pStyle w:val="14"/>
            </w:pPr>
            <w:r>
              <w:t>支出手续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经济效益指标</w:t>
            </w:r>
          </w:p>
        </w:tc>
        <w:tc>
          <w:tcPr>
            <w:tcW w:w="6342" w:type="dxa"/>
            <w:vAlign w:val="center"/>
          </w:tcPr>
          <w:p>
            <w:pPr>
              <w:pStyle w:val="14"/>
            </w:pPr>
            <w:r>
              <w:t>增加效率</w:t>
            </w:r>
          </w:p>
          <w:p>
            <w:pPr>
              <w:pStyle w:val="14"/>
            </w:pPr>
            <w:r>
              <w:t>增加工作效率</w:t>
            </w:r>
          </w:p>
        </w:tc>
        <w:tc>
          <w:tcPr>
            <w:tcW w:w="2114" w:type="dxa"/>
            <w:vAlign w:val="center"/>
          </w:tcPr>
          <w:p>
            <w:pPr>
              <w:pStyle w:val="14"/>
            </w:pPr>
            <w:r>
              <w:t>增加</w:t>
            </w:r>
          </w:p>
        </w:tc>
        <w:tc>
          <w:tcPr>
            <w:tcW w:w="2114"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社会效益指标</w:t>
            </w:r>
          </w:p>
        </w:tc>
        <w:tc>
          <w:tcPr>
            <w:tcW w:w="6342" w:type="dxa"/>
            <w:vAlign w:val="center"/>
          </w:tcPr>
          <w:p>
            <w:pPr>
              <w:pStyle w:val="14"/>
            </w:pPr>
            <w:r>
              <w:t>促进发展</w:t>
            </w:r>
          </w:p>
          <w:p>
            <w:pPr>
              <w:pStyle w:val="14"/>
            </w:pPr>
            <w:r>
              <w:t>促进融媒中心事业发展</w:t>
            </w:r>
          </w:p>
        </w:tc>
        <w:tc>
          <w:tcPr>
            <w:tcW w:w="2114" w:type="dxa"/>
            <w:vAlign w:val="center"/>
          </w:tcPr>
          <w:p>
            <w:pPr>
              <w:pStyle w:val="14"/>
            </w:pPr>
            <w:r>
              <w:t>促进</w:t>
            </w:r>
          </w:p>
        </w:tc>
        <w:tc>
          <w:tcPr>
            <w:tcW w:w="2114"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可持续影响指标</w:t>
            </w:r>
          </w:p>
        </w:tc>
        <w:tc>
          <w:tcPr>
            <w:tcW w:w="6342" w:type="dxa"/>
            <w:vAlign w:val="center"/>
          </w:tcPr>
          <w:p>
            <w:pPr>
              <w:pStyle w:val="14"/>
            </w:pPr>
            <w:r>
              <w:t>促进县宣传事业</w:t>
            </w:r>
          </w:p>
          <w:p>
            <w:pPr>
              <w:pStyle w:val="14"/>
            </w:pPr>
            <w:r>
              <w:t>促进县宣传事业发展</w:t>
            </w:r>
          </w:p>
        </w:tc>
        <w:tc>
          <w:tcPr>
            <w:tcW w:w="2114" w:type="dxa"/>
            <w:vAlign w:val="center"/>
          </w:tcPr>
          <w:p>
            <w:pPr>
              <w:pStyle w:val="14"/>
            </w:pPr>
            <w:r>
              <w:t>发展</w:t>
            </w:r>
          </w:p>
        </w:tc>
        <w:tc>
          <w:tcPr>
            <w:tcW w:w="2114"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6342" w:type="dxa"/>
            <w:vAlign w:val="center"/>
          </w:tcPr>
          <w:p>
            <w:pPr>
              <w:pStyle w:val="14"/>
            </w:pPr>
            <w:r>
              <w:t>满意度</w:t>
            </w:r>
          </w:p>
          <w:p>
            <w:pPr>
              <w:pStyle w:val="14"/>
            </w:pPr>
            <w:r>
              <w:t>资金使用者满意度</w:t>
            </w:r>
          </w:p>
        </w:tc>
        <w:tc>
          <w:tcPr>
            <w:tcW w:w="2114" w:type="dxa"/>
            <w:vAlign w:val="center"/>
          </w:tcPr>
          <w:p>
            <w:pPr>
              <w:pStyle w:val="14"/>
            </w:pPr>
            <w:r>
              <w:t>≥95%</w:t>
            </w:r>
          </w:p>
        </w:tc>
        <w:tc>
          <w:tcPr>
            <w:tcW w:w="2114" w:type="dxa"/>
            <w:vAlign w:val="center"/>
          </w:tcPr>
          <w:p>
            <w:pPr>
              <w:pStyle w:val="14"/>
            </w:pPr>
            <w:r>
              <w:t>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color w:val="000000"/>
          <w:sz w:val="28"/>
        </w:rPr>
        <w:t>2、2024年原乡镇(公社)放映员生活补助县配套绩效目标表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Align w:val="center"/>
          </w:tcPr>
          <w:p>
            <w:pPr>
              <w:pStyle w:val="12"/>
            </w:pPr>
            <w:r>
              <w:t>项目编码</w:t>
            </w:r>
          </w:p>
          <w:p>
            <w:pPr>
              <w:pStyle w:val="14"/>
            </w:pPr>
            <w:r>
              <w:t>13042424P001PDR10130Y</w:t>
            </w:r>
          </w:p>
        </w:tc>
        <w:tc>
          <w:tcPr>
            <w:tcW w:w="8456" w:type="dxa"/>
            <w:gridSpan w:val="4"/>
            <w:vAlign w:val="center"/>
          </w:tcPr>
          <w:p>
            <w:pPr>
              <w:pStyle w:val="12"/>
            </w:pPr>
            <w:r>
              <w:t>项目名称</w:t>
            </w:r>
          </w:p>
          <w:p>
            <w:pPr>
              <w:pStyle w:val="14"/>
            </w:pPr>
            <w:r>
              <w:t>2024年原乡镇(公社)放映员生活补助县配套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10.22</w:t>
            </w:r>
          </w:p>
        </w:tc>
        <w:tc>
          <w:tcPr>
            <w:tcW w:w="2114" w:type="dxa"/>
            <w:vAlign w:val="center"/>
          </w:tcPr>
          <w:p>
            <w:pPr>
              <w:pStyle w:val="12"/>
            </w:pPr>
            <w:r>
              <w:t>其中：财政    资金</w:t>
            </w:r>
          </w:p>
        </w:tc>
        <w:tc>
          <w:tcPr>
            <w:tcW w:w="2114" w:type="dxa"/>
            <w:vAlign w:val="center"/>
          </w:tcPr>
          <w:p>
            <w:pPr>
              <w:pStyle w:val="14"/>
            </w:pPr>
            <w:r>
              <w:t>10.22</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7"/>
            <w:vMerge w:val="continue"/>
            <w:vAlign w:val="top"/>
          </w:tcPr>
          <w:p>
            <w:pPr>
              <w:pStyle w:val="14"/>
            </w:pPr>
            <w:r>
              <w:t>用于老放映员2024年生活补助.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Merge w:val="restart"/>
            <w:vAlign w:val="center"/>
          </w:tcPr>
          <w:p>
            <w:pPr>
              <w:pStyle w:val="12"/>
            </w:pPr>
            <w:r>
              <w:t>资金支出计划（%）</w:t>
            </w:r>
          </w:p>
          <w:p>
            <w:pPr>
              <w:pStyle w:val="12"/>
            </w:pPr>
            <w:r>
              <w:t>3月底</w:t>
            </w:r>
          </w:p>
        </w:tc>
        <w:tc>
          <w:tcPr>
            <w:tcW w:w="2114" w:type="dxa"/>
            <w:vAlign w:val="center"/>
          </w:tcPr>
          <w:p>
            <w:pPr>
              <w:pStyle w:val="12"/>
            </w:pPr>
            <w:r>
              <w:t>6月底</w:t>
            </w:r>
          </w:p>
        </w:tc>
        <w:tc>
          <w:tcPr>
            <w:tcW w:w="6342" w:type="dxa"/>
            <w:gridSpan w:val="3"/>
            <w:vAlign w:val="center"/>
          </w:tcPr>
          <w:p>
            <w:pPr>
              <w:pStyle w:val="12"/>
            </w:pPr>
            <w:r>
              <w:t>10月底</w:t>
            </w:r>
          </w:p>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Merge w:val="continue"/>
            <w:vAlign w:val="top"/>
          </w:tcPr>
          <w:p>
            <w:pPr>
              <w:pStyle w:val="15"/>
            </w:pPr>
            <w:r>
              <w:t>2.00</w:t>
            </w:r>
          </w:p>
        </w:tc>
        <w:tc>
          <w:tcPr>
            <w:tcW w:w="2114" w:type="dxa"/>
            <w:vAlign w:val="center"/>
          </w:tcPr>
          <w:p>
            <w:pPr>
              <w:pStyle w:val="15"/>
            </w:pPr>
            <w:r>
              <w:t>5.00</w:t>
            </w:r>
          </w:p>
        </w:tc>
        <w:tc>
          <w:tcPr>
            <w:tcW w:w="6342" w:type="dxa"/>
            <w:gridSpan w:val="3"/>
            <w:vAlign w:val="center"/>
          </w:tcPr>
          <w:p>
            <w:pPr>
              <w:pStyle w:val="15"/>
            </w:pPr>
            <w:r>
              <w:t>7.00</w:t>
            </w:r>
          </w:p>
          <w:p>
            <w:pPr>
              <w:pStyle w:val="15"/>
            </w:pPr>
            <w:r>
              <w:t>10.22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7"/>
            <w:vAlign w:val="center"/>
          </w:tcPr>
          <w:p>
            <w:pPr>
              <w:pStyle w:val="12"/>
            </w:pPr>
            <w:r>
              <w:t>绩效目标</w:t>
            </w:r>
          </w:p>
          <w:p>
            <w:pPr>
              <w:pStyle w:val="14"/>
            </w:pPr>
            <w:r>
              <w:t>1.提高老放映员生活水平,增加生活幸福感.</w:t>
            </w:r>
          </w:p>
        </w:tc>
      </w:tr>
    </w:tbl>
    <w:p>
      <w:pPr>
        <w:spacing w:before="0" w:after="0" w:line="2" w:lineRule="exact"/>
        <w:ind w:firstLine="0"/>
        <w:jc w:val="center"/>
        <w:outlineLvl w:val="9"/>
      </w:pPr>
      <w:r>
        <w:rPr>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6342" w:type="dxa"/>
            <w:vAlign w:val="center"/>
          </w:tcPr>
          <w:p>
            <w:pPr>
              <w:pStyle w:val="12"/>
            </w:pPr>
            <w:r>
              <w:t>三级指标</w:t>
            </w:r>
          </w:p>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6342" w:type="dxa"/>
            <w:vAlign w:val="center"/>
          </w:tcPr>
          <w:p>
            <w:pPr>
              <w:pStyle w:val="14"/>
            </w:pPr>
            <w:r>
              <w:t xml:space="preserve">补助人数 </w:t>
            </w:r>
          </w:p>
          <w:p>
            <w:pPr>
              <w:pStyle w:val="14"/>
            </w:pPr>
            <w:r>
              <w:t>补助实际人数</w:t>
            </w:r>
          </w:p>
        </w:tc>
        <w:tc>
          <w:tcPr>
            <w:tcW w:w="2114" w:type="dxa"/>
            <w:vAlign w:val="center"/>
          </w:tcPr>
          <w:p>
            <w:pPr>
              <w:pStyle w:val="14"/>
            </w:pPr>
            <w:r>
              <w:t>24人</w:t>
            </w:r>
          </w:p>
        </w:tc>
        <w:tc>
          <w:tcPr>
            <w:tcW w:w="2114"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6342" w:type="dxa"/>
            <w:vAlign w:val="center"/>
          </w:tcPr>
          <w:p>
            <w:pPr>
              <w:pStyle w:val="14"/>
            </w:pPr>
            <w:r>
              <w:t>覆盖率</w:t>
            </w:r>
          </w:p>
          <w:p>
            <w:pPr>
              <w:pStyle w:val="14"/>
            </w:pPr>
            <w:r>
              <w:t>补助对象占应补助对象比例</w:t>
            </w:r>
          </w:p>
        </w:tc>
        <w:tc>
          <w:tcPr>
            <w:tcW w:w="2114" w:type="dxa"/>
            <w:vAlign w:val="center"/>
          </w:tcPr>
          <w:p>
            <w:pPr>
              <w:pStyle w:val="14"/>
            </w:pPr>
            <w:r>
              <w:t>100%</w:t>
            </w:r>
          </w:p>
        </w:tc>
        <w:tc>
          <w:tcPr>
            <w:tcW w:w="2114"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6342" w:type="dxa"/>
            <w:vAlign w:val="center"/>
          </w:tcPr>
          <w:p>
            <w:pPr>
              <w:pStyle w:val="14"/>
            </w:pPr>
            <w:r>
              <w:t>使用时间</w:t>
            </w:r>
          </w:p>
          <w:p>
            <w:pPr>
              <w:pStyle w:val="14"/>
            </w:pPr>
            <w:r>
              <w:t>补助金使用时间</w:t>
            </w:r>
          </w:p>
        </w:tc>
        <w:tc>
          <w:tcPr>
            <w:tcW w:w="2114" w:type="dxa"/>
            <w:vAlign w:val="center"/>
          </w:tcPr>
          <w:p>
            <w:pPr>
              <w:pStyle w:val="14"/>
            </w:pPr>
            <w:r>
              <w:t>1年</w:t>
            </w:r>
          </w:p>
        </w:tc>
        <w:tc>
          <w:tcPr>
            <w:tcW w:w="2114"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6342" w:type="dxa"/>
            <w:vAlign w:val="center"/>
          </w:tcPr>
          <w:p>
            <w:pPr>
              <w:pStyle w:val="14"/>
            </w:pPr>
            <w:r>
              <w:t>人均年补助</w:t>
            </w:r>
          </w:p>
          <w:p>
            <w:pPr>
              <w:pStyle w:val="14"/>
            </w:pPr>
            <w:r>
              <w:t>人均年补助额</w:t>
            </w:r>
          </w:p>
        </w:tc>
        <w:tc>
          <w:tcPr>
            <w:tcW w:w="2114" w:type="dxa"/>
            <w:vAlign w:val="center"/>
          </w:tcPr>
          <w:p>
            <w:pPr>
              <w:pStyle w:val="14"/>
            </w:pPr>
            <w:r>
              <w:t>4257.5元</w:t>
            </w:r>
          </w:p>
        </w:tc>
        <w:tc>
          <w:tcPr>
            <w:tcW w:w="2114"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社会效益指标</w:t>
            </w:r>
          </w:p>
        </w:tc>
        <w:tc>
          <w:tcPr>
            <w:tcW w:w="6342" w:type="dxa"/>
            <w:vAlign w:val="center"/>
          </w:tcPr>
          <w:p>
            <w:pPr>
              <w:pStyle w:val="14"/>
            </w:pPr>
            <w:r>
              <w:t>幸福感</w:t>
            </w:r>
          </w:p>
          <w:p>
            <w:pPr>
              <w:pStyle w:val="14"/>
            </w:pPr>
            <w:r>
              <w:t>增加老放映员生活幸福感</w:t>
            </w:r>
          </w:p>
        </w:tc>
        <w:tc>
          <w:tcPr>
            <w:tcW w:w="2114" w:type="dxa"/>
            <w:vAlign w:val="center"/>
          </w:tcPr>
          <w:p>
            <w:pPr>
              <w:pStyle w:val="14"/>
            </w:pPr>
            <w:r>
              <w:t>增加</w:t>
            </w:r>
          </w:p>
        </w:tc>
        <w:tc>
          <w:tcPr>
            <w:tcW w:w="2114"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可持续影响指标</w:t>
            </w:r>
          </w:p>
        </w:tc>
        <w:tc>
          <w:tcPr>
            <w:tcW w:w="6342" w:type="dxa"/>
            <w:vAlign w:val="center"/>
          </w:tcPr>
          <w:p>
            <w:pPr>
              <w:pStyle w:val="14"/>
            </w:pPr>
            <w:r>
              <w:t>生活水平</w:t>
            </w:r>
          </w:p>
          <w:p>
            <w:pPr>
              <w:pStyle w:val="14"/>
            </w:pPr>
            <w:r>
              <w:t>提高老放映员生活水平</w:t>
            </w:r>
          </w:p>
        </w:tc>
        <w:tc>
          <w:tcPr>
            <w:tcW w:w="2114" w:type="dxa"/>
            <w:vAlign w:val="center"/>
          </w:tcPr>
          <w:p>
            <w:pPr>
              <w:pStyle w:val="14"/>
            </w:pPr>
            <w:r>
              <w:t>提高</w:t>
            </w:r>
          </w:p>
        </w:tc>
        <w:tc>
          <w:tcPr>
            <w:tcW w:w="2114"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6342" w:type="dxa"/>
            <w:vAlign w:val="center"/>
          </w:tcPr>
          <w:p>
            <w:pPr>
              <w:pStyle w:val="14"/>
            </w:pPr>
            <w:r>
              <w:t>受益放映员满意度调查</w:t>
            </w:r>
          </w:p>
          <w:p>
            <w:pPr>
              <w:pStyle w:val="14"/>
            </w:pPr>
            <w:r>
              <w:t>受益放映员满意度调查</w:t>
            </w:r>
          </w:p>
        </w:tc>
        <w:tc>
          <w:tcPr>
            <w:tcW w:w="2114" w:type="dxa"/>
            <w:vAlign w:val="center"/>
          </w:tcPr>
          <w:p>
            <w:pPr>
              <w:pStyle w:val="14"/>
            </w:pPr>
            <w:r>
              <w:t>≥95%</w:t>
            </w:r>
          </w:p>
        </w:tc>
        <w:tc>
          <w:tcPr>
            <w:tcW w:w="2114" w:type="dxa"/>
            <w:vAlign w:val="center"/>
          </w:tcPr>
          <w:p>
            <w:pPr>
              <w:pStyle w:val="14"/>
            </w:pPr>
            <w:r>
              <w:t>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color w:val="000000"/>
          <w:sz w:val="28"/>
        </w:rPr>
        <w:t>3、冀财教(2023)143号省级公共文化服务体系建设补助资金(60周以上老放映员补助)绩效目标表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Align w:val="center"/>
          </w:tcPr>
          <w:p>
            <w:pPr>
              <w:pStyle w:val="12"/>
            </w:pPr>
            <w:r>
              <w:t>项目编码</w:t>
            </w:r>
          </w:p>
          <w:p>
            <w:pPr>
              <w:pStyle w:val="14"/>
            </w:pPr>
            <w:r>
              <w:t>13042424P00J72C100942</w:t>
            </w:r>
          </w:p>
        </w:tc>
        <w:tc>
          <w:tcPr>
            <w:tcW w:w="8456" w:type="dxa"/>
            <w:gridSpan w:val="4"/>
            <w:vAlign w:val="center"/>
          </w:tcPr>
          <w:p>
            <w:pPr>
              <w:pStyle w:val="12"/>
            </w:pPr>
            <w:r>
              <w:t>项目名称</w:t>
            </w:r>
          </w:p>
          <w:p>
            <w:pPr>
              <w:pStyle w:val="14"/>
            </w:pPr>
            <w:r>
              <w:t>冀财教(2023)143号省级公共文化服务体系建设补助资金(60周以上老放映员补助)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3.80</w:t>
            </w:r>
          </w:p>
        </w:tc>
        <w:tc>
          <w:tcPr>
            <w:tcW w:w="2114" w:type="dxa"/>
            <w:vAlign w:val="center"/>
          </w:tcPr>
          <w:p>
            <w:pPr>
              <w:pStyle w:val="12"/>
            </w:pPr>
            <w:r>
              <w:t>其中：财政    资金</w:t>
            </w:r>
          </w:p>
        </w:tc>
        <w:tc>
          <w:tcPr>
            <w:tcW w:w="2114" w:type="dxa"/>
            <w:vAlign w:val="center"/>
          </w:tcPr>
          <w:p>
            <w:pPr>
              <w:pStyle w:val="14"/>
            </w:pPr>
            <w:r>
              <w:t>3.80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7"/>
            <w:vMerge w:val="continue"/>
            <w:vAlign w:val="top"/>
          </w:tcPr>
          <w:p>
            <w:pPr>
              <w:pStyle w:val="14"/>
            </w:pPr>
            <w:r>
              <w:t>用于老放映员生活补助.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Merge w:val="restart"/>
            <w:vAlign w:val="center"/>
          </w:tcPr>
          <w:p>
            <w:pPr>
              <w:pStyle w:val="12"/>
            </w:pPr>
            <w:r>
              <w:t>资金支出计划（%）</w:t>
            </w:r>
          </w:p>
          <w:p>
            <w:pPr>
              <w:pStyle w:val="12"/>
            </w:pPr>
            <w:r>
              <w:t>3月底</w:t>
            </w:r>
          </w:p>
        </w:tc>
        <w:tc>
          <w:tcPr>
            <w:tcW w:w="2114" w:type="dxa"/>
            <w:vAlign w:val="center"/>
          </w:tcPr>
          <w:p>
            <w:pPr>
              <w:pStyle w:val="12"/>
            </w:pPr>
            <w:r>
              <w:t>6月底</w:t>
            </w:r>
          </w:p>
        </w:tc>
        <w:tc>
          <w:tcPr>
            <w:tcW w:w="6342" w:type="dxa"/>
            <w:gridSpan w:val="3"/>
            <w:vAlign w:val="center"/>
          </w:tcPr>
          <w:p>
            <w:pPr>
              <w:pStyle w:val="12"/>
            </w:pPr>
            <w:r>
              <w:t>10月底</w:t>
            </w:r>
          </w:p>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42" w:type="dxa"/>
            <w:gridSpan w:val="3"/>
            <w:vMerge w:val="continue"/>
            <w:vAlign w:val="top"/>
          </w:tcPr>
          <w:p>
            <w:pPr>
              <w:pStyle w:val="15"/>
            </w:pPr>
            <w:r>
              <w:t xml:space="preserve"> </w:t>
            </w:r>
          </w:p>
        </w:tc>
        <w:tc>
          <w:tcPr>
            <w:tcW w:w="2114" w:type="dxa"/>
            <w:vAlign w:val="center"/>
          </w:tcPr>
          <w:p>
            <w:pPr>
              <w:pStyle w:val="15"/>
            </w:pPr>
            <w:r>
              <w:t>3.80</w:t>
            </w:r>
          </w:p>
        </w:tc>
        <w:tc>
          <w:tcPr>
            <w:tcW w:w="6342" w:type="dxa"/>
            <w:gridSpan w:val="3"/>
            <w:vAlign w:val="center"/>
          </w:tcPr>
          <w:p>
            <w:pPr>
              <w:pStyle w:val="15"/>
            </w:pPr>
            <w:r>
              <w:t xml:space="preserve"> </w:t>
            </w:r>
          </w:p>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8" w:type="dxa"/>
            <w:gridSpan w:val="7"/>
            <w:vAlign w:val="center"/>
          </w:tcPr>
          <w:p>
            <w:pPr>
              <w:pStyle w:val="12"/>
            </w:pPr>
            <w:r>
              <w:t>绩效目标</w:t>
            </w:r>
          </w:p>
          <w:p>
            <w:pPr>
              <w:pStyle w:val="14"/>
            </w:pPr>
            <w:r>
              <w:t>1.提高老放映员生活水平</w:t>
            </w:r>
          </w:p>
        </w:tc>
      </w:tr>
    </w:tbl>
    <w:p>
      <w:pPr>
        <w:spacing w:before="0" w:after="0" w:line="2" w:lineRule="exact"/>
        <w:ind w:firstLine="0"/>
        <w:jc w:val="center"/>
        <w:outlineLvl w:val="9"/>
      </w:pPr>
      <w:r>
        <w:rPr>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42"/>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6342" w:type="dxa"/>
            <w:vAlign w:val="center"/>
          </w:tcPr>
          <w:p>
            <w:pPr>
              <w:pStyle w:val="12"/>
            </w:pPr>
            <w:r>
              <w:t>三级指标</w:t>
            </w:r>
          </w:p>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6342" w:type="dxa"/>
            <w:vAlign w:val="center"/>
          </w:tcPr>
          <w:p>
            <w:pPr>
              <w:pStyle w:val="14"/>
            </w:pPr>
            <w:r>
              <w:t>补助人数</w:t>
            </w:r>
          </w:p>
          <w:p>
            <w:pPr>
              <w:pStyle w:val="14"/>
            </w:pPr>
            <w:r>
              <w:t>补助人数</w:t>
            </w:r>
          </w:p>
        </w:tc>
        <w:tc>
          <w:tcPr>
            <w:tcW w:w="2114" w:type="dxa"/>
            <w:vAlign w:val="center"/>
          </w:tcPr>
          <w:p>
            <w:pPr>
              <w:pStyle w:val="14"/>
            </w:pPr>
            <w:r>
              <w:t>24人</w:t>
            </w:r>
          </w:p>
        </w:tc>
        <w:tc>
          <w:tcPr>
            <w:tcW w:w="2114"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6342" w:type="dxa"/>
            <w:vAlign w:val="center"/>
          </w:tcPr>
          <w:p>
            <w:pPr>
              <w:pStyle w:val="14"/>
            </w:pPr>
            <w:r>
              <w:t>覆盖率</w:t>
            </w:r>
          </w:p>
          <w:p>
            <w:pPr>
              <w:pStyle w:val="14"/>
            </w:pPr>
            <w:r>
              <w:t>补助金覆盖率</w:t>
            </w:r>
          </w:p>
        </w:tc>
        <w:tc>
          <w:tcPr>
            <w:tcW w:w="2114" w:type="dxa"/>
            <w:vAlign w:val="center"/>
          </w:tcPr>
          <w:p>
            <w:pPr>
              <w:pStyle w:val="14"/>
            </w:pPr>
            <w:r>
              <w:t>100%</w:t>
            </w:r>
          </w:p>
        </w:tc>
        <w:tc>
          <w:tcPr>
            <w:tcW w:w="2114"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6342" w:type="dxa"/>
            <w:vAlign w:val="center"/>
          </w:tcPr>
          <w:p>
            <w:pPr>
              <w:pStyle w:val="14"/>
            </w:pPr>
            <w:r>
              <w:t>资金使用时间</w:t>
            </w:r>
          </w:p>
          <w:p>
            <w:pPr>
              <w:pStyle w:val="14"/>
            </w:pPr>
            <w:r>
              <w:t>资金使用时间</w:t>
            </w:r>
          </w:p>
        </w:tc>
        <w:tc>
          <w:tcPr>
            <w:tcW w:w="2114" w:type="dxa"/>
            <w:vAlign w:val="center"/>
          </w:tcPr>
          <w:p>
            <w:pPr>
              <w:pStyle w:val="14"/>
            </w:pPr>
            <w:r>
              <w:t>1年</w:t>
            </w:r>
          </w:p>
        </w:tc>
        <w:tc>
          <w:tcPr>
            <w:tcW w:w="2114"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6342" w:type="dxa"/>
            <w:vAlign w:val="center"/>
          </w:tcPr>
          <w:p>
            <w:pPr>
              <w:pStyle w:val="14"/>
            </w:pPr>
            <w:r>
              <w:t>人均补助</w:t>
            </w:r>
          </w:p>
          <w:p>
            <w:pPr>
              <w:pStyle w:val="14"/>
            </w:pPr>
            <w:r>
              <w:t>人均补助</w:t>
            </w:r>
          </w:p>
        </w:tc>
        <w:tc>
          <w:tcPr>
            <w:tcW w:w="2114" w:type="dxa"/>
            <w:vAlign w:val="center"/>
          </w:tcPr>
          <w:p>
            <w:pPr>
              <w:pStyle w:val="14"/>
            </w:pPr>
            <w:r>
              <w:t>0.15每人</w:t>
            </w:r>
          </w:p>
        </w:tc>
        <w:tc>
          <w:tcPr>
            <w:tcW w:w="2114"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社会效益指标</w:t>
            </w:r>
          </w:p>
        </w:tc>
        <w:tc>
          <w:tcPr>
            <w:tcW w:w="6342" w:type="dxa"/>
            <w:vAlign w:val="center"/>
          </w:tcPr>
          <w:p>
            <w:pPr>
              <w:pStyle w:val="14"/>
            </w:pPr>
            <w:r>
              <w:t>生活水平</w:t>
            </w:r>
          </w:p>
          <w:p>
            <w:pPr>
              <w:pStyle w:val="14"/>
            </w:pPr>
            <w:r>
              <w:t>提高老放映员生活水平</w:t>
            </w:r>
          </w:p>
        </w:tc>
        <w:tc>
          <w:tcPr>
            <w:tcW w:w="2114" w:type="dxa"/>
            <w:vAlign w:val="center"/>
          </w:tcPr>
          <w:p>
            <w:pPr>
              <w:pStyle w:val="14"/>
            </w:pPr>
            <w:r>
              <w:t>提高</w:t>
            </w:r>
          </w:p>
        </w:tc>
        <w:tc>
          <w:tcPr>
            <w:tcW w:w="2114"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可持续影响指标</w:t>
            </w:r>
          </w:p>
        </w:tc>
        <w:tc>
          <w:tcPr>
            <w:tcW w:w="6342" w:type="dxa"/>
            <w:vAlign w:val="center"/>
          </w:tcPr>
          <w:p>
            <w:pPr>
              <w:pStyle w:val="14"/>
            </w:pPr>
            <w:r>
              <w:t>增加生活幸福感</w:t>
            </w:r>
          </w:p>
          <w:p>
            <w:pPr>
              <w:pStyle w:val="14"/>
            </w:pPr>
            <w:r>
              <w:t>增加生活幸福感</w:t>
            </w:r>
          </w:p>
        </w:tc>
        <w:tc>
          <w:tcPr>
            <w:tcW w:w="2114" w:type="dxa"/>
            <w:vAlign w:val="center"/>
          </w:tcPr>
          <w:p>
            <w:pPr>
              <w:pStyle w:val="14"/>
            </w:pPr>
            <w:r>
              <w:t>增加</w:t>
            </w:r>
          </w:p>
        </w:tc>
        <w:tc>
          <w:tcPr>
            <w:tcW w:w="2114"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6342" w:type="dxa"/>
            <w:vAlign w:val="center"/>
          </w:tcPr>
          <w:p>
            <w:pPr>
              <w:pStyle w:val="14"/>
            </w:pPr>
            <w:r>
              <w:t>受益人满意度</w:t>
            </w:r>
          </w:p>
          <w:p>
            <w:pPr>
              <w:pStyle w:val="14"/>
            </w:pPr>
            <w:r>
              <w:t>受益群众满意度调查</w:t>
            </w:r>
          </w:p>
        </w:tc>
        <w:tc>
          <w:tcPr>
            <w:tcW w:w="2114" w:type="dxa"/>
            <w:vAlign w:val="center"/>
          </w:tcPr>
          <w:p>
            <w:pPr>
              <w:pStyle w:val="14"/>
            </w:pPr>
            <w:r>
              <w:t>≥95%</w:t>
            </w:r>
          </w:p>
        </w:tc>
        <w:tc>
          <w:tcPr>
            <w:tcW w:w="2114" w:type="dxa"/>
            <w:vAlign w:val="center"/>
          </w:tcPr>
          <w:p>
            <w:pPr>
              <w:pStyle w:val="14"/>
            </w:pPr>
            <w:r>
              <w:t>调查</w:t>
            </w:r>
          </w:p>
        </w:tc>
      </w:tr>
    </w:tbl>
    <w:p>
      <w:pPr>
        <w:sectPr>
          <w:pgSz w:w="16840" w:h="11900" w:orient="landscape"/>
          <w:pgMar w:top="1361" w:right="1020" w:bottom="1134" w:left="1020" w:header="720" w:footer="720" w:gutter="0"/>
          <w:cols w:space="720" w:num="1"/>
        </w:sectPr>
      </w:pPr>
    </w:p>
    <w:p>
      <w:pPr>
        <w:numPr>
          <w:ilvl w:val="0"/>
          <w:numId w:val="2"/>
        </w:numPr>
        <w:spacing w:before="10" w:after="10" w:line="240" w:lineRule="auto"/>
        <w:ind w:firstLine="640"/>
        <w:jc w:val="left"/>
        <w:outlineLvl w:val="2"/>
        <w:rPr>
          <w:color w:val="000000"/>
          <w:sz w:val="32"/>
        </w:rPr>
      </w:pPr>
      <w:bookmarkStart w:id="18" w:name="_Toc3782"/>
      <w:r>
        <w:rPr>
          <w:color w:val="000000"/>
          <w:sz w:val="32"/>
        </w:rPr>
        <w:t>政府采购预算情况</w:t>
      </w:r>
      <w:bookmarkEnd w:id="18"/>
    </w:p>
    <w:p>
      <w:pPr>
        <w:spacing w:line="500" w:lineRule="exact"/>
        <w:ind w:firstLine="560"/>
      </w:pPr>
      <w:r>
        <w:rPr>
          <w:color w:val="000000"/>
          <w:sz w:val="28"/>
        </w:rPr>
        <w:t>202</w:t>
      </w:r>
      <w:r>
        <w:rPr>
          <w:rFonts w:hint="eastAsia"/>
          <w:color w:val="000000"/>
          <w:sz w:val="28"/>
          <w:lang w:val="en-US" w:eastAsia="zh-CN"/>
        </w:rPr>
        <w:t>4</w:t>
      </w:r>
      <w:r>
        <w:rPr>
          <w:color w:val="000000"/>
          <w:sz w:val="28"/>
        </w:rPr>
        <w:t>年，成安县融媒体中心安排政府采购预算0.00万元。具体内容见下表。</w:t>
      </w:r>
    </w:p>
    <w:p>
      <w:pPr>
        <w:numPr>
          <w:ilvl w:val="0"/>
          <w:numId w:val="0"/>
        </w:numPr>
        <w:spacing w:before="10" w:after="10" w:line="240" w:lineRule="auto"/>
        <w:jc w:val="left"/>
        <w:outlineLvl w:val="2"/>
        <w:rPr>
          <w:color w:val="000000"/>
          <w:sz w:val="32"/>
        </w:rPr>
      </w:pPr>
    </w:p>
    <w:p>
      <w:pPr>
        <w:spacing w:before="0" w:after="0" w:line="240" w:lineRule="auto"/>
        <w:ind w:firstLine="0"/>
        <w:jc w:val="center"/>
        <w:outlineLvl w:val="9"/>
      </w:pPr>
      <w:r>
        <w:rPr>
          <w:color w:val="000000"/>
          <w:sz w:val="36"/>
        </w:rPr>
        <w:t>部门政府采购预算</w:t>
      </w:r>
    </w:p>
    <w:tbl>
      <w:tblPr>
        <w:tblStyle w:val="7"/>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790" w:type="dxa"/>
            <w:gridSpan w:val="15"/>
            <w:tcBorders>
              <w:top w:val="single" w:color="FFFFFF" w:sz="6" w:space="0"/>
              <w:left w:val="single" w:color="FFFFFF" w:sz="6" w:space="0"/>
              <w:right w:val="single" w:color="FFFFFF" w:sz="6" w:space="0"/>
            </w:tcBorders>
            <w:vAlign w:val="center"/>
          </w:tcPr>
          <w:p>
            <w:pPr>
              <w:pStyle w:val="11"/>
            </w:pPr>
            <w:r>
              <w:t>359成安县融媒体中心</w:t>
            </w:r>
          </w:p>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2"/>
            </w:pPr>
            <w:r>
              <w:t>政府采购项目来源</w:t>
            </w:r>
          </w:p>
        </w:tc>
        <w:tc>
          <w:tcPr>
            <w:tcW w:w="986" w:type="dxa"/>
            <w:vMerge w:val="restart"/>
            <w:vAlign w:val="center"/>
          </w:tcPr>
          <w:p>
            <w:pPr>
              <w:pStyle w:val="12"/>
            </w:pPr>
            <w:r>
              <w:t>采购物品名称</w:t>
            </w:r>
          </w:p>
        </w:tc>
        <w:tc>
          <w:tcPr>
            <w:tcW w:w="986" w:type="dxa"/>
            <w:vMerge w:val="restart"/>
            <w:vAlign w:val="center"/>
          </w:tcPr>
          <w:p>
            <w:pPr>
              <w:pStyle w:val="12"/>
            </w:pPr>
            <w:r>
              <w:t>政府采购目录序号</w:t>
            </w:r>
          </w:p>
        </w:tc>
        <w:tc>
          <w:tcPr>
            <w:tcW w:w="986" w:type="dxa"/>
            <w:vMerge w:val="restart"/>
            <w:vAlign w:val="center"/>
          </w:tcPr>
          <w:p>
            <w:pPr>
              <w:pStyle w:val="12"/>
            </w:pPr>
            <w:r>
              <w:t>计量  单位</w:t>
            </w:r>
          </w:p>
        </w:tc>
        <w:tc>
          <w:tcPr>
            <w:tcW w:w="986" w:type="dxa"/>
            <w:vMerge w:val="restart"/>
            <w:vAlign w:val="center"/>
          </w:tcPr>
          <w:p>
            <w:pPr>
              <w:pStyle w:val="12"/>
            </w:pPr>
            <w:r>
              <w:t>数量</w:t>
            </w:r>
          </w:p>
        </w:tc>
        <w:tc>
          <w:tcPr>
            <w:tcW w:w="7888" w:type="dxa"/>
            <w:gridSpan w:val="8"/>
            <w:vMerge w:val="restart"/>
            <w:vAlign w:val="center"/>
          </w:tcPr>
          <w:p>
            <w:pPr>
              <w:pStyle w:val="12"/>
            </w:pPr>
            <w:r>
              <w:t>单价</w:t>
            </w:r>
          </w:p>
          <w:p>
            <w:pPr>
              <w:pStyle w:val="12"/>
            </w:pPr>
            <w:r>
              <w:t>政府采购金额（当年部门预算安排资金）</w:t>
            </w:r>
          </w:p>
        </w:tc>
        <w:tc>
          <w:tcPr>
            <w:tcW w:w="986"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2"/>
            </w:pPr>
            <w:r>
              <w:t>项目名称</w:t>
            </w:r>
          </w:p>
        </w:tc>
        <w:tc>
          <w:tcPr>
            <w:tcW w:w="986" w:type="dxa"/>
            <w:vAlign w:val="center"/>
          </w:tcPr>
          <w:p>
            <w:pPr>
              <w:pStyle w:val="12"/>
            </w:pPr>
            <w:r>
              <w:t>预算    资金</w:t>
            </w:r>
          </w:p>
        </w:tc>
        <w:tc>
          <w:tcPr>
            <w:tcW w:w="986" w:type="dxa"/>
            <w:vMerge w:val="continue"/>
            <w:vAlign w:val="top"/>
          </w:tcPr>
          <w:p/>
        </w:tc>
        <w:tc>
          <w:tcPr>
            <w:tcW w:w="986" w:type="dxa"/>
            <w:vMerge w:val="continue"/>
            <w:vAlign w:val="top"/>
          </w:tcPr>
          <w:p/>
        </w:tc>
        <w:tc>
          <w:tcPr>
            <w:tcW w:w="986" w:type="dxa"/>
            <w:vMerge w:val="continue"/>
            <w:vAlign w:val="top"/>
          </w:tcPr>
          <w:p/>
        </w:tc>
        <w:tc>
          <w:tcPr>
            <w:tcW w:w="986" w:type="dxa"/>
            <w:vMerge w:val="continue"/>
            <w:vAlign w:val="top"/>
          </w:tcPr>
          <w:p/>
        </w:tc>
        <w:tc>
          <w:tcPr>
            <w:tcW w:w="986" w:type="dxa"/>
            <w:vMerge w:val="continue"/>
            <w:vAlign w:val="top"/>
          </w:tcPr>
          <w:p/>
        </w:tc>
        <w:tc>
          <w:tcPr>
            <w:tcW w:w="986" w:type="dxa"/>
            <w:vAlign w:val="center"/>
          </w:tcPr>
          <w:p>
            <w:pPr>
              <w:pStyle w:val="12"/>
            </w:pPr>
            <w:r>
              <w:t>合计</w:t>
            </w:r>
          </w:p>
        </w:tc>
        <w:tc>
          <w:tcPr>
            <w:tcW w:w="986" w:type="dxa"/>
            <w:vAlign w:val="center"/>
          </w:tcPr>
          <w:p>
            <w:pPr>
              <w:pStyle w:val="12"/>
            </w:pPr>
            <w:r>
              <w:t>一般公共预算拨款</w:t>
            </w:r>
          </w:p>
        </w:tc>
        <w:tc>
          <w:tcPr>
            <w:tcW w:w="986" w:type="dxa"/>
            <w:vAlign w:val="center"/>
          </w:tcPr>
          <w:p>
            <w:pPr>
              <w:pStyle w:val="12"/>
            </w:pPr>
            <w:r>
              <w:t>基金预算拨款</w:t>
            </w:r>
          </w:p>
        </w:tc>
        <w:tc>
          <w:tcPr>
            <w:tcW w:w="986" w:type="dxa"/>
            <w:vAlign w:val="center"/>
          </w:tcPr>
          <w:p>
            <w:pPr>
              <w:pStyle w:val="12"/>
            </w:pPr>
            <w:r>
              <w:t>国有资本经营预算拨款</w:t>
            </w:r>
          </w:p>
        </w:tc>
        <w:tc>
          <w:tcPr>
            <w:tcW w:w="986" w:type="dxa"/>
            <w:vAlign w:val="center"/>
          </w:tcPr>
          <w:p>
            <w:pPr>
              <w:pStyle w:val="12"/>
            </w:pPr>
            <w:r>
              <w:t>财政专户核拨</w:t>
            </w:r>
          </w:p>
        </w:tc>
        <w:tc>
          <w:tcPr>
            <w:tcW w:w="986" w:type="dxa"/>
            <w:vAlign w:val="center"/>
          </w:tcPr>
          <w:p>
            <w:pPr>
              <w:pStyle w:val="12"/>
            </w:pPr>
            <w:r>
              <w:t>单位    资金</w:t>
            </w:r>
          </w:p>
        </w:tc>
        <w:tc>
          <w:tcPr>
            <w:tcW w:w="986" w:type="dxa"/>
            <w:vAlign w:val="center"/>
          </w:tcPr>
          <w:p>
            <w:pPr>
              <w:pStyle w:val="12"/>
            </w:pPr>
            <w:r>
              <w:t>上年结转结余</w:t>
            </w:r>
          </w:p>
        </w:tc>
        <w:tc>
          <w:tcPr>
            <w:tcW w:w="986"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4"/>
            </w:pPr>
          </w:p>
        </w:tc>
        <w:tc>
          <w:tcPr>
            <w:tcW w:w="986" w:type="dxa"/>
            <w:vAlign w:val="center"/>
          </w:tcPr>
          <w:p>
            <w:pPr>
              <w:pStyle w:val="13"/>
            </w:pPr>
          </w:p>
        </w:tc>
        <w:tc>
          <w:tcPr>
            <w:tcW w:w="986" w:type="dxa"/>
            <w:vAlign w:val="center"/>
          </w:tcPr>
          <w:p>
            <w:pPr>
              <w:pStyle w:val="14"/>
            </w:pPr>
          </w:p>
        </w:tc>
        <w:tc>
          <w:tcPr>
            <w:tcW w:w="986" w:type="dxa"/>
            <w:vAlign w:val="center"/>
          </w:tcPr>
          <w:p>
            <w:pPr>
              <w:pStyle w:val="14"/>
            </w:pPr>
          </w:p>
        </w:tc>
        <w:tc>
          <w:tcPr>
            <w:tcW w:w="986" w:type="dxa"/>
            <w:vAlign w:val="center"/>
          </w:tcPr>
          <w:p>
            <w:pPr>
              <w:pStyle w:val="15"/>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bl>
    <w:p>
      <w:pPr>
        <w:spacing w:before="0" w:after="0" w:line="500" w:lineRule="exact"/>
        <w:ind w:firstLine="420"/>
        <w:jc w:val="left"/>
        <w:outlineLvl w:val="9"/>
      </w:pPr>
      <w:r>
        <w:rPr>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color w:val="000000"/>
          <w:sz w:val="21"/>
        </w:rPr>
        <w:t>注：无政府采购预算，空表列示。</w:t>
      </w:r>
    </w:p>
    <w:p>
      <w:pPr>
        <w:spacing w:before="0" w:after="0"/>
        <w:ind w:firstLine="640"/>
        <w:jc w:val="left"/>
        <w:outlineLvl w:val="9"/>
      </w:pPr>
      <w:r>
        <w:rPr>
          <w:color w:val="000000"/>
          <w:sz w:val="32"/>
        </w:rPr>
        <w:t xml:space="preserve"> </w:t>
      </w:r>
    </w:p>
    <w:p>
      <w:pPr>
        <w:spacing w:before="10" w:after="10" w:line="240" w:lineRule="auto"/>
        <w:ind w:firstLine="640"/>
        <w:jc w:val="left"/>
        <w:outlineLvl w:val="2"/>
      </w:pPr>
      <w:bookmarkStart w:id="19" w:name="_Toc28717"/>
      <w:r>
        <w:rPr>
          <w:color w:val="000000"/>
          <w:sz w:val="32"/>
        </w:rPr>
        <w:t>九、国有资产信息</w:t>
      </w:r>
      <w:bookmarkEnd w:id="19"/>
    </w:p>
    <w:p>
      <w:pPr>
        <w:spacing w:before="0" w:after="0" w:line="500" w:lineRule="exact"/>
        <w:ind w:firstLine="560"/>
        <w:jc w:val="left"/>
        <w:outlineLvl w:val="9"/>
      </w:pPr>
      <w:r>
        <w:rPr>
          <w:b w:val="0"/>
          <w:color w:val="000000"/>
          <w:sz w:val="28"/>
        </w:rPr>
        <w:t>成安县融媒体中心（含所属单位）上年末固定资产金额为</w:t>
      </w:r>
      <w:r>
        <w:rPr>
          <w:rFonts w:hint="eastAsia"/>
          <w:b w:val="0"/>
          <w:color w:val="000000"/>
          <w:sz w:val="28"/>
          <w:lang w:val="en-US" w:eastAsia="zh-CN"/>
        </w:rPr>
        <w:t>2498.65</w:t>
      </w:r>
      <w:r>
        <w:rPr>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color w:val="000000"/>
          <w:sz w:val="36"/>
        </w:rPr>
        <w:t>部门固定资产占用情况表</w:t>
      </w:r>
    </w:p>
    <w:tbl>
      <w:tblPr>
        <w:tblStyle w:val="7"/>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799" w:type="dxa"/>
            <w:gridSpan w:val="3"/>
            <w:tcBorders>
              <w:top w:val="single" w:color="FFFFFF" w:sz="6" w:space="0"/>
              <w:left w:val="single" w:color="FFFFFF" w:sz="6" w:space="0"/>
              <w:right w:val="single" w:color="FFFFFF" w:sz="6" w:space="0"/>
            </w:tcBorders>
            <w:vAlign w:val="center"/>
          </w:tcPr>
          <w:p>
            <w:pPr>
              <w:pStyle w:val="11"/>
            </w:pPr>
            <w:r>
              <w:t>359成安县融媒体中心</w:t>
            </w:r>
          </w:p>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pPr>
            <w:r>
              <w:rPr>
                <w:rFonts w:hint="eastAsia" w:ascii="宋体" w:hAnsi="宋体" w:cs="宋体"/>
                <w:sz w:val="22"/>
              </w:rPr>
              <w:t>资产总额</w:t>
            </w:r>
          </w:p>
        </w:tc>
        <w:tc>
          <w:tcPr>
            <w:tcW w:w="4933" w:type="dxa"/>
            <w:vAlign w:val="center"/>
          </w:tcPr>
          <w:p>
            <w:pPr>
              <w:pStyle w:val="15"/>
            </w:pPr>
          </w:p>
        </w:tc>
        <w:tc>
          <w:tcPr>
            <w:tcW w:w="4933" w:type="dxa"/>
            <w:vAlign w:val="center"/>
          </w:tcPr>
          <w:p>
            <w:pPr>
              <w:pStyle w:val="13"/>
              <w:ind w:firstLine="0" w:firstLineChars="0"/>
              <w:rPr>
                <w:rFonts w:hint="eastAsia" w:eastAsia="宋体"/>
                <w:lang w:eastAsia="zh-CN"/>
              </w:rPr>
            </w:pPr>
            <w:r>
              <w:rPr>
                <w:rFonts w:hint="eastAsia"/>
                <w:lang w:val="en-US" w:eastAsia="zh-CN"/>
              </w:rPr>
              <w:t>2498.65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pPr>
            <w:r>
              <w:rPr>
                <w:rFonts w:ascii="宋体" w:hAnsi="宋体" w:cs="宋体"/>
                <w:sz w:val="22"/>
              </w:rPr>
              <w:t>1</w:t>
            </w:r>
            <w:r>
              <w:rPr>
                <w:rFonts w:hint="eastAsia" w:ascii="宋体" w:hAnsi="宋体" w:cs="宋体"/>
                <w:sz w:val="22"/>
              </w:rPr>
              <w:t>、房屋（平方米）</w:t>
            </w:r>
          </w:p>
        </w:tc>
        <w:tc>
          <w:tcPr>
            <w:tcW w:w="4933" w:type="dxa"/>
            <w:vAlign w:val="center"/>
          </w:tcPr>
          <w:p>
            <w:pPr>
              <w:pStyle w:val="15"/>
              <w:ind w:firstLine="0" w:firstLineChars="0"/>
            </w:pPr>
            <w:r>
              <w:rPr>
                <w:rFonts w:hint="eastAsia"/>
              </w:rPr>
              <w:t>5193</w:t>
            </w:r>
          </w:p>
        </w:tc>
        <w:tc>
          <w:tcPr>
            <w:tcW w:w="4933" w:type="dxa"/>
            <w:vAlign w:val="center"/>
          </w:tcPr>
          <w:p>
            <w:pPr>
              <w:pStyle w:val="13"/>
              <w:ind w:firstLine="0" w:firstLineChars="0"/>
            </w:pPr>
            <w:r>
              <w:rPr>
                <w:rFonts w:hint="eastAsia" w:ascii="宋体" w:hAnsi="宋体"/>
                <w:sz w:val="22"/>
              </w:rPr>
              <w:t>466.69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pPr>
            <w:r>
              <w:rPr>
                <w:rFonts w:hint="eastAsia" w:ascii="宋体" w:hAnsi="宋体" w:cs="宋体"/>
                <w:sz w:val="22"/>
              </w:rPr>
              <w:t>其中：办公用房（平方米）</w:t>
            </w:r>
          </w:p>
        </w:tc>
        <w:tc>
          <w:tcPr>
            <w:tcW w:w="4933" w:type="dxa"/>
            <w:vAlign w:val="center"/>
          </w:tcPr>
          <w:p>
            <w:pPr>
              <w:pStyle w:val="15"/>
              <w:ind w:firstLine="0" w:firstLineChars="0"/>
            </w:pPr>
            <w:r>
              <w:rPr>
                <w:rFonts w:hint="eastAsia"/>
              </w:rPr>
              <w:t>1026</w:t>
            </w:r>
          </w:p>
        </w:tc>
        <w:tc>
          <w:tcPr>
            <w:tcW w:w="4933" w:type="dxa"/>
            <w:vAlign w:val="center"/>
          </w:tcPr>
          <w:p>
            <w:pPr>
              <w:pStyle w:val="13"/>
              <w:ind w:firstLine="0" w:firstLineChars="0"/>
            </w:pPr>
            <w:r>
              <w:rPr>
                <w:rFonts w:hint="eastAsia" w:ascii="宋体" w:hAnsi="宋体"/>
                <w:sz w:val="22"/>
              </w:rPr>
              <w:t>75.61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pPr>
            <w:r>
              <w:rPr>
                <w:rFonts w:ascii="宋体" w:hAnsi="宋体" w:cs="宋体"/>
                <w:sz w:val="22"/>
              </w:rPr>
              <w:t>2</w:t>
            </w:r>
            <w:r>
              <w:rPr>
                <w:rFonts w:hint="eastAsia" w:ascii="宋体" w:hAnsi="宋体" w:cs="宋体"/>
                <w:sz w:val="22"/>
              </w:rPr>
              <w:t>、车辆（台、辆）</w:t>
            </w:r>
          </w:p>
        </w:tc>
        <w:tc>
          <w:tcPr>
            <w:tcW w:w="4933" w:type="dxa"/>
            <w:vAlign w:val="center"/>
          </w:tcPr>
          <w:p>
            <w:pPr>
              <w:pStyle w:val="15"/>
              <w:ind w:firstLine="0" w:firstLineChars="0"/>
            </w:pPr>
            <w:r>
              <w:rPr>
                <w:rFonts w:hint="eastAsia"/>
              </w:rPr>
              <w:t>2</w:t>
            </w:r>
          </w:p>
        </w:tc>
        <w:tc>
          <w:tcPr>
            <w:tcW w:w="4933" w:type="dxa"/>
            <w:vAlign w:val="center"/>
          </w:tcPr>
          <w:p>
            <w:pPr>
              <w:pStyle w:val="13"/>
              <w:ind w:firstLine="0" w:firstLineChars="0"/>
            </w:pPr>
            <w:r>
              <w:rPr>
                <w:rFonts w:hint="eastAsia"/>
              </w:rPr>
              <w:t>23.56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pPr>
            <w:r>
              <w:rPr>
                <w:rFonts w:ascii="宋体" w:hAnsi="宋体" w:cs="宋体"/>
                <w:sz w:val="22"/>
              </w:rPr>
              <w:t>3</w:t>
            </w:r>
            <w:r>
              <w:rPr>
                <w:rFonts w:hint="eastAsia" w:ascii="宋体" w:hAnsi="宋体" w:cs="宋体"/>
                <w:sz w:val="22"/>
              </w:rPr>
              <w:t>、单价在</w:t>
            </w:r>
            <w:r>
              <w:rPr>
                <w:rFonts w:ascii="宋体" w:hAnsi="宋体" w:cs="宋体"/>
                <w:sz w:val="22"/>
              </w:rPr>
              <w:t>50</w:t>
            </w:r>
            <w:r>
              <w:rPr>
                <w:rFonts w:hint="eastAsia" w:ascii="宋体" w:hAnsi="宋体" w:cs="宋体"/>
                <w:sz w:val="22"/>
              </w:rPr>
              <w:t>万元以上的设备</w:t>
            </w:r>
          </w:p>
        </w:tc>
        <w:tc>
          <w:tcPr>
            <w:tcW w:w="4933" w:type="dxa"/>
            <w:vAlign w:val="center"/>
          </w:tcPr>
          <w:p>
            <w:pPr>
              <w:pStyle w:val="15"/>
              <w:ind w:firstLine="0" w:firstLineChars="0"/>
            </w:pPr>
            <w:r>
              <w:rPr>
                <w:rFonts w:hint="eastAsia"/>
              </w:rPr>
              <w:t>1</w:t>
            </w:r>
          </w:p>
        </w:tc>
        <w:tc>
          <w:tcPr>
            <w:tcW w:w="4933" w:type="dxa"/>
            <w:vAlign w:val="center"/>
          </w:tcPr>
          <w:p>
            <w:pPr>
              <w:pStyle w:val="13"/>
              <w:ind w:firstLine="0" w:firstLineChars="0"/>
            </w:pPr>
            <w:r>
              <w:rPr>
                <w:rFonts w:hint="eastAsia"/>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4933" w:type="dxa"/>
            <w:vAlign w:val="center"/>
          </w:tcPr>
          <w:p>
            <w:pPr>
              <w:pStyle w:val="14"/>
            </w:pPr>
            <w:r>
              <w:rPr>
                <w:rFonts w:ascii="宋体" w:hAnsi="宋体" w:cs="宋体"/>
                <w:sz w:val="22"/>
              </w:rPr>
              <w:t>4</w:t>
            </w:r>
            <w:r>
              <w:rPr>
                <w:rFonts w:hint="eastAsia" w:ascii="宋体" w:hAnsi="宋体" w:cs="宋体"/>
                <w:sz w:val="22"/>
              </w:rPr>
              <w:t>、其他固定资产</w:t>
            </w:r>
          </w:p>
        </w:tc>
        <w:tc>
          <w:tcPr>
            <w:tcW w:w="4933" w:type="dxa"/>
            <w:vAlign w:val="center"/>
          </w:tcPr>
          <w:p>
            <w:pPr>
              <w:pStyle w:val="15"/>
              <w:rPr>
                <w:rFonts w:hint="eastAsia" w:eastAsia="宋体"/>
                <w:lang w:val="en-US" w:eastAsia="zh-CN"/>
              </w:rPr>
            </w:pPr>
            <w:r>
              <w:rPr>
                <w:rFonts w:hint="eastAsia"/>
                <w:lang w:val="en-US" w:eastAsia="zh-CN"/>
              </w:rPr>
              <w:t>655</w:t>
            </w:r>
          </w:p>
        </w:tc>
        <w:tc>
          <w:tcPr>
            <w:tcW w:w="4933" w:type="dxa"/>
            <w:vAlign w:val="center"/>
          </w:tcPr>
          <w:p>
            <w:pPr>
              <w:pStyle w:val="13"/>
              <w:rPr>
                <w:rFonts w:hint="eastAsia" w:eastAsia="宋体"/>
                <w:lang w:val="en-US" w:eastAsia="zh-CN"/>
              </w:rPr>
            </w:pPr>
            <w:r>
              <w:rPr>
                <w:rFonts w:hint="eastAsia"/>
                <w:lang w:val="en-US" w:eastAsia="zh-CN"/>
              </w:rPr>
              <w:t>1910.4</w:t>
            </w:r>
          </w:p>
        </w:tc>
      </w:tr>
    </w:tbl>
    <w:p>
      <w:pPr>
        <w:spacing w:before="0" w:after="0"/>
        <w:ind w:firstLine="640"/>
        <w:jc w:val="left"/>
        <w:outlineLvl w:val="9"/>
      </w:pPr>
      <w:r>
        <w:rPr>
          <w:color w:val="000000"/>
          <w:sz w:val="32"/>
        </w:rPr>
        <w:t xml:space="preserve"> </w:t>
      </w:r>
    </w:p>
    <w:p>
      <w:pPr>
        <w:spacing w:before="10" w:after="10" w:line="240" w:lineRule="auto"/>
        <w:ind w:firstLine="640"/>
        <w:jc w:val="left"/>
        <w:outlineLvl w:val="2"/>
      </w:pPr>
      <w:bookmarkStart w:id="20" w:name="_Toc16175"/>
      <w:r>
        <w:rPr>
          <w:color w:val="000000"/>
          <w:sz w:val="32"/>
        </w:rPr>
        <w:t>十、名词解释</w:t>
      </w:r>
      <w:bookmarkEnd w:id="20"/>
    </w:p>
    <w:p>
      <w:pPr>
        <w:spacing w:before="0" w:after="0" w:line="500" w:lineRule="exact"/>
        <w:ind w:firstLine="560"/>
        <w:jc w:val="left"/>
        <w:outlineLvl w:val="9"/>
      </w:pPr>
      <w:r>
        <w:rPr>
          <w:b w:val="0"/>
          <w:color w:val="000000"/>
          <w:sz w:val="28"/>
        </w:rPr>
        <w:t>1、</w:t>
      </w:r>
      <w:r>
        <w:rPr>
          <w:b/>
          <w:color w:val="000000"/>
          <w:sz w:val="28"/>
        </w:rPr>
        <w:t>财政拨款收入：</w:t>
      </w:r>
      <w:r>
        <w:rPr>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b w:val="0"/>
          <w:color w:val="000000"/>
          <w:sz w:val="28"/>
        </w:rPr>
        <w:t>2、</w:t>
      </w:r>
      <w:r>
        <w:rPr>
          <w:b/>
          <w:color w:val="000000"/>
          <w:sz w:val="28"/>
        </w:rPr>
        <w:t>财政专户管理资金收入：</w:t>
      </w:r>
      <w:r>
        <w:rPr>
          <w:b w:val="0"/>
          <w:color w:val="000000"/>
          <w:sz w:val="28"/>
        </w:rPr>
        <w:t>缴入财政专户、实行专项管理的教育收费收入。</w:t>
      </w:r>
    </w:p>
    <w:p>
      <w:pPr>
        <w:spacing w:before="0" w:after="0" w:line="500" w:lineRule="exact"/>
        <w:ind w:firstLine="560"/>
        <w:jc w:val="left"/>
        <w:outlineLvl w:val="9"/>
      </w:pPr>
      <w:r>
        <w:rPr>
          <w:b w:val="0"/>
          <w:color w:val="000000"/>
          <w:sz w:val="28"/>
        </w:rPr>
        <w:t>3、</w:t>
      </w:r>
      <w:r>
        <w:rPr>
          <w:b/>
          <w:color w:val="000000"/>
          <w:sz w:val="28"/>
        </w:rPr>
        <w:t>单位资金收入：</w:t>
      </w:r>
      <w:r>
        <w:rPr>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b w:val="0"/>
          <w:color w:val="000000"/>
          <w:sz w:val="28"/>
        </w:rPr>
        <w:t>4、</w:t>
      </w:r>
      <w:r>
        <w:rPr>
          <w:b/>
          <w:color w:val="000000"/>
          <w:sz w:val="28"/>
        </w:rPr>
        <w:t>事业收入：</w:t>
      </w:r>
      <w:r>
        <w:rPr>
          <w:b w:val="0"/>
          <w:color w:val="000000"/>
          <w:sz w:val="28"/>
        </w:rPr>
        <w:t>指事业单位开展专业业务活动及辅助活动所取得的收入。</w:t>
      </w:r>
    </w:p>
    <w:p>
      <w:pPr>
        <w:spacing w:before="0" w:after="0" w:line="500" w:lineRule="exact"/>
        <w:ind w:firstLine="560"/>
        <w:jc w:val="left"/>
        <w:outlineLvl w:val="9"/>
      </w:pPr>
      <w:r>
        <w:rPr>
          <w:b w:val="0"/>
          <w:color w:val="000000"/>
          <w:sz w:val="28"/>
        </w:rPr>
        <w:t>5、</w:t>
      </w:r>
      <w:r>
        <w:rPr>
          <w:b/>
          <w:color w:val="000000"/>
          <w:sz w:val="28"/>
        </w:rPr>
        <w:t>事业单位经营收入：</w:t>
      </w:r>
      <w:r>
        <w:rPr>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b w:val="0"/>
          <w:color w:val="000000"/>
          <w:sz w:val="28"/>
        </w:rPr>
        <w:t>6、</w:t>
      </w:r>
      <w:r>
        <w:rPr>
          <w:b/>
          <w:color w:val="000000"/>
          <w:sz w:val="28"/>
        </w:rPr>
        <w:t>上年结转：</w:t>
      </w:r>
      <w:r>
        <w:rPr>
          <w:b w:val="0"/>
          <w:color w:val="000000"/>
          <w:sz w:val="28"/>
        </w:rPr>
        <w:t>指以前年度安排、结转到本年仍按原规定用途继续使用的资金。</w:t>
      </w:r>
    </w:p>
    <w:p>
      <w:pPr>
        <w:spacing w:before="0" w:after="0" w:line="500" w:lineRule="exact"/>
        <w:ind w:firstLine="560"/>
        <w:jc w:val="left"/>
        <w:outlineLvl w:val="9"/>
      </w:pPr>
      <w:r>
        <w:rPr>
          <w:b w:val="0"/>
          <w:color w:val="000000"/>
          <w:sz w:val="28"/>
        </w:rPr>
        <w:t>7、</w:t>
      </w:r>
      <w:r>
        <w:rPr>
          <w:b/>
          <w:color w:val="000000"/>
          <w:sz w:val="28"/>
        </w:rPr>
        <w:t>部门预算支出：</w:t>
      </w:r>
      <w:r>
        <w:rPr>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b w:val="0"/>
          <w:color w:val="000000"/>
          <w:sz w:val="28"/>
        </w:rPr>
        <w:t>8、</w:t>
      </w:r>
      <w:r>
        <w:rPr>
          <w:b/>
          <w:color w:val="000000"/>
          <w:sz w:val="28"/>
        </w:rPr>
        <w:t>事业单位经营支出：</w:t>
      </w:r>
      <w:r>
        <w:rPr>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b w:val="0"/>
          <w:color w:val="000000"/>
          <w:sz w:val="28"/>
        </w:rPr>
        <w:t>9、</w:t>
      </w:r>
      <w:r>
        <w:rPr>
          <w:b/>
          <w:color w:val="000000"/>
          <w:sz w:val="28"/>
        </w:rPr>
        <w:t>“三公”经费：</w:t>
      </w:r>
      <w:r>
        <w:rPr>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b w:val="0"/>
          <w:color w:val="000000"/>
          <w:sz w:val="28"/>
        </w:rPr>
        <w:t>10、</w:t>
      </w:r>
      <w:r>
        <w:rPr>
          <w:b/>
          <w:color w:val="000000"/>
          <w:sz w:val="28"/>
        </w:rPr>
        <w:t>机关运行经费：</w:t>
      </w:r>
      <w:r>
        <w:rPr>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1" w:name="_Toc2553"/>
      <w:r>
        <w:rPr>
          <w:color w:val="000000"/>
          <w:sz w:val="32"/>
        </w:rPr>
        <w:t>十一、其他需要说明的事项</w:t>
      </w:r>
      <w:bookmarkEnd w:id="21"/>
    </w:p>
    <w:p>
      <w:pPr>
        <w:spacing w:before="0" w:after="0" w:line="500" w:lineRule="exact"/>
        <w:ind w:firstLine="560"/>
        <w:jc w:val="left"/>
        <w:outlineLvl w:val="9"/>
      </w:pPr>
      <w:r>
        <w:rPr>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锟斤拷锟脚猴拷">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楷体_GB2312"/>
    <w:panose1 w:val="00000000000000000000"/>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2"/>
      <w:numFmt w:val="chineseCounting"/>
      <w:suff w:val="nothing"/>
      <w:lvlText w:val="%1、"/>
      <w:lvlJc w:val="left"/>
    </w:lvl>
  </w:abstractNum>
  <w:abstractNum w:abstractNumId="1">
    <w:nsid w:val="0000000B"/>
    <w:multiLevelType w:val="singleLevel"/>
    <w:tmpl w:val="0000000B"/>
    <w:lvl w:ilvl="0" w:tentative="0">
      <w:start w:val="8"/>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312C180B"/>
    <w:rsid w:val="A6F74A4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toc 2"/>
    <w:basedOn w:val="1"/>
    <w:next w:val="1"/>
    <w:qFormat/>
    <w:uiPriority w:val="0"/>
    <w:pPr>
      <w:ind w:left="420" w:leftChars="200"/>
    </w:pPr>
  </w:style>
  <w:style w:type="paragraph" w:customStyle="1" w:styleId="9">
    <w:name w:val="单元格样式22"/>
    <w:basedOn w:val="1"/>
    <w:qFormat/>
    <w:uiPriority w:val="0"/>
    <w:pPr>
      <w:spacing w:before="0" w:after="0"/>
      <w:ind w:firstLine="0"/>
      <w:jc w:val="right"/>
      <w:outlineLvl w:val="9"/>
    </w:pPr>
    <w:rPr>
      <w:sz w:val="24"/>
    </w:rPr>
  </w:style>
  <w:style w:type="paragraph" w:customStyle="1" w:styleId="10">
    <w:name w:val="单元格样式21"/>
    <w:basedOn w:val="1"/>
    <w:qFormat/>
    <w:uiPriority w:val="0"/>
    <w:pPr>
      <w:spacing w:before="0" w:after="0"/>
      <w:ind w:firstLine="0"/>
      <w:jc w:val="center"/>
      <w:outlineLvl w:val="9"/>
    </w:pPr>
    <w:rPr>
      <w:sz w:val="24"/>
    </w:rPr>
  </w:style>
  <w:style w:type="paragraph" w:customStyle="1" w:styleId="11">
    <w:name w:val="单元格样式20"/>
    <w:basedOn w:val="1"/>
    <w:qFormat/>
    <w:uiPriority w:val="0"/>
    <w:pPr>
      <w:spacing w:before="0" w:after="0"/>
      <w:ind w:firstLine="0"/>
      <w:jc w:val="left"/>
      <w:outlineLvl w:val="9"/>
    </w:pPr>
    <w:rPr>
      <w:sz w:val="24"/>
    </w:rPr>
  </w:style>
  <w:style w:type="paragraph" w:customStyle="1" w:styleId="12">
    <w:name w:val="单元格样式1"/>
    <w:basedOn w:val="1"/>
    <w:qFormat/>
    <w:uiPriority w:val="0"/>
    <w:pPr>
      <w:spacing w:before="0" w:after="0"/>
      <w:ind w:firstLine="0"/>
      <w:jc w:val="center"/>
      <w:outlineLvl w:val="9"/>
    </w:pPr>
    <w:rPr>
      <w:b/>
      <w:sz w:val="21"/>
    </w:rPr>
  </w:style>
  <w:style w:type="paragraph" w:customStyle="1" w:styleId="13">
    <w:name w:val="单元格样式4"/>
    <w:basedOn w:val="1"/>
    <w:qFormat/>
    <w:uiPriority w:val="0"/>
    <w:pPr>
      <w:spacing w:before="0" w:after="0"/>
      <w:ind w:firstLine="0"/>
      <w:jc w:val="right"/>
      <w:outlineLvl w:val="9"/>
    </w:pPr>
    <w:rPr>
      <w:sz w:val="21"/>
    </w:rPr>
  </w:style>
  <w:style w:type="paragraph" w:customStyle="1" w:styleId="14">
    <w:name w:val="单元格样式2"/>
    <w:basedOn w:val="1"/>
    <w:qFormat/>
    <w:uiPriority w:val="0"/>
    <w:pPr>
      <w:spacing w:before="0" w:after="0"/>
      <w:ind w:firstLine="0"/>
      <w:jc w:val="left"/>
      <w:outlineLvl w:val="9"/>
    </w:pPr>
    <w:rPr>
      <w:sz w:val="21"/>
    </w:rPr>
  </w:style>
  <w:style w:type="paragraph" w:customStyle="1" w:styleId="15">
    <w:name w:val="单元格样式3"/>
    <w:basedOn w:val="1"/>
    <w:qFormat/>
    <w:uiPriority w:val="0"/>
    <w:pPr>
      <w:spacing w:before="0" w:after="0"/>
      <w:ind w:firstLine="0"/>
      <w:jc w:val="center"/>
      <w:outlineLvl w:val="9"/>
    </w:pPr>
    <w:rPr>
      <w:sz w:val="21"/>
    </w:rPr>
  </w:style>
  <w:style w:type="paragraph" w:customStyle="1" w:styleId="16">
    <w:name w:val="单元格样式6"/>
    <w:basedOn w:val="1"/>
    <w:qFormat/>
    <w:uiPriority w:val="0"/>
    <w:pPr>
      <w:spacing w:before="0" w:after="0"/>
      <w:ind w:firstLine="0"/>
      <w:jc w:val="center"/>
      <w:outlineLvl w:val="9"/>
    </w:pPr>
    <w:rPr>
      <w:b/>
      <w:sz w:val="21"/>
    </w:rPr>
  </w:style>
  <w:style w:type="paragraph" w:customStyle="1" w:styleId="17">
    <w:name w:val="单元格样式7"/>
    <w:basedOn w:val="1"/>
    <w:qFormat/>
    <w:uiPriority w:val="0"/>
    <w:pPr>
      <w:spacing w:before="0" w:after="0"/>
      <w:ind w:firstLine="0"/>
      <w:jc w:val="right"/>
      <w:outlineLvl w:val="9"/>
    </w:pPr>
    <w:rPr>
      <w:b/>
      <w:sz w:val="21"/>
    </w:rPr>
  </w:style>
  <w:style w:type="paragraph" w:customStyle="1" w:styleId="18">
    <w:name w:val="单元格样式5"/>
    <w:basedOn w:val="1"/>
    <w:qFormat/>
    <w:uiPriority w:val="0"/>
    <w:pPr>
      <w:spacing w:before="0" w:after="0"/>
      <w:ind w:firstLine="0"/>
      <w:jc w:val="left"/>
      <w:outlineLvl w:val="9"/>
    </w:pPr>
    <w:rPr>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sz w:val="28"/>
    </w:rPr>
  </w:style>
  <w:style w:type="paragraph" w:customStyle="1" w:styleId="26">
    <w:name w:val="单元格样式23"/>
    <w:basedOn w:val="1"/>
    <w:qFormat/>
    <w:uiPriority w:val="0"/>
    <w:pPr>
      <w:spacing w:before="0" w:after="0"/>
      <w:ind w:firstLine="0"/>
      <w:jc w:val="right"/>
      <w:outlineLvl w:val="9"/>
    </w:pPr>
    <w:rPr>
      <w:sz w:val="24"/>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1"/>
    <w:basedOn w:val="1"/>
    <w:qFormat/>
    <w:uiPriority w:val="0"/>
    <w:pPr>
      <w:spacing w:before="120" w:line="240" w:lineRule="auto"/>
      <w:ind w:firstLine="560"/>
    </w:pPr>
    <w:rPr>
      <w:color w:val="000000"/>
      <w:sz w:val="28"/>
      <w:lang w:val="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7</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2024-02-24T06:56:00Z</dcterms:created>
  <dc:creator>langchao</dc:creator>
  <cp:lastModifiedBy>Administrator</cp:lastModifiedBy>
  <dcterms:modified xsi:type="dcterms:W3CDTF">2024-03-21T03:22:45Z</dcterms:modified>
  <dc:title>2024年部门预算信息公开目录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C0DDECEDC5B24C54900494B9778F059C</vt:lpwstr>
  </property>
</Properties>
</file>