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hint="eastAsia" w:ascii="黑体" w:hAnsi="黑体" w:eastAsia="黑体" w:cs="黑体"/>
          <w:b/>
          <w:color w:val="000000"/>
          <w:sz w:val="44"/>
          <w:lang w:eastAsia="zh-CN"/>
        </w:rPr>
        <w:t>成安县纪律检查委员会</w:t>
      </w: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bookmarkStart w:id="0" w:name="_Toc_4_4_0000000001"/>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2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asciiTheme="minorEastAsia" w:hAnsiTheme="minorEastAsia" w:eastAsiaTheme="minorEastAsia"/>
          <w:lang w:eastAsia="zh-CN"/>
        </w:rPr>
        <w:t>7</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asciiTheme="minorEastAsia" w:hAnsiTheme="minorEastAsia" w:eastAsiaTheme="minorEastAsia"/>
          <w:lang w:eastAsia="zh-CN"/>
        </w:rPr>
        <w:t>8</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asciiTheme="minorEastAsia" w:hAnsiTheme="minorEastAsia" w:eastAsiaTheme="minorEastAsia"/>
          <w:lang w:eastAsia="zh-CN"/>
        </w:rPr>
        <w:t>10</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asciiTheme="minorEastAsia" w:hAnsiTheme="minorEastAsia" w:eastAsiaTheme="minorEastAsia"/>
          <w:lang w:eastAsia="zh-CN"/>
        </w:rPr>
        <w:t>11</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"_Toc_2_2_0000000007" </w:instrText>
      </w:r>
      <w:r>
        <w:fldChar w:fldCharType="separate"/>
      </w:r>
      <w:r>
        <w:rPr>
          <w:rFonts w:hint="eastAsia"/>
        </w:rPr>
        <w:t>单位</w:t>
      </w:r>
      <w:r>
        <w:t>预算政府性基金预算财政拨款支出表</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asciiTheme="minorEastAsia" w:hAnsiTheme="minorEastAsia" w:eastAsiaTheme="minorEastAsia"/>
          <w:lang w:eastAsia="zh-CN"/>
        </w:rPr>
        <w:t>14</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2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asciiTheme="minorEastAsia" w:hAnsiTheme="minorEastAsia" w:eastAsiaTheme="minorEastAsia"/>
          <w:lang w:eastAsia="zh-CN"/>
        </w:rPr>
        <w:t>19</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asciiTheme="minorEastAsia" w:hAnsiTheme="minorEastAsia" w:eastAsiaTheme="minorEastAsia"/>
          <w:lang w:eastAsia="zh-CN"/>
        </w:rPr>
        <w:t>19</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Theme="minorEastAsia" w:hAnsiTheme="minorEastAsia" w:eastAsiaTheme="minorEastAsia"/>
          <w:lang w:eastAsia="zh-CN"/>
        </w:rPr>
        <w:t>20</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asciiTheme="minorEastAsia" w:hAnsiTheme="minorEastAsia" w:eastAsiaTheme="minorEastAsia"/>
          <w:lang w:eastAsia="zh-CN"/>
        </w:rPr>
        <w:t>20</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"_Toc_3_3_0000000014" </w:instrText>
      </w:r>
      <w:r>
        <w:fldChar w:fldCharType="separate"/>
      </w:r>
      <w:r>
        <w:t>五、</w:t>
      </w:r>
      <w:r>
        <w:rPr>
          <w:rFonts w:hint="eastAsia"/>
        </w:rPr>
        <w:t>单位</w:t>
      </w:r>
      <w:r>
        <w:t>整体绩效目标</w:t>
      </w:r>
      <w:r>
        <w:tab/>
      </w:r>
      <w:r>
        <w:rPr>
          <w:rFonts w:hint="eastAsia" w:asciiTheme="minorEastAsia" w:hAnsiTheme="minorEastAsia" w:eastAsiaTheme="minorEastAsia"/>
          <w:lang w:eastAsia="zh-CN"/>
        </w:rPr>
        <w:t>20</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eastAsia" w:asciiTheme="minorEastAsia" w:hAnsiTheme="minorEastAsia" w:eastAsiaTheme="minorEastAsia"/>
          <w:lang w:eastAsia="zh-CN"/>
        </w:rPr>
        <w:t>28</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asciiTheme="minorEastAsia" w:hAnsiTheme="minorEastAsia" w:eastAsiaTheme="minorEastAsia"/>
          <w:lang w:eastAsia="zh-CN"/>
        </w:rPr>
        <w:t>28</w:t>
      </w:r>
      <w:r>
        <w:rPr>
          <w:rFonts w:hint="eastAsia" w:asciiTheme="minorEastAsia" w:hAnsiTheme="minorEastAsia" w:eastAsiaTheme="minorEastAsia"/>
          <w:lang w:eastAsia="zh-CN"/>
        </w:rPr>
        <w:fldChar w:fldCharType="end"/>
      </w:r>
    </w:p>
    <w:p>
      <w:pPr>
        <w:pStyle w:val="24"/>
        <w:tabs>
          <w:tab w:val="right" w:leader="dot" w:pos="14562"/>
        </w:tabs>
        <w:rPr>
          <w:lang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eastAsia="zh-CN"/>
        </w:rPr>
        <w:t>2</w:t>
      </w:r>
      <w:r>
        <w:rPr>
          <w:rFonts w:hint="eastAsia" w:asciiTheme="minorEastAsia" w:hAnsiTheme="minorEastAsia" w:eastAsiaTheme="minorEastAsia"/>
          <w:lang w:eastAsia="zh-CN"/>
        </w:rPr>
        <w:t>9</w:t>
      </w:r>
      <w:r>
        <w:rPr>
          <w:rFonts w:hint="eastAsia" w:asciiTheme="minorEastAsia" w:hAnsiTheme="minorEastAsia" w:eastAsiaTheme="minorEastAsia"/>
          <w:lang w:eastAsia="zh-CN"/>
        </w:rPr>
        <w:fldChar w:fldCharType="end"/>
      </w:r>
    </w:p>
    <w:p>
      <w:pPr>
        <w:pStyle w:val="24"/>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asciiTheme="minorEastAsia" w:hAnsiTheme="minorEastAsia" w:eastAsiaTheme="minorEastAsia"/>
          <w:lang w:eastAsia="zh-CN"/>
        </w:rPr>
        <w:t>29</w:t>
      </w:r>
      <w:r>
        <w:rPr>
          <w:rFonts w:hint="eastAsia" w:asciiTheme="minorEastAsia" w:hAnsiTheme="minorEastAsia" w:eastAsiaTheme="minorEastAsia"/>
          <w:lang w:eastAsia="zh-CN"/>
        </w:rPr>
        <w:fldChar w:fldCharType="end"/>
      </w:r>
    </w:p>
    <w:p>
      <w:pPr>
        <w:jc w:val="center"/>
        <w:outlineLvl w:val="3"/>
        <w:rPr>
          <w:rFonts w:eastAsiaTheme="minorEastAsia"/>
          <w:lang w:eastAsia="zh-CN"/>
        </w:rPr>
      </w:pPr>
      <w:r>
        <w:fldChar w:fldCharType="end"/>
      </w: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rPr>
          <w:rFonts w:eastAsiaTheme="minorEastAsia"/>
          <w:lang w:eastAsia="zh-CN"/>
        </w:rPr>
      </w:pPr>
    </w:p>
    <w:p>
      <w:pPr>
        <w:jc w:val="center"/>
        <w:outlineLvl w:val="3"/>
      </w:pPr>
      <w:r>
        <w:rPr>
          <w:rFonts w:ascii="方正小标宋_GBK" w:hAnsi="方正小标宋_GBK" w:eastAsia="方正小标宋_GBK" w:cs="方正小标宋_GBK"/>
          <w:color w:val="000000"/>
          <w:sz w:val="44"/>
        </w:rPr>
        <w:t>一、成安县纪律检查委员会本级收支预算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w:t>
            </w:r>
            <w:r>
              <w:rPr>
                <w:rFonts w:hint="eastAsia" w:asciiTheme="minorEastAsia" w:hAnsiTheme="minorEastAsia" w:eastAsiaTheme="minorEastAsia"/>
                <w:lang w:eastAsia="zh-CN"/>
              </w:rPr>
              <w:t>355.64</w:t>
            </w:r>
          </w:p>
        </w:tc>
        <w:tc>
          <w:tcPr>
            <w:tcW w:w="4535" w:type="dxa"/>
            <w:vAlign w:val="center"/>
          </w:tcPr>
          <w:p>
            <w:pPr>
              <w:pStyle w:val="13"/>
            </w:pPr>
            <w:r>
              <w:t>一、一般公共服务支出</w:t>
            </w:r>
          </w:p>
        </w:tc>
        <w:tc>
          <w:tcPr>
            <w:tcW w:w="2126" w:type="dxa"/>
            <w:vAlign w:val="center"/>
          </w:tcPr>
          <w:p>
            <w:pPr>
              <w:pStyle w:val="12"/>
            </w:pPr>
            <w:r>
              <w:t>1</w:t>
            </w:r>
            <w:r>
              <w:rPr>
                <w:rFonts w:hint="eastAsia" w:asciiTheme="minorEastAsia" w:hAnsiTheme="minorEastAsia" w:eastAsiaTheme="minorEastAsia"/>
                <w:lang w:eastAsia="zh-CN"/>
              </w:rPr>
              <w:t>085.67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w:t>
            </w:r>
            <w:r>
              <w:rPr>
                <w:rFonts w:hint="eastAsia" w:asciiTheme="minorEastAsia" w:hAnsiTheme="minorEastAsia" w:eastAsiaTheme="minorEastAsia"/>
                <w:lang w:eastAsia="zh-CN"/>
              </w:rPr>
              <w:t>355.64</w:t>
            </w:r>
          </w:p>
        </w:tc>
        <w:tc>
          <w:tcPr>
            <w:tcW w:w="4535" w:type="dxa"/>
            <w:vAlign w:val="center"/>
          </w:tcPr>
          <w:p>
            <w:pPr>
              <w:pStyle w:val="15"/>
            </w:pPr>
            <w:r>
              <w:t>本年支出合计</w:t>
            </w:r>
          </w:p>
        </w:tc>
        <w:tc>
          <w:tcPr>
            <w:tcW w:w="2126" w:type="dxa"/>
            <w:vAlign w:val="center"/>
          </w:tcPr>
          <w:p>
            <w:pPr>
              <w:pStyle w:val="16"/>
            </w:pPr>
            <w:r>
              <w:t>1</w:t>
            </w:r>
            <w:r>
              <w:rPr>
                <w:rFonts w:hint="eastAsia" w:asciiTheme="minorEastAsia" w:hAnsiTheme="minorEastAsia" w:eastAsiaTheme="minorEastAsia"/>
                <w:lang w:eastAsia="zh-CN"/>
              </w:rPr>
              <w:t>355.64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rPr>
                <w:rFonts w:hint="eastAsia" w:eastAsiaTheme="minorEastAsia"/>
                <w:lang w:eastAsia="zh-CN"/>
              </w:rPr>
            </w:pPr>
            <w:r>
              <w:t>1</w:t>
            </w:r>
            <w:r>
              <w:rPr>
                <w:rFonts w:hint="eastAsia" w:asciiTheme="minorEastAsia" w:hAnsiTheme="minorEastAsia" w:eastAsiaTheme="minorEastAsia"/>
                <w:lang w:eastAsia="zh-CN"/>
              </w:rPr>
              <w:t>355.64</w:t>
            </w:r>
          </w:p>
        </w:tc>
        <w:tc>
          <w:tcPr>
            <w:tcW w:w="4535" w:type="dxa"/>
            <w:vAlign w:val="center"/>
          </w:tcPr>
          <w:p>
            <w:pPr>
              <w:pStyle w:val="15"/>
            </w:pPr>
            <w:r>
              <w:t>支出总计</w:t>
            </w:r>
          </w:p>
        </w:tc>
        <w:tc>
          <w:tcPr>
            <w:tcW w:w="2126" w:type="dxa"/>
            <w:vAlign w:val="center"/>
          </w:tcPr>
          <w:p>
            <w:pPr>
              <w:pStyle w:val="16"/>
            </w:pPr>
            <w:r>
              <w:t>1</w:t>
            </w:r>
            <w:r>
              <w:rPr>
                <w:rFonts w:hint="eastAsia" w:asciiTheme="minorEastAsia" w:hAnsiTheme="minorEastAsia" w:eastAsiaTheme="minorEastAsia"/>
                <w:lang w:eastAsia="zh-CN"/>
              </w:rPr>
              <w:t>355.64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w:t>
            </w:r>
            <w:r>
              <w:rPr>
                <w:rFonts w:hint="eastAsia" w:asciiTheme="minorEastAsia" w:hAnsiTheme="minorEastAsia" w:eastAsiaTheme="minorEastAsia"/>
                <w:lang w:eastAsia="zh-CN"/>
              </w:rPr>
              <w:t>355.64</w:t>
            </w:r>
          </w:p>
        </w:tc>
        <w:tc>
          <w:tcPr>
            <w:tcW w:w="1134" w:type="dxa"/>
            <w:vAlign w:val="center"/>
          </w:tcPr>
          <w:p>
            <w:pPr>
              <w:pStyle w:val="16"/>
            </w:pPr>
            <w:r>
              <w:t>1</w:t>
            </w:r>
            <w:r>
              <w:rPr>
                <w:rFonts w:hint="eastAsia" w:asciiTheme="minorEastAsia" w:hAnsiTheme="minorEastAsia" w:eastAsiaTheme="minorEastAsia"/>
                <w:lang w:eastAsia="zh-CN"/>
              </w:rPr>
              <w:t>355.64</w:t>
            </w:r>
          </w:p>
        </w:tc>
        <w:tc>
          <w:tcPr>
            <w:tcW w:w="1134" w:type="dxa"/>
            <w:vAlign w:val="center"/>
          </w:tcPr>
          <w:p>
            <w:pPr>
              <w:pStyle w:val="16"/>
            </w:pPr>
            <w:r>
              <w:t>1</w:t>
            </w:r>
            <w:r>
              <w:rPr>
                <w:rFonts w:hint="eastAsia" w:asciiTheme="minorEastAsia" w:hAnsiTheme="minorEastAsia" w:eastAsiaTheme="minorEastAsia"/>
                <w:lang w:eastAsia="zh-CN"/>
              </w:rPr>
              <w:t>355.64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w:t>
            </w:r>
            <w:r>
              <w:rPr>
                <w:rFonts w:hint="eastAsia" w:asciiTheme="minorEastAsia" w:hAnsiTheme="minorEastAsia" w:eastAsiaTheme="minorEastAsia"/>
                <w:lang w:eastAsia="zh-CN"/>
              </w:rPr>
              <w:t>085.67</w:t>
            </w:r>
          </w:p>
        </w:tc>
        <w:tc>
          <w:tcPr>
            <w:tcW w:w="1134" w:type="dxa"/>
            <w:vAlign w:val="center"/>
          </w:tcPr>
          <w:p>
            <w:pPr>
              <w:pStyle w:val="12"/>
            </w:pPr>
            <w:r>
              <w:t>1</w:t>
            </w:r>
            <w:r>
              <w:rPr>
                <w:rFonts w:hint="eastAsia" w:asciiTheme="minorEastAsia" w:hAnsiTheme="minorEastAsia" w:eastAsiaTheme="minorEastAsia"/>
                <w:lang w:eastAsia="zh-CN"/>
              </w:rPr>
              <w:t>085.67</w:t>
            </w:r>
          </w:p>
        </w:tc>
        <w:tc>
          <w:tcPr>
            <w:tcW w:w="1134" w:type="dxa"/>
            <w:vAlign w:val="center"/>
          </w:tcPr>
          <w:p>
            <w:pPr>
              <w:pStyle w:val="12"/>
            </w:pPr>
            <w:r>
              <w:t>1</w:t>
            </w:r>
            <w:r>
              <w:rPr>
                <w:rFonts w:hint="eastAsia" w:asciiTheme="minorEastAsia" w:hAnsiTheme="minorEastAsia" w:eastAsiaTheme="minorEastAsia"/>
                <w:lang w:eastAsia="zh-CN"/>
              </w:rPr>
              <w:t>085.67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w:t>
            </w:r>
            <w:r>
              <w:rPr>
                <w:rFonts w:hint="eastAsia" w:asciiTheme="minorEastAsia" w:hAnsiTheme="minorEastAsia" w:eastAsiaTheme="minorEastAsia"/>
                <w:lang w:eastAsia="zh-CN"/>
              </w:rPr>
              <w:t>085.67</w:t>
            </w:r>
          </w:p>
        </w:tc>
        <w:tc>
          <w:tcPr>
            <w:tcW w:w="1134" w:type="dxa"/>
            <w:vAlign w:val="center"/>
          </w:tcPr>
          <w:p>
            <w:pPr>
              <w:pStyle w:val="12"/>
            </w:pPr>
            <w:r>
              <w:t>1</w:t>
            </w:r>
            <w:r>
              <w:rPr>
                <w:rFonts w:hint="eastAsia" w:asciiTheme="minorEastAsia" w:hAnsiTheme="minorEastAsia" w:eastAsiaTheme="minorEastAsia"/>
                <w:lang w:eastAsia="zh-CN"/>
              </w:rPr>
              <w:t>085.67</w:t>
            </w:r>
          </w:p>
        </w:tc>
        <w:tc>
          <w:tcPr>
            <w:tcW w:w="1134" w:type="dxa"/>
            <w:vAlign w:val="center"/>
          </w:tcPr>
          <w:p>
            <w:pPr>
              <w:pStyle w:val="12"/>
            </w:pPr>
            <w:r>
              <w:t>1</w:t>
            </w:r>
            <w:r>
              <w:rPr>
                <w:rFonts w:hint="eastAsia" w:asciiTheme="minorEastAsia" w:hAnsiTheme="minorEastAsia" w:eastAsiaTheme="minorEastAsia"/>
                <w:lang w:eastAsia="zh-CN"/>
              </w:rPr>
              <w:t>085.67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1306.07</w:t>
            </w:r>
          </w:p>
        </w:tc>
        <w:tc>
          <w:tcPr>
            <w:tcW w:w="1134" w:type="dxa"/>
            <w:vAlign w:val="center"/>
          </w:tcPr>
          <w:p>
            <w:pPr>
              <w:pStyle w:val="12"/>
            </w:pPr>
            <w:r>
              <w:t>1306.07</w:t>
            </w:r>
          </w:p>
        </w:tc>
        <w:tc>
          <w:tcPr>
            <w:tcW w:w="1134" w:type="dxa"/>
            <w:vAlign w:val="center"/>
          </w:tcPr>
          <w:p>
            <w:pPr>
              <w:pStyle w:val="12"/>
            </w:pPr>
            <w:r>
              <w:t>1306.07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15.63</w:t>
            </w:r>
          </w:p>
        </w:tc>
        <w:tc>
          <w:tcPr>
            <w:tcW w:w="1134" w:type="dxa"/>
            <w:vAlign w:val="center"/>
          </w:tcPr>
          <w:p>
            <w:pPr>
              <w:pStyle w:val="12"/>
            </w:pPr>
            <w:r>
              <w:t>15.63</w:t>
            </w:r>
          </w:p>
        </w:tc>
        <w:tc>
          <w:tcPr>
            <w:tcW w:w="1134" w:type="dxa"/>
            <w:vAlign w:val="center"/>
          </w:tcPr>
          <w:p>
            <w:pPr>
              <w:pStyle w:val="12"/>
            </w:pPr>
            <w:r>
              <w:t>15.63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91.00</w:t>
            </w:r>
          </w:p>
        </w:tc>
        <w:tc>
          <w:tcPr>
            <w:tcW w:w="1134" w:type="dxa"/>
            <w:vAlign w:val="center"/>
          </w:tcPr>
          <w:p>
            <w:pPr>
              <w:pStyle w:val="12"/>
            </w:pPr>
            <w:r>
              <w:t>91.00</w:t>
            </w:r>
          </w:p>
        </w:tc>
        <w:tc>
          <w:tcPr>
            <w:tcW w:w="1134" w:type="dxa"/>
            <w:vAlign w:val="center"/>
          </w:tcPr>
          <w:p>
            <w:pPr>
              <w:pStyle w:val="12"/>
            </w:pPr>
            <w:r>
              <w:t>91.00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w:t>
            </w:r>
            <w:r>
              <w:rPr>
                <w:rFonts w:hint="eastAsia" w:asciiTheme="minorEastAsia" w:hAnsiTheme="minorEastAsia" w:eastAsiaTheme="minorEastAsia"/>
                <w:lang w:eastAsia="zh-CN"/>
              </w:rPr>
              <w:t>355.64</w:t>
            </w:r>
          </w:p>
        </w:tc>
        <w:tc>
          <w:tcPr>
            <w:tcW w:w="1361" w:type="dxa"/>
            <w:vAlign w:val="center"/>
          </w:tcPr>
          <w:p>
            <w:pPr>
              <w:pStyle w:val="16"/>
            </w:pPr>
            <w:r>
              <w:t>1</w:t>
            </w:r>
            <w:r>
              <w:rPr>
                <w:rFonts w:hint="eastAsia" w:asciiTheme="minorEastAsia" w:hAnsiTheme="minorEastAsia" w:eastAsiaTheme="minorEastAsia"/>
                <w:lang w:eastAsia="zh-CN"/>
              </w:rPr>
              <w:t>210.64</w:t>
            </w:r>
          </w:p>
        </w:tc>
        <w:tc>
          <w:tcPr>
            <w:tcW w:w="1361" w:type="dxa"/>
            <w:vAlign w:val="center"/>
          </w:tcPr>
          <w:p>
            <w:pPr>
              <w:pStyle w:val="16"/>
            </w:pPr>
            <w:r>
              <w:t>145.00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w:t>
            </w:r>
            <w:r>
              <w:rPr>
                <w:rFonts w:hint="eastAsia" w:asciiTheme="minorEastAsia" w:hAnsiTheme="minorEastAsia" w:eastAsiaTheme="minorEastAsia"/>
                <w:lang w:eastAsia="zh-CN"/>
              </w:rPr>
              <w:t>085.67</w:t>
            </w:r>
          </w:p>
        </w:tc>
        <w:tc>
          <w:tcPr>
            <w:tcW w:w="1361" w:type="dxa"/>
            <w:vAlign w:val="center"/>
          </w:tcPr>
          <w:p>
            <w:pPr>
              <w:pStyle w:val="12"/>
            </w:pPr>
            <w:r>
              <w:t>1306.07</w:t>
            </w: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w:t>
            </w:r>
            <w:r>
              <w:rPr>
                <w:rFonts w:hint="eastAsia" w:asciiTheme="minorEastAsia" w:hAnsiTheme="minorEastAsia" w:eastAsiaTheme="minorEastAsia"/>
                <w:lang w:eastAsia="zh-CN"/>
              </w:rPr>
              <w:t>085.67</w:t>
            </w:r>
          </w:p>
        </w:tc>
        <w:tc>
          <w:tcPr>
            <w:tcW w:w="1361" w:type="dxa"/>
            <w:vAlign w:val="center"/>
          </w:tcPr>
          <w:p>
            <w:pPr>
              <w:pStyle w:val="12"/>
            </w:pPr>
            <w:r>
              <w:t>1306.07</w:t>
            </w: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1306.07</w:t>
            </w:r>
          </w:p>
        </w:tc>
        <w:tc>
          <w:tcPr>
            <w:tcW w:w="1361" w:type="dxa"/>
            <w:vAlign w:val="center"/>
          </w:tcPr>
          <w:p>
            <w:pPr>
              <w:pStyle w:val="12"/>
            </w:pPr>
            <w:r>
              <w:t>1306.07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152.03</w:t>
            </w:r>
          </w:p>
        </w:tc>
        <w:tc>
          <w:tcPr>
            <w:tcW w:w="1361" w:type="dxa"/>
            <w:vAlign w:val="center"/>
          </w:tcPr>
          <w:p>
            <w:pPr>
              <w:pStyle w:val="12"/>
            </w:pPr>
            <w:r>
              <w:t>152.03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152.03</w:t>
            </w:r>
          </w:p>
        </w:tc>
        <w:tc>
          <w:tcPr>
            <w:tcW w:w="1361" w:type="dxa"/>
            <w:vAlign w:val="center"/>
          </w:tcPr>
          <w:p>
            <w:pPr>
              <w:pStyle w:val="12"/>
            </w:pPr>
            <w:r>
              <w:t>152.03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15.63</w:t>
            </w:r>
          </w:p>
        </w:tc>
        <w:tc>
          <w:tcPr>
            <w:tcW w:w="1361" w:type="dxa"/>
            <w:vAlign w:val="center"/>
          </w:tcPr>
          <w:p>
            <w:pPr>
              <w:pStyle w:val="12"/>
            </w:pPr>
            <w:r>
              <w:t>15.63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91.00</w:t>
            </w:r>
          </w:p>
        </w:tc>
        <w:tc>
          <w:tcPr>
            <w:tcW w:w="1361" w:type="dxa"/>
            <w:vAlign w:val="center"/>
          </w:tcPr>
          <w:p>
            <w:pPr>
              <w:pStyle w:val="12"/>
            </w:pPr>
            <w:r>
              <w:t>91.00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45.40</w:t>
            </w:r>
          </w:p>
        </w:tc>
        <w:tc>
          <w:tcPr>
            <w:tcW w:w="1361" w:type="dxa"/>
            <w:vAlign w:val="center"/>
          </w:tcPr>
          <w:p>
            <w:pPr>
              <w:pStyle w:val="12"/>
            </w:pPr>
            <w:r>
              <w:t>45.40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48.94</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48.94</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48.94</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69.00</w:t>
            </w:r>
          </w:p>
        </w:tc>
        <w:tc>
          <w:tcPr>
            <w:tcW w:w="1361" w:type="dxa"/>
            <w:vAlign w:val="center"/>
          </w:tcPr>
          <w:p>
            <w:pPr>
              <w:pStyle w:val="12"/>
            </w:pPr>
            <w:r>
              <w:t>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69.00</w:t>
            </w:r>
          </w:p>
        </w:tc>
        <w:tc>
          <w:tcPr>
            <w:tcW w:w="1361" w:type="dxa"/>
            <w:vAlign w:val="center"/>
          </w:tcPr>
          <w:p>
            <w:pPr>
              <w:pStyle w:val="12"/>
            </w:pPr>
            <w:r>
              <w:t>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69.00</w:t>
            </w:r>
          </w:p>
        </w:tc>
        <w:tc>
          <w:tcPr>
            <w:tcW w:w="1361" w:type="dxa"/>
            <w:vAlign w:val="center"/>
          </w:tcPr>
          <w:p>
            <w:pPr>
              <w:pStyle w:val="12"/>
            </w:pPr>
            <w:r>
              <w:t>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w:t>
            </w:r>
            <w:r>
              <w:rPr>
                <w:rFonts w:hint="eastAsia" w:asciiTheme="minorEastAsia" w:hAnsiTheme="minorEastAsia" w:eastAsiaTheme="minorEastAsia"/>
                <w:lang w:eastAsia="zh-CN"/>
              </w:rPr>
              <w:t>355.64</w:t>
            </w:r>
          </w:p>
        </w:tc>
        <w:tc>
          <w:tcPr>
            <w:tcW w:w="3402" w:type="dxa"/>
            <w:vAlign w:val="center"/>
          </w:tcPr>
          <w:p>
            <w:pPr>
              <w:pStyle w:val="13"/>
            </w:pPr>
            <w:r>
              <w:t>一、一般公共服务支出</w:t>
            </w:r>
          </w:p>
        </w:tc>
        <w:tc>
          <w:tcPr>
            <w:tcW w:w="1474" w:type="dxa"/>
            <w:vAlign w:val="center"/>
          </w:tcPr>
          <w:p>
            <w:pPr>
              <w:pStyle w:val="12"/>
            </w:pPr>
            <w:r>
              <w:t>1</w:t>
            </w:r>
            <w:r>
              <w:rPr>
                <w:rFonts w:hint="eastAsia" w:asciiTheme="minorEastAsia" w:hAnsiTheme="minorEastAsia" w:eastAsiaTheme="minorEastAsia"/>
                <w:lang w:eastAsia="zh-CN"/>
              </w:rPr>
              <w:t>085.67</w:t>
            </w:r>
          </w:p>
        </w:tc>
        <w:tc>
          <w:tcPr>
            <w:tcW w:w="1474" w:type="dxa"/>
            <w:vAlign w:val="center"/>
          </w:tcPr>
          <w:p>
            <w:pPr>
              <w:pStyle w:val="12"/>
            </w:pPr>
            <w:r>
              <w:t>1</w:t>
            </w:r>
            <w:r>
              <w:rPr>
                <w:rFonts w:hint="eastAsia" w:asciiTheme="minorEastAsia" w:hAnsiTheme="minorEastAsia" w:eastAsiaTheme="minorEastAsia"/>
                <w:lang w:eastAsia="zh-CN"/>
              </w:rPr>
              <w:t>085.67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152.03</w:t>
            </w:r>
          </w:p>
        </w:tc>
        <w:tc>
          <w:tcPr>
            <w:tcW w:w="1474" w:type="dxa"/>
            <w:vAlign w:val="center"/>
          </w:tcPr>
          <w:p>
            <w:pPr>
              <w:pStyle w:val="12"/>
            </w:pPr>
            <w:r>
              <w:t>152.03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48.94</w:t>
            </w:r>
          </w:p>
        </w:tc>
        <w:tc>
          <w:tcPr>
            <w:tcW w:w="1474" w:type="dxa"/>
            <w:vAlign w:val="center"/>
          </w:tcPr>
          <w:p>
            <w:pPr>
              <w:pStyle w:val="12"/>
            </w:pPr>
            <w:r>
              <w:t>48.94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69.00</w:t>
            </w:r>
          </w:p>
        </w:tc>
        <w:tc>
          <w:tcPr>
            <w:tcW w:w="1474" w:type="dxa"/>
            <w:vAlign w:val="center"/>
          </w:tcPr>
          <w:p>
            <w:pPr>
              <w:pStyle w:val="12"/>
            </w:pPr>
            <w:r>
              <w:t>69.00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3402" w:type="dxa"/>
            <w:vAlign w:val="center"/>
          </w:tcPr>
          <w:p>
            <w:pPr>
              <w:pStyle w:val="15"/>
            </w:pPr>
            <w:r>
              <w:t>本年支出合计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3402" w:type="dxa"/>
            <w:vAlign w:val="center"/>
          </w:tcPr>
          <w:p>
            <w:pPr>
              <w:pStyle w:val="15"/>
            </w:pPr>
            <w:r>
              <w:t>支出总计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w:t>
            </w:r>
            <w:r>
              <w:rPr>
                <w:rFonts w:hint="eastAsia" w:asciiTheme="minorEastAsia" w:hAnsiTheme="minorEastAsia" w:eastAsiaTheme="minorEastAsia"/>
                <w:lang w:eastAsia="zh-CN"/>
              </w:rPr>
              <w:t>355.64</w:t>
            </w:r>
          </w:p>
        </w:tc>
        <w:tc>
          <w:tcPr>
            <w:tcW w:w="2551" w:type="dxa"/>
            <w:vAlign w:val="center"/>
          </w:tcPr>
          <w:p>
            <w:pPr>
              <w:pStyle w:val="16"/>
            </w:pPr>
            <w:r>
              <w:t>1</w:t>
            </w:r>
            <w:r>
              <w:rPr>
                <w:rFonts w:hint="eastAsia" w:asciiTheme="minorEastAsia" w:hAnsiTheme="minorEastAsia" w:eastAsiaTheme="minorEastAsia"/>
                <w:lang w:eastAsia="zh-CN"/>
              </w:rPr>
              <w:t>210.64</w:t>
            </w:r>
          </w:p>
        </w:tc>
        <w:tc>
          <w:tcPr>
            <w:tcW w:w="2551" w:type="dxa"/>
            <w:vAlign w:val="center"/>
          </w:tcPr>
          <w:p>
            <w:pPr>
              <w:pStyle w:val="16"/>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1451.07</w:t>
            </w:r>
          </w:p>
        </w:tc>
        <w:tc>
          <w:tcPr>
            <w:tcW w:w="2551" w:type="dxa"/>
            <w:vAlign w:val="center"/>
          </w:tcPr>
          <w:p>
            <w:pPr>
              <w:pStyle w:val="12"/>
            </w:pPr>
            <w:r>
              <w:t>1306.07</w:t>
            </w: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1451.07</w:t>
            </w:r>
          </w:p>
        </w:tc>
        <w:tc>
          <w:tcPr>
            <w:tcW w:w="2551" w:type="dxa"/>
            <w:vAlign w:val="center"/>
          </w:tcPr>
          <w:p>
            <w:pPr>
              <w:pStyle w:val="12"/>
            </w:pPr>
            <w:r>
              <w:t>1306.07</w:t>
            </w: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1306.07</w:t>
            </w:r>
          </w:p>
        </w:tc>
        <w:tc>
          <w:tcPr>
            <w:tcW w:w="2551" w:type="dxa"/>
            <w:vAlign w:val="center"/>
          </w:tcPr>
          <w:p>
            <w:pPr>
              <w:pStyle w:val="12"/>
            </w:pPr>
            <w:r>
              <w:t>1306.07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145.00</w:t>
            </w:r>
          </w:p>
        </w:tc>
        <w:tc>
          <w:tcPr>
            <w:tcW w:w="2551" w:type="dxa"/>
            <w:vAlign w:val="center"/>
          </w:tcPr>
          <w:p>
            <w:pPr>
              <w:pStyle w:val="12"/>
            </w:pP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152.03</w:t>
            </w:r>
          </w:p>
        </w:tc>
        <w:tc>
          <w:tcPr>
            <w:tcW w:w="2551" w:type="dxa"/>
            <w:vAlign w:val="center"/>
          </w:tcPr>
          <w:p>
            <w:pPr>
              <w:pStyle w:val="12"/>
            </w:pPr>
            <w:r>
              <w:t>152.03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152.03</w:t>
            </w:r>
          </w:p>
        </w:tc>
        <w:tc>
          <w:tcPr>
            <w:tcW w:w="2551" w:type="dxa"/>
            <w:vAlign w:val="center"/>
          </w:tcPr>
          <w:p>
            <w:pPr>
              <w:pStyle w:val="12"/>
            </w:pPr>
            <w:r>
              <w:t>152.03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15.63</w:t>
            </w:r>
          </w:p>
        </w:tc>
        <w:tc>
          <w:tcPr>
            <w:tcW w:w="2551" w:type="dxa"/>
            <w:vAlign w:val="center"/>
          </w:tcPr>
          <w:p>
            <w:pPr>
              <w:pStyle w:val="12"/>
            </w:pPr>
            <w:r>
              <w:t>15.63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91.00</w:t>
            </w:r>
          </w:p>
        </w:tc>
        <w:tc>
          <w:tcPr>
            <w:tcW w:w="2551" w:type="dxa"/>
            <w:vAlign w:val="center"/>
          </w:tcPr>
          <w:p>
            <w:pPr>
              <w:pStyle w:val="12"/>
            </w:pPr>
            <w:r>
              <w:t>91.00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48.94</w:t>
            </w:r>
          </w:p>
        </w:tc>
        <w:tc>
          <w:tcPr>
            <w:tcW w:w="2551" w:type="dxa"/>
            <w:vAlign w:val="center"/>
          </w:tcPr>
          <w:p>
            <w:pPr>
              <w:pStyle w:val="12"/>
            </w:pPr>
            <w:r>
              <w:t>48.94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48.94</w:t>
            </w:r>
          </w:p>
        </w:tc>
        <w:tc>
          <w:tcPr>
            <w:tcW w:w="2551" w:type="dxa"/>
            <w:vAlign w:val="center"/>
          </w:tcPr>
          <w:p>
            <w:pPr>
              <w:pStyle w:val="12"/>
            </w:pPr>
            <w:r>
              <w:t>48.94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48.94</w:t>
            </w:r>
          </w:p>
        </w:tc>
        <w:tc>
          <w:tcPr>
            <w:tcW w:w="2551" w:type="dxa"/>
            <w:vAlign w:val="center"/>
          </w:tcPr>
          <w:p>
            <w:pPr>
              <w:pStyle w:val="12"/>
            </w:pPr>
            <w:r>
              <w:t>48.94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w:t>
            </w:r>
            <w:r>
              <w:rPr>
                <w:rFonts w:hint="eastAsia" w:asciiTheme="minorEastAsia" w:hAnsiTheme="minorEastAsia" w:eastAsiaTheme="minorEastAsia"/>
                <w:lang w:eastAsia="zh-CN"/>
              </w:rPr>
              <w:t>210.64</w:t>
            </w:r>
          </w:p>
        </w:tc>
        <w:tc>
          <w:tcPr>
            <w:tcW w:w="2551" w:type="dxa"/>
            <w:vAlign w:val="center"/>
          </w:tcPr>
          <w:p>
            <w:pPr>
              <w:pStyle w:val="16"/>
            </w:pPr>
            <w:r>
              <w:t>845.24</w:t>
            </w:r>
          </w:p>
        </w:tc>
        <w:tc>
          <w:tcPr>
            <w:tcW w:w="2551" w:type="dxa"/>
            <w:vAlign w:val="center"/>
          </w:tcPr>
          <w:p>
            <w:pPr>
              <w:pStyle w:val="16"/>
            </w:pPr>
            <w:r>
              <w:rPr>
                <w:rFonts w:hint="eastAsia" w:asciiTheme="minorEastAsia" w:hAnsiTheme="minorEastAsia" w:eastAsiaTheme="minorEastAsia"/>
                <w:lang w:eastAsia="zh-CN"/>
              </w:rP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829.61</w:t>
            </w:r>
          </w:p>
        </w:tc>
        <w:tc>
          <w:tcPr>
            <w:tcW w:w="2551" w:type="dxa"/>
            <w:vAlign w:val="center"/>
          </w:tcPr>
          <w:p>
            <w:pPr>
              <w:pStyle w:val="12"/>
            </w:pPr>
            <w:r>
              <w:t>829.61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380.65</w:t>
            </w:r>
          </w:p>
        </w:tc>
        <w:tc>
          <w:tcPr>
            <w:tcW w:w="2551" w:type="dxa"/>
            <w:vAlign w:val="center"/>
          </w:tcPr>
          <w:p>
            <w:pPr>
              <w:pStyle w:val="12"/>
            </w:pPr>
            <w:r>
              <w:t>380.65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73.12</w:t>
            </w:r>
          </w:p>
        </w:tc>
        <w:tc>
          <w:tcPr>
            <w:tcW w:w="2551" w:type="dxa"/>
            <w:vAlign w:val="center"/>
          </w:tcPr>
          <w:p>
            <w:pPr>
              <w:pStyle w:val="12"/>
            </w:pPr>
            <w:r>
              <w:t>73.12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79.16</w:t>
            </w:r>
          </w:p>
        </w:tc>
        <w:tc>
          <w:tcPr>
            <w:tcW w:w="2551" w:type="dxa"/>
            <w:vAlign w:val="center"/>
          </w:tcPr>
          <w:p>
            <w:pPr>
              <w:pStyle w:val="12"/>
            </w:pPr>
            <w:r>
              <w:t>79.16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42.33</w:t>
            </w:r>
          </w:p>
        </w:tc>
        <w:tc>
          <w:tcPr>
            <w:tcW w:w="2551" w:type="dxa"/>
            <w:vAlign w:val="center"/>
          </w:tcPr>
          <w:p>
            <w:pPr>
              <w:pStyle w:val="12"/>
            </w:pPr>
            <w:r>
              <w:t>42.33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91.00</w:t>
            </w:r>
          </w:p>
        </w:tc>
        <w:tc>
          <w:tcPr>
            <w:tcW w:w="2551" w:type="dxa"/>
            <w:vAlign w:val="center"/>
          </w:tcPr>
          <w:p>
            <w:pPr>
              <w:pStyle w:val="12"/>
            </w:pPr>
            <w:r>
              <w:t>91.00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46.50</w:t>
            </w:r>
          </w:p>
        </w:tc>
        <w:tc>
          <w:tcPr>
            <w:tcW w:w="2551" w:type="dxa"/>
            <w:vAlign w:val="center"/>
          </w:tcPr>
          <w:p>
            <w:pPr>
              <w:pStyle w:val="12"/>
            </w:pPr>
            <w:r>
              <w:t>46.50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2.44</w:t>
            </w:r>
          </w:p>
        </w:tc>
        <w:tc>
          <w:tcPr>
            <w:tcW w:w="2551" w:type="dxa"/>
            <w:vAlign w:val="center"/>
          </w:tcPr>
          <w:p>
            <w:pPr>
              <w:pStyle w:val="12"/>
            </w:pPr>
            <w:r>
              <w:t>2.44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rPr>
                <w:rFonts w:hint="eastAsia" w:eastAsiaTheme="minorEastAsia"/>
                <w:lang w:eastAsia="zh-CN"/>
              </w:rPr>
            </w:pPr>
            <w:r>
              <w:rPr>
                <w:rFonts w:hint="eastAsia" w:asciiTheme="minorEastAsia" w:hAnsiTheme="minorEastAsia" w:eastAsiaTheme="minorEastAsia"/>
                <w:lang w:eastAsia="zh-CN"/>
              </w:rPr>
              <w:t>365.4</w:t>
            </w:r>
          </w:p>
        </w:tc>
        <w:tc>
          <w:tcPr>
            <w:tcW w:w="2551" w:type="dxa"/>
            <w:vAlign w:val="center"/>
          </w:tcPr>
          <w:p>
            <w:pPr>
              <w:pStyle w:val="12"/>
            </w:pPr>
          </w:p>
        </w:tc>
        <w:tc>
          <w:tcPr>
            <w:tcW w:w="2551" w:type="dxa"/>
            <w:vAlign w:val="center"/>
          </w:tcPr>
          <w:p>
            <w:pPr>
              <w:pStyle w:val="12"/>
            </w:pPr>
            <w:r>
              <w:rPr>
                <w:rFonts w:hint="eastAsia" w:asciiTheme="minorEastAsia" w:hAnsiTheme="minorEastAsia" w:eastAsiaTheme="minorEastAsia"/>
                <w:lang w:eastAsia="zh-CN"/>
              </w:rP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rPr>
                <w:rFonts w:hint="eastAsia" w:asciiTheme="minorEastAsia" w:hAnsiTheme="minorEastAsia" w:eastAsiaTheme="minorEastAsia"/>
                <w:lang w:eastAsia="zh-CN"/>
              </w:rPr>
              <w:t>37</w:t>
            </w:r>
          </w:p>
        </w:tc>
        <w:tc>
          <w:tcPr>
            <w:tcW w:w="2551" w:type="dxa"/>
            <w:vAlign w:val="center"/>
          </w:tcPr>
          <w:p>
            <w:pPr>
              <w:pStyle w:val="12"/>
            </w:pPr>
          </w:p>
        </w:tc>
        <w:tc>
          <w:tcPr>
            <w:tcW w:w="2551" w:type="dxa"/>
            <w:vAlign w:val="center"/>
          </w:tcPr>
          <w:p>
            <w:pPr>
              <w:pStyle w:val="12"/>
            </w:pPr>
            <w:r>
              <w:rPr>
                <w:rFonts w:hint="eastAsia" w:asciiTheme="minorEastAsia" w:hAnsiTheme="minorEastAsia" w:eastAsiaTheme="minorEastAsia"/>
                <w:lang w:eastAsia="zh-CN"/>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12.50</w:t>
            </w:r>
          </w:p>
        </w:tc>
        <w:tc>
          <w:tcPr>
            <w:tcW w:w="2551" w:type="dxa"/>
            <w:vAlign w:val="center"/>
          </w:tcPr>
          <w:p>
            <w:pPr>
              <w:pStyle w:val="12"/>
            </w:pPr>
          </w:p>
        </w:tc>
        <w:tc>
          <w:tcPr>
            <w:tcW w:w="2551" w:type="dxa"/>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12.90</w:t>
            </w:r>
          </w:p>
        </w:tc>
        <w:tc>
          <w:tcPr>
            <w:tcW w:w="2551" w:type="dxa"/>
            <w:vAlign w:val="center"/>
          </w:tcPr>
          <w:p>
            <w:pPr>
              <w:pStyle w:val="12"/>
            </w:pPr>
          </w:p>
        </w:tc>
        <w:tc>
          <w:tcPr>
            <w:tcW w:w="2551" w:type="dxa"/>
            <w:vAlign w:val="center"/>
          </w:tcPr>
          <w:p>
            <w:pPr>
              <w:pStyle w:val="12"/>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rPr>
                <w:rFonts w:hint="eastAsia" w:asciiTheme="minorEastAsia" w:hAnsiTheme="minorEastAsia" w:eastAsiaTheme="minorEastAsia"/>
                <w:lang w:eastAsia="zh-CN"/>
              </w:rPr>
              <w:t>160.00</w:t>
            </w:r>
          </w:p>
        </w:tc>
        <w:tc>
          <w:tcPr>
            <w:tcW w:w="2551" w:type="dxa"/>
            <w:vAlign w:val="center"/>
          </w:tcPr>
          <w:p>
            <w:pPr>
              <w:pStyle w:val="12"/>
            </w:pPr>
          </w:p>
        </w:tc>
        <w:tc>
          <w:tcPr>
            <w:tcW w:w="2551" w:type="dxa"/>
            <w:vAlign w:val="center"/>
          </w:tcPr>
          <w:p>
            <w:pPr>
              <w:pStyle w:val="12"/>
            </w:pPr>
            <w:r>
              <w:rPr>
                <w:rFonts w:hint="eastAsia" w:asciiTheme="minorEastAsia" w:hAnsiTheme="minorEastAsia" w:eastAsiaTheme="minorEastAsia"/>
                <w:lang w:eastAsia="zh-CN"/>
              </w:rP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15.63</w:t>
            </w:r>
          </w:p>
        </w:tc>
        <w:tc>
          <w:tcPr>
            <w:tcW w:w="2551" w:type="dxa"/>
            <w:vAlign w:val="center"/>
          </w:tcPr>
          <w:p>
            <w:pPr>
              <w:pStyle w:val="12"/>
            </w:pPr>
            <w:r>
              <w:t>15.63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15.63</w:t>
            </w:r>
          </w:p>
        </w:tc>
        <w:tc>
          <w:tcPr>
            <w:tcW w:w="2551" w:type="dxa"/>
            <w:vAlign w:val="center"/>
          </w:tcPr>
          <w:p>
            <w:pPr>
              <w:pStyle w:val="12"/>
            </w:pPr>
            <w:r>
              <w:t>15.63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222001成安县纪律检查委员会本级</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成安县纪律检查委员会本级2024年单位预算信息公开情况说明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按照《中华人民共和国预算法》、《地方预决算公开操作规程》和《关于进一步推进预算公开工作的实施意见》规定，现将成安县纪律检查委员会本级2024年单位预算公开如下：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（一）主管全县党的纪律检查工作，负责贯彻落实上级党委和县委关于加强党风廉政建设的决定，维护党的章程和党的法规，检查党的路线、方针、政策和决议的执行情况。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二）主管全县行政监察工作，负责贯彻落实上级党委和政府有关行政监察工作的决定，监督检查县政府各部门及其工作人员和县辖乡镇（场）政府及其负责人执行国家政策、法律、法规、国民经济和社会发展计划以及政府颁发的决定、决议、命令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（三）负责检查并处理县委和县政府各部门、各乡镇（场）党的组织和县委管理的党员领导干部违反党的章程及党内法规的案件，按照干部管理权限和任命程序，决定和</w:t>
      </w:r>
      <w:r>
        <w:rPr>
          <w:rFonts w:hint="eastAsia" w:ascii="仿宋" w:hAnsi="仿宋" w:eastAsia="仿宋" w:cs="仿宋_GB2312"/>
          <w:sz w:val="28"/>
          <w:szCs w:val="28"/>
          <w:lang w:eastAsia="zh-CN"/>
        </w:rPr>
        <w:t>取消</w:t>
      </w:r>
      <w:r>
        <w:rPr>
          <w:rFonts w:hint="eastAsia" w:ascii="仿宋" w:hAnsi="仿宋" w:eastAsia="仿宋" w:cs="仿宋_GB2312"/>
          <w:sz w:val="28"/>
          <w:szCs w:val="28"/>
        </w:rPr>
        <w:t>这些案件中的党员的处分；受理党员的控告和申诉，必要时直接查处下级党的纪律检查机关管辖范围内的比较重要或复杂的案件。</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四）负责调查处理县政府各部门及其工作人员，县辖乡镇（场）政府及其负责人违反国家政策、法律、法规以及违反政纪的行为，并根据责任人所犯错误的情节轻重，按照干部管理权限和任命程序，作出撤职及撤职以下的行政处分的决定；受理监察对象不服政纪处分的申诉，受理个人或单位对监察对象违纪行为的检举、控告。</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五）负责监督检查、综合分析全县党风廉政建设情况；组织实施全县关于党风廉政建设的工作部署，抓好党风廉政建设责任制的落实，指导和督促下级纪检监察组织党风廉政建设业务工作；组织实施全县性或重要的党风廉政建设检查活动和廉政建设专项治理活动；负责管理领导干部廉洁自律工作；配合组织部门抓好乡科级班子民生活会的落实。</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（六）负责组织、督促、检查、指导对普遍性、倾向性不正之风的纠正工作；调查研究、综合分析部门和行业不正之风情况，提出纠正措施；承办不正之风典型案件的查处等工作。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七）指导全县纪检监察系统开展执法监察，监督检查贯彻执行党的路线、方针、政策和国家法律、法规、决定、命令的情况；负责承办执法监察事项，并将执法监察中发现的违法违纪案件线索转交有关部门处理。</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（八）负责作出关于维护党纪的决定，制定党风党纪教育计划，配合有关部门做好党的纪检工作方针、政策的宣传和对党员遵守纪律的教育工作。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（九）会同有关部门做好行政监察工作的方针、政策和法规的宣传工作，教育国家工作人员遵纪守法、为政清廉。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（十）负责对党的纪律检查和行政监察工作理论及有关问题进行调查研究，根据我县实际，草拟有关地方性规定。</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（十一）调查研究县政府各部门和县辖乡镇（场）政府制定规定的情况，对其违反国家法律和有关国家利益的条款，提出修改、补充的建议；变更或撤销乡镇（场）行政监察组织不适当的决定和规定。</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二）抓好纪检监察干部队伍的管理；考察、审核县辖乡镇（场）纪委领导班子和监察组领导干部、纪工委监察分局干部以及县直有关部门的纪委、纪检（监察）组领导干部人选，组织和指导全县纪检监察系统干部的培训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（十三）承办县委、县政府交办的其他工作。</w:t>
      </w:r>
    </w:p>
    <w:p>
      <w:pPr>
        <w:spacing w:line="360" w:lineRule="auto"/>
        <w:rPr>
          <w:rFonts w:ascii="仿宋" w:hAnsi="仿宋" w:eastAsia="仿宋" w:cs="仿宋_GB2312"/>
          <w:bCs/>
          <w:sz w:val="28"/>
          <w:szCs w:val="28"/>
        </w:rPr>
      </w:pPr>
      <w:r>
        <w:rPr>
          <w:rFonts w:hint="eastAsia" w:ascii="仿宋" w:hAnsi="仿宋" w:eastAsia="仿宋" w:cs="仿宋_GB2312"/>
          <w:bCs/>
          <w:sz w:val="28"/>
          <w:szCs w:val="28"/>
          <w:lang w:eastAsia="zh-CN"/>
        </w:rPr>
        <w:t>中国共产党</w:t>
      </w:r>
      <w:r>
        <w:rPr>
          <w:rFonts w:hint="eastAsia" w:ascii="仿宋" w:hAnsi="仿宋" w:eastAsia="仿宋" w:cs="仿宋_GB2312"/>
          <w:bCs/>
          <w:sz w:val="28"/>
          <w:szCs w:val="28"/>
        </w:rPr>
        <w:t>成安县纪律检查委员会预算编码是</w:t>
      </w:r>
      <w:r>
        <w:rPr>
          <w:rFonts w:ascii="仿宋" w:hAnsi="仿宋" w:eastAsia="仿宋" w:cs="仿宋_GB2312"/>
          <w:bCs/>
          <w:sz w:val="28"/>
          <w:szCs w:val="28"/>
          <w:lang w:eastAsia="zh-CN"/>
        </w:rPr>
        <w:t>222</w:t>
      </w:r>
      <w:r>
        <w:rPr>
          <w:rFonts w:hint="eastAsia" w:ascii="仿宋" w:hAnsi="仿宋" w:eastAsia="仿宋" w:cs="仿宋_GB2312"/>
          <w:bCs/>
          <w:sz w:val="28"/>
          <w:szCs w:val="28"/>
        </w:rPr>
        <w:t>，内设</w:t>
      </w:r>
      <w:r>
        <w:rPr>
          <w:rFonts w:ascii="仿宋" w:hAnsi="仿宋" w:eastAsia="仿宋" w:cs="仿宋_GB2312"/>
          <w:bCs/>
          <w:sz w:val="28"/>
          <w:szCs w:val="28"/>
          <w:lang w:eastAsia="zh-CN"/>
        </w:rPr>
        <w:t>1</w:t>
      </w:r>
      <w:r>
        <w:rPr>
          <w:rFonts w:ascii="仿宋" w:hAnsi="仿宋" w:eastAsia="仿宋" w:cs="仿宋_GB2312"/>
          <w:bCs/>
          <w:sz w:val="28"/>
          <w:szCs w:val="28"/>
        </w:rPr>
        <w:t>3</w:t>
      </w:r>
      <w:r>
        <w:rPr>
          <w:rFonts w:hint="eastAsia" w:ascii="仿宋" w:hAnsi="仿宋" w:eastAsia="仿宋" w:cs="仿宋_GB2312"/>
          <w:bCs/>
          <w:sz w:val="28"/>
          <w:szCs w:val="28"/>
        </w:rPr>
        <w:t>个机构。</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办公室。负责机关日常运转工作；负责县纪委监委重要会议、活动的筹备组织等工作；组织起草县纪委监委有关文件文稿；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离退休干部工作等；负责综合分析全面从严治党、党风廉政建设和反腐败工作情况，开展政策理论及重大课题调查研究；起草重要文件文稿和规范性文件等；负责组织协调全面从严治党、党风廉政建设和反腐败宣传教育工作；负责县纪委监委机关的新闻事务和有关网络信息工作；根据干部管理权限，负责全县纪检监察系统组织、人事工作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3</w:t>
      </w:r>
      <w:r>
        <w:rPr>
          <w:rFonts w:hint="eastAsia" w:ascii="仿宋" w:hAnsi="仿宋" w:eastAsia="仿宋" w:cs="仿宋_GB2312"/>
          <w:sz w:val="28"/>
          <w:szCs w:val="28"/>
        </w:rPr>
        <w:t>）信访室。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下级纪检监察机构报送的相关信访举报，分类摘要后将问题线索类信访举报移送案件监督管理部门；受理党员对县纪委作出的党纪处分或者其他处理不服的申诉、监察对象对县监委作出的涉及本人的处理决定不服的复审申请；综合分析信访举报情况；接待群众来访，处理群众来信和电话网络举报事项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4</w:t>
      </w:r>
      <w:r>
        <w:rPr>
          <w:rFonts w:hint="eastAsia" w:ascii="仿宋" w:hAnsi="仿宋" w:eastAsia="仿宋" w:cs="仿宋_GB2312"/>
          <w:sz w:val="28"/>
          <w:szCs w:val="28"/>
        </w:rPr>
        <w:t>）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统一受理下级纪检监察机构线索处置和案件查办报告，分送有关部门；归口管理审查调查工作中与有关部门的联系协调事项；对调查措施使用进行监督管理，监督检查全县纪检监察机关依纪依法安全办案情况；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5</w:t>
      </w:r>
      <w:r>
        <w:rPr>
          <w:rFonts w:hint="eastAsia" w:ascii="仿宋" w:hAnsi="仿宋" w:eastAsia="仿宋" w:cs="仿宋_GB2312"/>
          <w:sz w:val="28"/>
          <w:szCs w:val="28"/>
        </w:rPr>
        <w:t>）第一至第五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同时，第一监督检查室负责全县纪检监察系统干部监督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6</w:t>
      </w:r>
      <w:r>
        <w:rPr>
          <w:rFonts w:hint="eastAsia" w:ascii="仿宋" w:hAnsi="仿宋" w:eastAsia="仿宋" w:cs="仿宋_GB2312"/>
          <w:sz w:val="28"/>
          <w:szCs w:val="28"/>
        </w:rPr>
        <w:t>）第六至第八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级监察机构管辖范围内的监察事项。</w:t>
      </w:r>
    </w:p>
    <w:p>
      <w:pPr>
        <w:ind w:firstLine="560" w:firstLineChars="200"/>
        <w:rPr>
          <w:rFonts w:ascii="仿宋" w:hAnsi="仿宋" w:eastAsia="仿宋" w:cs="仿宋_GB2312"/>
          <w:sz w:val="28"/>
          <w:szCs w:val="28"/>
          <w:lang w:eastAsia="zh-CN"/>
        </w:rPr>
      </w:pPr>
      <w:r>
        <w:rPr>
          <w:rFonts w:hint="eastAsia" w:ascii="仿宋" w:hAnsi="仿宋" w:eastAsia="仿宋" w:cs="仿宋_GB2312"/>
          <w:sz w:val="28"/>
          <w:szCs w:val="28"/>
        </w:rPr>
        <w:t>（</w:t>
      </w:r>
      <w:r>
        <w:rPr>
          <w:rFonts w:ascii="仿宋" w:hAnsi="仿宋" w:eastAsia="仿宋" w:cs="仿宋_GB2312"/>
          <w:sz w:val="28"/>
          <w:szCs w:val="28"/>
        </w:rPr>
        <w:t>7</w:t>
      </w:r>
      <w:r>
        <w:rPr>
          <w:rFonts w:hint="eastAsia" w:ascii="仿宋" w:hAnsi="仿宋" w:eastAsia="仿宋" w:cs="仿宋_GB2312"/>
          <w:sz w:val="28"/>
          <w:szCs w:val="28"/>
        </w:rPr>
        <w:t>）案件审理室。负责审理县纪委监委直接审查调查和乡（科）级党的组织、纪检监察机关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等。负责纪检监察法规制度的咨询答复、解释指导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人员编制和领导职数</w:t>
      </w:r>
    </w:p>
    <w:p>
      <w:pPr>
        <w:ind w:firstLine="560" w:firstLineChars="200"/>
        <w:rPr>
          <w:rFonts w:ascii="仿宋" w:hAnsi="仿宋" w:eastAsia="仿宋" w:cs="仿宋_GB2312"/>
          <w:sz w:val="28"/>
          <w:szCs w:val="28"/>
          <w:lang w:eastAsia="zh-CN"/>
        </w:rPr>
      </w:pPr>
      <w:r>
        <w:rPr>
          <w:rFonts w:hint="eastAsia" w:ascii="仿宋" w:hAnsi="仿宋" w:eastAsia="仿宋" w:cs="仿宋_GB2312"/>
          <w:sz w:val="28"/>
          <w:szCs w:val="28"/>
        </w:rPr>
        <w:t>中国共产党成安县纪律检查委员会，人员编制</w:t>
      </w:r>
      <w:r>
        <w:rPr>
          <w:rFonts w:ascii="仿宋" w:hAnsi="仿宋" w:eastAsia="仿宋" w:cs="仿宋_GB2312"/>
          <w:sz w:val="28"/>
          <w:szCs w:val="28"/>
        </w:rPr>
        <w:t>82</w:t>
      </w:r>
      <w:r>
        <w:rPr>
          <w:rFonts w:hint="eastAsia" w:ascii="仿宋" w:hAnsi="仿宋" w:eastAsia="仿宋" w:cs="仿宋_GB2312"/>
          <w:sz w:val="28"/>
          <w:szCs w:val="28"/>
        </w:rPr>
        <w:t>名，其中领导职数</w:t>
      </w:r>
      <w:r>
        <w:rPr>
          <w:rFonts w:ascii="仿宋" w:hAnsi="仿宋" w:eastAsia="仿宋" w:cs="仿宋_GB2312"/>
          <w:sz w:val="28"/>
          <w:szCs w:val="28"/>
        </w:rPr>
        <w:t>9</w:t>
      </w:r>
      <w:r>
        <w:rPr>
          <w:rFonts w:hint="eastAsia" w:ascii="仿宋" w:hAnsi="仿宋" w:eastAsia="仿宋" w:cs="仿宋_GB2312"/>
          <w:sz w:val="28"/>
          <w:szCs w:val="28"/>
        </w:rPr>
        <w:t>个。</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成安县纪律检查委员会本级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ascii="仿宋" w:hAnsi="仿宋" w:eastAsia="仿宋"/>
          <w:color w:val="000000"/>
          <w:sz w:val="28"/>
          <w:szCs w:val="28"/>
          <w:lang w:eastAsia="zh-CN"/>
        </w:rPr>
      </w:pPr>
      <w:r>
        <w:rPr>
          <w:rFonts w:hint="eastAsia" w:ascii="仿宋" w:hAnsi="仿宋" w:eastAsia="仿宋"/>
          <w:color w:val="000000"/>
          <w:sz w:val="28"/>
          <w:szCs w:val="28"/>
        </w:rPr>
        <w:t>按照预算管理有关规定，目前我省部门预算的编制实行综合预算管理，即全部收入和支出都反映在预算中。成安县纪律检查委员会机关及所属事业单位的收支包含在部门预算中。</w:t>
      </w:r>
    </w:p>
    <w:p>
      <w:pPr>
        <w:spacing w:line="360" w:lineRule="auto"/>
        <w:ind w:firstLine="551" w:firstLineChars="196"/>
        <w:rPr>
          <w:rFonts w:ascii="仿宋" w:hAnsi="仿宋" w:eastAsia="仿宋" w:cs="仿宋_GB2312"/>
          <w:b/>
          <w:sz w:val="28"/>
          <w:szCs w:val="28"/>
        </w:rPr>
      </w:pPr>
      <w:r>
        <w:rPr>
          <w:rFonts w:ascii="仿宋" w:hAnsi="仿宋" w:eastAsia="仿宋" w:cs="仿宋_GB2312"/>
          <w:b/>
          <w:sz w:val="28"/>
          <w:szCs w:val="28"/>
        </w:rPr>
        <w:t>1</w:t>
      </w:r>
      <w:r>
        <w:rPr>
          <w:rFonts w:hint="eastAsia" w:ascii="仿宋" w:hAnsi="仿宋" w:eastAsia="仿宋" w:cs="仿宋_GB2312"/>
          <w:b/>
          <w:sz w:val="28"/>
          <w:szCs w:val="28"/>
        </w:rPr>
        <w:t>、收入说明</w:t>
      </w:r>
    </w:p>
    <w:p>
      <w:pPr>
        <w:spacing w:line="360" w:lineRule="auto"/>
        <w:ind w:firstLine="548" w:firstLineChars="196"/>
        <w:rPr>
          <w:rFonts w:ascii="仿宋" w:hAnsi="仿宋" w:eastAsia="仿宋" w:cs="仿宋_GB2312"/>
          <w:sz w:val="28"/>
          <w:szCs w:val="28"/>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预算收入为</w:t>
      </w:r>
      <w:r>
        <w:rPr>
          <w:rFonts w:ascii="仿宋" w:hAnsi="仿宋" w:eastAsia="仿宋" w:cs="仿宋_GB2312"/>
          <w:sz w:val="28"/>
          <w:szCs w:val="28"/>
          <w:lang w:eastAsia="zh-CN"/>
        </w:rPr>
        <w:t>1355.64</w:t>
      </w:r>
      <w:r>
        <w:rPr>
          <w:rFonts w:hint="eastAsia" w:ascii="仿宋" w:hAnsi="仿宋" w:eastAsia="仿宋" w:cs="仿宋_GB2312"/>
          <w:sz w:val="28"/>
          <w:szCs w:val="28"/>
        </w:rPr>
        <w:t>万元，其中：一般公共预算收入</w:t>
      </w:r>
      <w:r>
        <w:rPr>
          <w:rFonts w:ascii="仿宋" w:hAnsi="仿宋" w:eastAsia="仿宋" w:cs="仿宋_GB2312"/>
          <w:sz w:val="28"/>
          <w:szCs w:val="28"/>
          <w:lang w:eastAsia="zh-CN"/>
        </w:rPr>
        <w:t>1355.64</w:t>
      </w:r>
      <w:r>
        <w:rPr>
          <w:rFonts w:hint="eastAsia" w:ascii="仿宋" w:hAnsi="仿宋" w:eastAsia="仿宋" w:cs="仿宋_GB2312"/>
          <w:sz w:val="28"/>
          <w:szCs w:val="28"/>
        </w:rPr>
        <w:t>万元，政府性基金预算财政拨款</w:t>
      </w:r>
      <w:r>
        <w:rPr>
          <w:rFonts w:ascii="仿宋" w:hAnsi="仿宋" w:eastAsia="仿宋" w:cs="仿宋_GB2312"/>
          <w:sz w:val="28"/>
          <w:szCs w:val="28"/>
        </w:rPr>
        <w:t>0</w:t>
      </w:r>
      <w:r>
        <w:rPr>
          <w:rFonts w:hint="eastAsia" w:ascii="仿宋" w:hAnsi="仿宋" w:eastAsia="仿宋" w:cs="仿宋_GB2312"/>
          <w:sz w:val="28"/>
          <w:szCs w:val="28"/>
        </w:rPr>
        <w:t>万元，国有资本经营预算财政拨款</w:t>
      </w:r>
      <w:r>
        <w:rPr>
          <w:rFonts w:ascii="仿宋" w:hAnsi="仿宋" w:eastAsia="仿宋" w:cs="仿宋_GB2312"/>
          <w:sz w:val="28"/>
          <w:szCs w:val="28"/>
        </w:rPr>
        <w:t>0</w:t>
      </w:r>
      <w:r>
        <w:rPr>
          <w:rFonts w:hint="eastAsia" w:ascii="仿宋" w:hAnsi="仿宋" w:eastAsia="仿宋" w:cs="仿宋_GB2312"/>
          <w:sz w:val="28"/>
          <w:szCs w:val="28"/>
        </w:rPr>
        <w:t>万元。</w:t>
      </w:r>
    </w:p>
    <w:p>
      <w:pPr>
        <w:spacing w:line="360" w:lineRule="auto"/>
        <w:ind w:firstLine="551" w:firstLineChars="196"/>
        <w:rPr>
          <w:rFonts w:ascii="仿宋" w:hAnsi="仿宋" w:eastAsia="仿宋" w:cs="仿宋_GB2312"/>
          <w:b/>
          <w:sz w:val="28"/>
          <w:szCs w:val="28"/>
        </w:rPr>
      </w:pPr>
      <w:r>
        <w:rPr>
          <w:rFonts w:ascii="仿宋" w:hAnsi="仿宋" w:eastAsia="仿宋" w:cs="仿宋_GB2312"/>
          <w:b/>
          <w:sz w:val="28"/>
          <w:szCs w:val="28"/>
        </w:rPr>
        <w:t>2</w:t>
      </w:r>
      <w:r>
        <w:rPr>
          <w:rFonts w:hint="eastAsia" w:ascii="仿宋" w:hAnsi="仿宋" w:eastAsia="仿宋" w:cs="仿宋_GB2312"/>
          <w:b/>
          <w:sz w:val="28"/>
          <w:szCs w:val="28"/>
        </w:rPr>
        <w:t>、支出说明</w:t>
      </w:r>
    </w:p>
    <w:p>
      <w:pPr>
        <w:spacing w:line="360" w:lineRule="auto"/>
        <w:ind w:firstLine="548" w:firstLineChars="196"/>
        <w:rPr>
          <w:rFonts w:ascii="仿宋" w:hAnsi="仿宋" w:eastAsia="仿宋" w:cs="仿宋_GB2312"/>
          <w:sz w:val="28"/>
          <w:szCs w:val="28"/>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支出预算为</w:t>
      </w:r>
      <w:r>
        <w:rPr>
          <w:rFonts w:ascii="仿宋" w:hAnsi="仿宋" w:eastAsia="仿宋" w:cs="仿宋_GB2312"/>
          <w:sz w:val="28"/>
          <w:szCs w:val="28"/>
          <w:lang w:eastAsia="zh-CN"/>
        </w:rPr>
        <w:t>1355.64</w:t>
      </w:r>
      <w:r>
        <w:rPr>
          <w:rFonts w:hint="eastAsia" w:ascii="仿宋" w:hAnsi="仿宋" w:eastAsia="仿宋" w:cs="仿宋_GB2312"/>
          <w:sz w:val="28"/>
          <w:szCs w:val="28"/>
        </w:rPr>
        <w:t>万元，其中基本支出</w:t>
      </w:r>
      <w:r>
        <w:rPr>
          <w:rFonts w:ascii="仿宋" w:hAnsi="仿宋" w:eastAsia="仿宋" w:cs="仿宋_GB2312"/>
          <w:sz w:val="28"/>
          <w:szCs w:val="28"/>
          <w:lang w:eastAsia="zh-CN"/>
        </w:rPr>
        <w:t>1355.64</w:t>
      </w:r>
      <w:r>
        <w:rPr>
          <w:rFonts w:hint="eastAsia" w:ascii="仿宋" w:hAnsi="仿宋" w:eastAsia="仿宋" w:cs="仿宋_GB2312"/>
          <w:sz w:val="28"/>
          <w:szCs w:val="28"/>
        </w:rPr>
        <w:t>万元，包括人员经费</w:t>
      </w:r>
      <w:r>
        <w:rPr>
          <w:rFonts w:ascii="仿宋" w:hAnsi="仿宋" w:eastAsia="仿宋" w:cs="仿宋_GB2312"/>
          <w:sz w:val="28"/>
          <w:szCs w:val="28"/>
          <w:lang w:eastAsia="zh-CN"/>
        </w:rPr>
        <w:t>845.24</w:t>
      </w:r>
      <w:r>
        <w:rPr>
          <w:rFonts w:hint="eastAsia" w:ascii="仿宋" w:hAnsi="仿宋" w:eastAsia="仿宋" w:cs="仿宋_GB2312"/>
          <w:sz w:val="28"/>
          <w:szCs w:val="28"/>
        </w:rPr>
        <w:t>万元和日常公用经费</w:t>
      </w:r>
      <w:r>
        <w:rPr>
          <w:rFonts w:ascii="仿宋" w:hAnsi="仿宋" w:eastAsia="仿宋" w:cs="仿宋_GB2312"/>
          <w:sz w:val="28"/>
          <w:szCs w:val="28"/>
          <w:lang w:eastAsia="zh-CN"/>
        </w:rPr>
        <w:t>365.4</w:t>
      </w:r>
      <w:r>
        <w:rPr>
          <w:rFonts w:hint="eastAsia" w:ascii="仿宋" w:hAnsi="仿宋" w:eastAsia="仿宋" w:cs="仿宋_GB2312"/>
          <w:sz w:val="28"/>
          <w:szCs w:val="28"/>
        </w:rPr>
        <w:t>万元，</w:t>
      </w:r>
      <w:r>
        <w:rPr>
          <w:rFonts w:hint="eastAsia" w:ascii="仿宋" w:hAnsi="仿宋" w:eastAsia="仿宋" w:cs="仿宋_GB2312"/>
          <w:sz w:val="28"/>
          <w:szCs w:val="28"/>
          <w:lang w:eastAsia="zh-CN"/>
        </w:rPr>
        <w:t>和项目支出</w:t>
      </w:r>
      <w:r>
        <w:rPr>
          <w:rFonts w:ascii="仿宋" w:hAnsi="仿宋" w:eastAsia="仿宋" w:cs="仿宋_GB2312"/>
          <w:sz w:val="28"/>
          <w:szCs w:val="28"/>
          <w:lang w:eastAsia="zh-CN"/>
        </w:rPr>
        <w:t>145</w:t>
      </w:r>
      <w:r>
        <w:rPr>
          <w:rFonts w:hint="eastAsia" w:ascii="仿宋" w:hAnsi="仿宋" w:eastAsia="仿宋" w:cs="仿宋_GB2312"/>
          <w:sz w:val="28"/>
          <w:szCs w:val="28"/>
          <w:lang w:eastAsia="zh-CN"/>
        </w:rPr>
        <w:t>万元，</w:t>
      </w:r>
      <w:r>
        <w:rPr>
          <w:rFonts w:hint="eastAsia" w:ascii="仿宋" w:hAnsi="仿宋" w:eastAsia="仿宋" w:cs="仿宋_GB2312"/>
          <w:sz w:val="28"/>
          <w:szCs w:val="28"/>
        </w:rPr>
        <w:t>主要为一般公共服务支出和纪检监察事务等。</w:t>
      </w:r>
    </w:p>
    <w:p>
      <w:pPr>
        <w:spacing w:line="360" w:lineRule="auto"/>
        <w:ind w:firstLine="551" w:firstLineChars="196"/>
        <w:rPr>
          <w:rFonts w:ascii="仿宋" w:hAnsi="仿宋" w:eastAsia="仿宋" w:cs="仿宋_GB2312"/>
          <w:b/>
          <w:sz w:val="28"/>
          <w:szCs w:val="28"/>
        </w:rPr>
      </w:pPr>
      <w:r>
        <w:rPr>
          <w:rFonts w:ascii="仿宋" w:hAnsi="仿宋" w:eastAsia="仿宋" w:cs="仿宋_GB2312"/>
          <w:b/>
          <w:sz w:val="28"/>
          <w:szCs w:val="28"/>
        </w:rPr>
        <w:t>3</w:t>
      </w:r>
      <w:r>
        <w:rPr>
          <w:rFonts w:hint="eastAsia" w:ascii="仿宋" w:hAnsi="仿宋" w:eastAsia="仿宋" w:cs="仿宋_GB2312"/>
          <w:b/>
          <w:sz w:val="28"/>
          <w:szCs w:val="28"/>
        </w:rPr>
        <w:t>、比上年增减变化情况</w:t>
      </w:r>
    </w:p>
    <w:p>
      <w:pPr>
        <w:spacing w:line="360" w:lineRule="auto"/>
        <w:ind w:firstLine="560" w:firstLineChars="200"/>
        <w:rPr>
          <w:rFonts w:ascii="仿宋" w:hAnsi="仿宋" w:eastAsia="仿宋" w:cs="仿宋_GB2312"/>
          <w:sz w:val="28"/>
          <w:szCs w:val="28"/>
          <w:lang w:eastAsia="zh-CN"/>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预算收支安排</w:t>
      </w:r>
      <w:r>
        <w:rPr>
          <w:rFonts w:ascii="仿宋" w:hAnsi="仿宋" w:eastAsia="仿宋" w:cs="仿宋_GB2312"/>
          <w:sz w:val="28"/>
          <w:szCs w:val="28"/>
          <w:lang w:eastAsia="zh-CN"/>
        </w:rPr>
        <w:t>1355.64</w:t>
      </w:r>
      <w:r>
        <w:rPr>
          <w:rFonts w:hint="eastAsia" w:ascii="仿宋" w:hAnsi="仿宋" w:eastAsia="仿宋" w:cs="仿宋_GB2312"/>
          <w:sz w:val="28"/>
          <w:szCs w:val="28"/>
        </w:rPr>
        <w:t>万元，较</w:t>
      </w:r>
      <w:r>
        <w:rPr>
          <w:rFonts w:ascii="仿宋" w:hAnsi="仿宋" w:eastAsia="仿宋" w:cs="仿宋_GB2312"/>
          <w:sz w:val="28"/>
          <w:szCs w:val="28"/>
          <w:lang w:eastAsia="zh-CN"/>
        </w:rPr>
        <w:t>2023</w:t>
      </w:r>
      <w:r>
        <w:rPr>
          <w:rFonts w:hint="eastAsia" w:ascii="仿宋" w:hAnsi="仿宋" w:eastAsia="仿宋" w:cs="仿宋_GB2312"/>
          <w:sz w:val="28"/>
          <w:szCs w:val="28"/>
          <w:lang w:eastAsia="zh-CN"/>
        </w:rPr>
        <w:t>年</w:t>
      </w:r>
      <w:r>
        <w:rPr>
          <w:rFonts w:hint="eastAsia" w:ascii="仿宋" w:hAnsi="仿宋" w:eastAsia="仿宋" w:cs="仿宋_GB2312"/>
          <w:sz w:val="28"/>
          <w:szCs w:val="28"/>
        </w:rPr>
        <w:t>预算</w:t>
      </w:r>
      <w:r>
        <w:rPr>
          <w:rFonts w:hint="eastAsia" w:ascii="仿宋" w:hAnsi="仿宋" w:eastAsia="仿宋" w:cs="仿宋_GB2312"/>
          <w:sz w:val="28"/>
          <w:szCs w:val="28"/>
          <w:lang w:eastAsia="zh-CN"/>
        </w:rPr>
        <w:t>减少</w:t>
      </w:r>
      <w:r>
        <w:rPr>
          <w:rFonts w:ascii="仿宋" w:hAnsi="仿宋" w:eastAsia="仿宋" w:cs="仿宋_GB2312"/>
          <w:sz w:val="28"/>
          <w:szCs w:val="28"/>
          <w:lang w:eastAsia="zh-CN"/>
        </w:rPr>
        <w:t>808.39</w:t>
      </w:r>
      <w:r>
        <w:rPr>
          <w:rFonts w:hint="eastAsia" w:ascii="仿宋" w:hAnsi="仿宋" w:eastAsia="仿宋" w:cs="仿宋_GB2312"/>
          <w:sz w:val="28"/>
          <w:szCs w:val="28"/>
        </w:rPr>
        <w:t>万元，</w:t>
      </w:r>
      <w:r>
        <w:rPr>
          <w:rFonts w:hint="eastAsia" w:ascii="仿宋" w:hAnsi="仿宋" w:eastAsia="仿宋" w:cs="仿宋_GB2312"/>
          <w:sz w:val="28"/>
          <w:szCs w:val="28"/>
          <w:lang w:eastAsia="zh-CN"/>
        </w:rPr>
        <w:t>原因</w:t>
      </w:r>
      <w:r>
        <w:rPr>
          <w:rFonts w:hint="eastAsia" w:ascii="仿宋" w:hAnsi="仿宋" w:eastAsia="仿宋" w:cs="仿宋_GB2312"/>
          <w:sz w:val="28"/>
          <w:szCs w:val="28"/>
        </w:rPr>
        <w:t>本年度项目支出</w:t>
      </w:r>
      <w:r>
        <w:rPr>
          <w:rFonts w:hint="eastAsia" w:ascii="仿宋" w:hAnsi="仿宋" w:eastAsia="仿宋" w:cs="仿宋_GB2312"/>
          <w:sz w:val="28"/>
          <w:szCs w:val="28"/>
          <w:lang w:eastAsia="zh-CN"/>
        </w:rPr>
        <w:t>医药费减少，人员经费减少，原因增加退休人员和死亡人员</w:t>
      </w:r>
      <w:r>
        <w:rPr>
          <w:rFonts w:hint="eastAsia" w:ascii="仿宋" w:hAnsi="仿宋" w:eastAsia="仿宋" w:cs="仿宋_GB2312"/>
          <w:sz w:val="28"/>
          <w:szCs w:val="28"/>
        </w:rPr>
        <w:t>。</w:t>
      </w: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560" w:firstLineChars="200"/>
        <w:rPr>
          <w:rFonts w:ascii="仿宋" w:hAnsi="仿宋" w:eastAsia="仿宋" w:cs="仿宋_GB2312"/>
          <w:sz w:val="28"/>
          <w:szCs w:val="28"/>
          <w:lang w:eastAsia="zh-CN"/>
        </w:rPr>
      </w:pPr>
      <w:r>
        <w:rPr>
          <w:rFonts w:hint="eastAsia" w:ascii="仿宋" w:hAnsi="仿宋" w:eastAsia="仿宋" w:cs="仿宋_GB2312"/>
          <w:bCs/>
          <w:sz w:val="28"/>
          <w:szCs w:val="28"/>
        </w:rPr>
        <w:t>机关运行经费</w:t>
      </w:r>
      <w:r>
        <w:rPr>
          <w:rFonts w:hint="eastAsia" w:ascii="仿宋" w:hAnsi="仿宋" w:eastAsia="仿宋" w:cs="仿宋_GB2312"/>
          <w:sz w:val="28"/>
          <w:szCs w:val="28"/>
        </w:rPr>
        <w:t>共计安排</w:t>
      </w:r>
      <w:r>
        <w:rPr>
          <w:rFonts w:ascii="仿宋" w:hAnsi="仿宋" w:eastAsia="仿宋" w:cs="仿宋_GB2312"/>
          <w:sz w:val="28"/>
          <w:szCs w:val="28"/>
          <w:lang w:eastAsia="zh-CN"/>
        </w:rPr>
        <w:t>365.4</w:t>
      </w:r>
      <w:r>
        <w:rPr>
          <w:rFonts w:hint="eastAsia" w:ascii="仿宋" w:hAnsi="仿宋" w:eastAsia="仿宋" w:cs="仿宋_GB2312"/>
          <w:sz w:val="28"/>
          <w:szCs w:val="28"/>
        </w:rPr>
        <w:t>万元，主要用于办公室的日常维修、办公用房水电费、邮电费、办公用房取暖费、办公用房物业管理费等日常运行支出。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740" w:lineRule="exact"/>
        <w:ind w:firstLine="560" w:firstLineChars="200"/>
        <w:rPr>
          <w:rFonts w:ascii="仿宋" w:hAnsi="仿宋" w:eastAsia="仿宋" w:cs="仿宋_GB2312"/>
          <w:sz w:val="28"/>
          <w:szCs w:val="28"/>
          <w:lang w:eastAsia="zh-CN"/>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，我单位“三公”经费预算安排</w:t>
      </w:r>
      <w:r>
        <w:rPr>
          <w:rFonts w:ascii="仿宋" w:hAnsi="仿宋" w:eastAsia="仿宋" w:cs="仿宋_GB2312"/>
          <w:sz w:val="28"/>
          <w:szCs w:val="28"/>
          <w:lang w:eastAsia="zh-CN"/>
        </w:rPr>
        <w:t>30</w:t>
      </w:r>
      <w:r>
        <w:rPr>
          <w:rFonts w:hint="eastAsia" w:ascii="仿宋" w:hAnsi="仿宋" w:eastAsia="仿宋" w:cs="仿宋_GB2312"/>
          <w:sz w:val="28"/>
          <w:szCs w:val="28"/>
        </w:rPr>
        <w:t>万元，其中，因公出国（境）费</w:t>
      </w:r>
      <w:r>
        <w:rPr>
          <w:rFonts w:ascii="仿宋" w:hAnsi="仿宋" w:eastAsia="仿宋" w:cs="仿宋_GB2312"/>
          <w:sz w:val="28"/>
          <w:szCs w:val="28"/>
        </w:rPr>
        <w:t>0</w:t>
      </w:r>
      <w:r>
        <w:rPr>
          <w:rFonts w:hint="eastAsia" w:ascii="仿宋" w:hAnsi="仿宋" w:eastAsia="仿宋" w:cs="仿宋_GB2312"/>
          <w:sz w:val="28"/>
          <w:szCs w:val="28"/>
        </w:rPr>
        <w:t>万元；公务用车购置及运维费</w:t>
      </w:r>
      <w:r>
        <w:rPr>
          <w:rFonts w:ascii="仿宋" w:hAnsi="仿宋" w:eastAsia="仿宋" w:cs="仿宋_GB2312"/>
          <w:sz w:val="28"/>
          <w:szCs w:val="28"/>
          <w:lang w:eastAsia="zh-CN"/>
        </w:rPr>
        <w:t>30</w:t>
      </w:r>
      <w:r>
        <w:rPr>
          <w:rFonts w:hint="eastAsia" w:ascii="仿宋" w:hAnsi="仿宋" w:eastAsia="仿宋" w:cs="仿宋_GB2312"/>
          <w:sz w:val="28"/>
          <w:szCs w:val="28"/>
        </w:rPr>
        <w:t>万元，（其中：公务用车公务用车购置费为</w:t>
      </w:r>
      <w:r>
        <w:rPr>
          <w:rFonts w:ascii="仿宋" w:hAnsi="仿宋" w:eastAsia="仿宋" w:cs="仿宋_GB2312"/>
          <w:sz w:val="28"/>
          <w:szCs w:val="28"/>
        </w:rPr>
        <w:t>0</w:t>
      </w:r>
      <w:r>
        <w:rPr>
          <w:rFonts w:hint="eastAsia" w:ascii="仿宋" w:hAnsi="仿宋" w:eastAsia="仿宋" w:cs="仿宋_GB2312"/>
          <w:sz w:val="28"/>
          <w:szCs w:val="28"/>
        </w:rPr>
        <w:t>万元，公务用车运行费</w:t>
      </w:r>
      <w:r>
        <w:rPr>
          <w:rFonts w:ascii="仿宋" w:hAnsi="仿宋" w:eastAsia="仿宋" w:cs="仿宋_GB2312"/>
          <w:sz w:val="28"/>
          <w:szCs w:val="28"/>
          <w:lang w:eastAsia="zh-CN"/>
        </w:rPr>
        <w:t>30</w:t>
      </w:r>
      <w:r>
        <w:rPr>
          <w:rFonts w:hint="eastAsia" w:ascii="仿宋" w:hAnsi="仿宋" w:eastAsia="仿宋" w:cs="仿宋_GB2312"/>
          <w:sz w:val="28"/>
          <w:szCs w:val="28"/>
        </w:rPr>
        <w:t>万元）；公务接待费</w:t>
      </w:r>
      <w:r>
        <w:rPr>
          <w:rFonts w:ascii="仿宋" w:hAnsi="仿宋" w:eastAsia="仿宋" w:cs="仿宋_GB2312"/>
          <w:sz w:val="28"/>
          <w:szCs w:val="28"/>
        </w:rPr>
        <w:t>0</w:t>
      </w:r>
      <w:r>
        <w:rPr>
          <w:rFonts w:hint="eastAsia" w:ascii="仿宋" w:hAnsi="仿宋" w:eastAsia="仿宋" w:cs="仿宋_GB2312"/>
          <w:sz w:val="28"/>
          <w:szCs w:val="28"/>
        </w:rPr>
        <w:t>万元。</w:t>
      </w:r>
      <w:r>
        <w:rPr>
          <w:rFonts w:ascii="仿宋" w:hAnsi="仿宋" w:eastAsia="仿宋" w:cs="仿宋_GB2312"/>
          <w:sz w:val="28"/>
          <w:szCs w:val="28"/>
          <w:lang w:eastAsia="zh-CN"/>
        </w:rPr>
        <w:t>2022</w:t>
      </w:r>
      <w:r>
        <w:rPr>
          <w:rFonts w:hint="eastAsia" w:ascii="仿宋" w:hAnsi="仿宋" w:eastAsia="仿宋" w:cs="仿宋_GB2312"/>
          <w:sz w:val="28"/>
          <w:szCs w:val="28"/>
          <w:lang w:eastAsia="zh-CN"/>
        </w:rPr>
        <w:t>年</w:t>
      </w:r>
      <w:r>
        <w:rPr>
          <w:rFonts w:hint="eastAsia" w:ascii="仿宋" w:hAnsi="仿宋" w:eastAsia="仿宋" w:cs="仿宋_GB2312"/>
          <w:sz w:val="28"/>
          <w:szCs w:val="28"/>
        </w:rPr>
        <w:t>“三公”经费</w:t>
      </w:r>
      <w:r>
        <w:rPr>
          <w:rFonts w:hint="eastAsia" w:ascii="仿宋" w:hAnsi="仿宋" w:eastAsia="仿宋" w:cs="仿宋_GB2312"/>
          <w:sz w:val="28"/>
          <w:szCs w:val="28"/>
          <w:lang w:eastAsia="zh-CN"/>
        </w:rPr>
        <w:t>中因公</w:t>
      </w:r>
      <w:r>
        <w:rPr>
          <w:rFonts w:hint="eastAsia" w:ascii="仿宋" w:hAnsi="仿宋" w:eastAsia="仿宋" w:cs="仿宋_GB2312"/>
          <w:sz w:val="28"/>
          <w:szCs w:val="28"/>
        </w:rPr>
        <w:t>出国（境）费</w:t>
      </w:r>
      <w:r>
        <w:rPr>
          <w:rFonts w:ascii="仿宋" w:hAnsi="仿宋" w:eastAsia="仿宋" w:cs="仿宋_GB2312"/>
          <w:sz w:val="28"/>
          <w:szCs w:val="28"/>
          <w:lang w:eastAsia="zh-CN"/>
        </w:rPr>
        <w:t>0</w:t>
      </w:r>
      <w:r>
        <w:rPr>
          <w:rFonts w:hint="eastAsia" w:ascii="仿宋" w:hAnsi="仿宋" w:eastAsia="仿宋" w:cs="仿宋_GB2312"/>
          <w:sz w:val="28"/>
          <w:szCs w:val="28"/>
          <w:lang w:eastAsia="zh-CN"/>
        </w:rPr>
        <w:t>万元，</w:t>
      </w:r>
      <w:r>
        <w:rPr>
          <w:rFonts w:hint="eastAsia" w:ascii="仿宋" w:hAnsi="仿宋" w:eastAsia="仿宋" w:cs="仿宋_GB2312"/>
          <w:sz w:val="28"/>
          <w:szCs w:val="28"/>
        </w:rPr>
        <w:t>公务用车维护费</w:t>
      </w:r>
      <w:r>
        <w:rPr>
          <w:rFonts w:hint="eastAsia" w:ascii="仿宋" w:hAnsi="仿宋" w:eastAsia="仿宋" w:cs="仿宋_GB2312"/>
          <w:sz w:val="28"/>
          <w:szCs w:val="28"/>
          <w:lang w:eastAsia="zh-CN"/>
        </w:rPr>
        <w:t>、</w:t>
      </w:r>
      <w:r>
        <w:rPr>
          <w:rFonts w:hint="eastAsia" w:ascii="仿宋" w:hAnsi="仿宋" w:eastAsia="仿宋" w:cs="仿宋_GB2312"/>
          <w:sz w:val="28"/>
          <w:szCs w:val="28"/>
        </w:rPr>
        <w:t>公务接</w:t>
      </w:r>
      <w:r>
        <w:rPr>
          <w:rFonts w:hint="eastAsia" w:ascii="仿宋" w:hAnsi="仿宋" w:eastAsia="仿宋" w:cs="仿宋_GB2312"/>
          <w:sz w:val="28"/>
          <w:szCs w:val="28"/>
          <w:lang w:eastAsia="zh-CN"/>
        </w:rPr>
        <w:t>待</w:t>
      </w:r>
      <w:r>
        <w:rPr>
          <w:rFonts w:hint="eastAsia" w:ascii="仿宋" w:hAnsi="仿宋" w:eastAsia="仿宋" w:cs="仿宋_GB2312"/>
          <w:sz w:val="28"/>
          <w:szCs w:val="28"/>
        </w:rPr>
        <w:t>费</w:t>
      </w:r>
      <w:r>
        <w:rPr>
          <w:rFonts w:hint="eastAsia" w:ascii="仿宋" w:hAnsi="仿宋" w:eastAsia="仿宋" w:cs="仿宋_GB2312"/>
          <w:sz w:val="28"/>
          <w:szCs w:val="28"/>
          <w:lang w:eastAsia="zh-CN"/>
        </w:rPr>
        <w:t>与去年持平</w:t>
      </w:r>
      <w:r>
        <w:rPr>
          <w:rFonts w:hint="eastAsia" w:ascii="仿宋" w:hAnsi="仿宋" w:eastAsia="仿宋" w:cs="仿宋_GB2312"/>
          <w:sz w:val="28"/>
          <w:szCs w:val="28"/>
        </w:rPr>
        <w:t>。</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五、单位项目预算安排情况及绩效目标</w:t>
      </w:r>
    </w:p>
    <w:p>
      <w:pPr>
        <w:spacing w:line="500" w:lineRule="exact"/>
        <w:ind w:firstLine="560"/>
        <w:rPr>
          <w:rFonts w:ascii="楷体" w:hAnsi="楷体" w:eastAsia="楷体"/>
          <w:sz w:val="32"/>
          <w:szCs w:val="32"/>
        </w:rPr>
      </w:pPr>
      <w:r>
        <w:rPr>
          <w:rFonts w:hint="eastAsia" w:ascii="楷体" w:hAnsi="楷体" w:eastAsia="楷体"/>
          <w:color w:val="000000"/>
          <w:sz w:val="32"/>
          <w:szCs w:val="32"/>
        </w:rPr>
        <w:t>（一）总体绩效目标</w:t>
      </w:r>
    </w:p>
    <w:p>
      <w:pPr>
        <w:pStyle w:val="2"/>
        <w:rPr>
          <w:rFonts w:ascii="仿宋" w:hAnsi="仿宋" w:eastAsia="仿宋" w:cs="宋体"/>
          <w:sz w:val="32"/>
          <w:szCs w:val="32"/>
        </w:rPr>
      </w:pPr>
      <w:r>
        <w:rPr>
          <w:rFonts w:hint="eastAsia" w:ascii="仿宋" w:hAnsi="仿宋" w:eastAsia="仿宋" w:cs="宋体"/>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w:t>
      </w:r>
      <w:r>
        <w:rPr>
          <w:rFonts w:hint="eastAsia" w:ascii="仿宋" w:hAnsi="仿宋" w:eastAsia="仿宋" w:cs="仿宋"/>
          <w:sz w:val="32"/>
          <w:szCs w:val="32"/>
          <w:lang w:eastAsia="zh-CN"/>
        </w:rPr>
        <w:t>不敢腐、不能腐、不想腐</w:t>
      </w:r>
      <w:r>
        <w:rPr>
          <w:rFonts w:hint="eastAsia" w:ascii="仿宋" w:hAnsi="仿宋" w:eastAsia="仿宋" w:cs="仿宋"/>
          <w:sz w:val="32"/>
          <w:szCs w:val="32"/>
        </w:rPr>
        <w:t>，</w:t>
      </w:r>
      <w:r>
        <w:rPr>
          <w:rFonts w:hint="eastAsia" w:ascii="仿宋" w:hAnsi="仿宋" w:eastAsia="仿宋" w:cs="宋体"/>
          <w:sz w:val="32"/>
          <w:szCs w:val="32"/>
        </w:rPr>
        <w:t>持续巩固发展反腐败斗争压倒性胜利，推动新时代纪检监察工作高质量发展。</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、负责全县监察工作。贯彻落实党中央和省委、市委关于监察工作的决策部署，维护宪法法律，依法对县委管理的行使公权力的公职人员进行监察，调查职务违法和职务犯罪，开展廉政建设和反腐败工作。</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、综合分析全面从严治党、党风廉政建设和反腐败工作情况，对纪检监察重要理论及实践问题进行调查研究。</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、派驻纪检监察组对派出机关负责，加强对被监督单位领导班子及其成员、其他领导干部的监督，发现问题应当及时向派出机关和被监督单位党组织报告，认真负责调查处置，对需要问责的提出建议。</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、支持配合巡视巡察工作。承担巡视巡察整改日常监督责任，做好巡视巡察整改督查督办工作，依规依纪依法处置巡视巡察移交的反映领导干部问题线索。</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、完成上级交办的其他任务。</w:t>
      </w:r>
    </w:p>
    <w:p>
      <w:pPr>
        <w:spacing w:line="500" w:lineRule="exact"/>
        <w:ind w:firstLine="560"/>
        <w:rPr>
          <w:rFonts w:ascii="楷体" w:hAnsi="楷体" w:eastAsia="楷体"/>
          <w:sz w:val="32"/>
          <w:szCs w:val="32"/>
        </w:rPr>
      </w:pPr>
      <w:r>
        <w:rPr>
          <w:rFonts w:hint="eastAsia" w:ascii="楷体" w:hAnsi="楷体" w:eastAsia="楷体"/>
          <w:color w:val="000000"/>
          <w:sz w:val="32"/>
          <w:szCs w:val="32"/>
        </w:rPr>
        <w:t>（二）分项绩效目标</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、党风廉政建设职责绩效目标：积极发挥职能作用认真开展教育活动，加强党风廉政建设，营造风清气正、干事创业的工作氛围，全年实际开展教育活动次数占计划组织活动次数要达到</w:t>
      </w:r>
      <w:r>
        <w:rPr>
          <w:rFonts w:ascii="仿宋" w:hAnsi="仿宋" w:eastAsia="仿宋" w:cs="宋体"/>
          <w:sz w:val="32"/>
          <w:szCs w:val="32"/>
        </w:rPr>
        <w:t xml:space="preserve"> 60%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、纪检监察系统管理职责绩效目标：加强全县纪检监察系统领导班子、干部队伍和组织建设，打造一支专业化高素质的纪检监察干部队伍。</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w:t>
      </w:r>
      <w:r>
        <w:rPr>
          <w:rFonts w:ascii="仿宋" w:hAnsi="仿宋" w:eastAsia="仿宋" w:cs="宋体"/>
          <w:sz w:val="32"/>
          <w:szCs w:val="32"/>
        </w:rPr>
        <w:t xml:space="preserve"> 80%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、纪律检查职责绩效目标：维护党纪国法尊严，坚决惩处腐败分子，有效遏制腐败现象。纪律审查率、监督检查发现线索处置率和案件结案率达</w:t>
      </w:r>
      <w:r>
        <w:rPr>
          <w:rFonts w:ascii="仿宋" w:hAnsi="仿宋" w:eastAsia="仿宋" w:cs="宋体"/>
          <w:sz w:val="32"/>
          <w:szCs w:val="32"/>
        </w:rPr>
        <w:t xml:space="preserve"> 70%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lang w:eastAsia="zh-CN"/>
        </w:rPr>
      </w:pPr>
      <w:r>
        <w:rPr>
          <w:rFonts w:ascii="仿宋" w:hAnsi="仿宋" w:eastAsia="仿宋" w:cs="宋体"/>
          <w:sz w:val="32"/>
          <w:szCs w:val="32"/>
        </w:rPr>
        <w:t>5</w:t>
      </w:r>
      <w:r>
        <w:rPr>
          <w:rFonts w:hint="eastAsia" w:ascii="仿宋" w:hAnsi="仿宋" w:eastAsia="仿宋" w:cs="宋体"/>
          <w:sz w:val="32"/>
          <w:szCs w:val="32"/>
        </w:rPr>
        <w:t>、国家监察职责绩效目标：加强对所有行使公权力的公职人员的监督，实现国家监察全面覆盖，深入开展反腐败工作。监察调查完成率、调查发现线索处置率和举报移送立案率达</w:t>
      </w:r>
      <w:r>
        <w:rPr>
          <w:rFonts w:ascii="仿宋" w:hAnsi="仿宋" w:eastAsia="仿宋" w:cs="宋体"/>
          <w:sz w:val="32"/>
          <w:szCs w:val="32"/>
        </w:rPr>
        <w:t xml:space="preserve"> 70%</w:t>
      </w:r>
      <w:r>
        <w:rPr>
          <w:rFonts w:hint="eastAsia" w:ascii="仿宋" w:hAnsi="仿宋" w:eastAsia="仿宋" w:cs="宋体"/>
          <w:sz w:val="32"/>
          <w:szCs w:val="32"/>
        </w:rPr>
        <w:t>以上。</w:t>
      </w:r>
    </w:p>
    <w:p>
      <w:pPr>
        <w:spacing w:line="500" w:lineRule="exact"/>
        <w:ind w:firstLine="560"/>
        <w:rPr>
          <w:rFonts w:ascii="楷体" w:hAnsi="楷体" w:eastAsia="楷体"/>
          <w:sz w:val="32"/>
          <w:szCs w:val="32"/>
        </w:rPr>
      </w:pPr>
      <w:r>
        <w:rPr>
          <w:rFonts w:hint="eastAsia" w:ascii="楷体" w:hAnsi="楷体" w:eastAsia="楷体"/>
          <w:color w:val="000000"/>
          <w:sz w:val="32"/>
          <w:szCs w:val="32"/>
        </w:rPr>
        <w:t>（三）工作保障措施</w:t>
      </w:r>
    </w:p>
    <w:p>
      <w:pPr>
        <w:pStyle w:val="29"/>
        <w:rPr>
          <w:lang w:eastAsia="zh-CN"/>
        </w:rPr>
      </w:pP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、规范财务资产管理。在完善财务管理制度的基础上，严格审批程序。搞好资产清查，加强固定资产登记、使用和报废处置管理，做到支出合理，物尽其用。</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加强内部监督。加强内控管理，严格审核、监督重大支出决策程序，审核政府采购、资产处置等重要经济业务事项的决策和执行是否符合有关规定，配合做好审计、财政监督等外部监督工作，确保财政资金安全有效。</w:t>
      </w:r>
    </w:p>
    <w:p>
      <w:pPr>
        <w:spacing w:line="360" w:lineRule="auto"/>
        <w:ind w:firstLine="640" w:firstLineChars="200"/>
        <w:rPr>
          <w:rFonts w:ascii="仿宋" w:hAnsi="仿宋" w:eastAsia="仿宋" w:cs="宋体"/>
          <w:sz w:val="32"/>
          <w:szCs w:val="32"/>
          <w:lang w:eastAsia="zh-CN"/>
        </w:rPr>
      </w:pPr>
      <w:r>
        <w:rPr>
          <w:rFonts w:ascii="仿宋" w:hAnsi="仿宋" w:eastAsia="仿宋" w:cs="宋体"/>
          <w:sz w:val="32"/>
          <w:szCs w:val="32"/>
        </w:rPr>
        <w:t>4</w:t>
      </w:r>
      <w:r>
        <w:rPr>
          <w:rFonts w:hint="eastAsia" w:ascii="仿宋" w:hAnsi="仿宋" w:eastAsia="仿宋" w:cs="宋体"/>
          <w:sz w:val="32"/>
          <w:szCs w:val="32"/>
        </w:rPr>
        <w:t>、加强宣传培训。强化预算绩效意识，进行预算绩效宣传，促进预算绩效管理水平进一步提升。加强调查研究，提出优化资金配置、提高资金使用效益的意见建议。</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1、2024年安若松工伤医疗费绩效目标表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13042424P001PDR10203F</w:t>
            </w:r>
          </w:p>
        </w:tc>
        <w:tc>
          <w:tcPr>
            <w:tcW w:w="2835" w:type="dxa"/>
            <w:vAlign w:val="center"/>
          </w:tcPr>
          <w:p>
            <w:pPr>
              <w:pStyle w:val="11"/>
            </w:pPr>
            <w:r>
              <w:t>项目名称</w:t>
            </w:r>
          </w:p>
        </w:tc>
        <w:tc>
          <w:tcPr>
            <w:tcW w:w="6094" w:type="dxa"/>
            <w:gridSpan w:val="3"/>
            <w:vAlign w:val="center"/>
          </w:tcPr>
          <w:p>
            <w:pPr>
              <w:pStyle w:val="13"/>
            </w:pPr>
            <w:r>
              <w:t>2024年安若松工伤医疗费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2024年安若松工伤医疗费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3"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1.内容安若松工伤医疗费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年度完成 情况</w:t>
            </w:r>
          </w:p>
        </w:tc>
        <w:tc>
          <w:tcPr>
            <w:tcW w:w="5386" w:type="dxa"/>
            <w:vAlign w:val="center"/>
          </w:tcPr>
          <w:p>
            <w:pPr>
              <w:pStyle w:val="13"/>
            </w:pPr>
            <w:r>
              <w:t>年度完成 情况</w:t>
            </w:r>
          </w:p>
        </w:tc>
        <w:tc>
          <w:tcPr>
            <w:tcW w:w="2268" w:type="dxa"/>
            <w:vAlign w:val="center"/>
          </w:tcPr>
          <w:p>
            <w:pPr>
              <w:pStyle w:val="13"/>
            </w:pPr>
            <w:r>
              <w:t>≥98%</w:t>
            </w:r>
          </w:p>
        </w:tc>
        <w:tc>
          <w:tcPr>
            <w:tcW w:w="1276" w:type="dxa"/>
            <w:vAlign w:val="center"/>
          </w:tcPr>
          <w:p>
            <w:pPr>
              <w:pStyle w:val="13"/>
            </w:pPr>
            <w:r>
              <w:t>年度 完成 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服务态度</w:t>
            </w:r>
          </w:p>
        </w:tc>
        <w:tc>
          <w:tcPr>
            <w:tcW w:w="5386" w:type="dxa"/>
            <w:vAlign w:val="center"/>
          </w:tcPr>
          <w:p>
            <w:pPr>
              <w:pStyle w:val="13"/>
            </w:pPr>
            <w:r>
              <w:t>服务态度</w:t>
            </w:r>
          </w:p>
        </w:tc>
        <w:tc>
          <w:tcPr>
            <w:tcW w:w="2268" w:type="dxa"/>
            <w:vAlign w:val="center"/>
          </w:tcPr>
          <w:p>
            <w:pPr>
              <w:pStyle w:val="13"/>
            </w:pPr>
            <w:r>
              <w:t>≥98%</w:t>
            </w:r>
          </w:p>
        </w:tc>
        <w:tc>
          <w:tcPr>
            <w:tcW w:w="1276" w:type="dxa"/>
            <w:vAlign w:val="center"/>
          </w:tcPr>
          <w:p>
            <w:pPr>
              <w:pStyle w:val="13"/>
            </w:pPr>
            <w:r>
              <w:t>服务态度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资金支付时限</w:t>
            </w:r>
          </w:p>
        </w:tc>
        <w:tc>
          <w:tcPr>
            <w:tcW w:w="5386" w:type="dxa"/>
            <w:vAlign w:val="center"/>
          </w:tcPr>
          <w:p>
            <w:pPr>
              <w:pStyle w:val="13"/>
            </w:pPr>
            <w:r>
              <w:t>资金支付时限</w:t>
            </w:r>
          </w:p>
        </w:tc>
        <w:tc>
          <w:tcPr>
            <w:tcW w:w="2268" w:type="dxa"/>
            <w:vAlign w:val="center"/>
          </w:tcPr>
          <w:p>
            <w:pPr>
              <w:pStyle w:val="13"/>
            </w:pPr>
            <w:r>
              <w:t>1年</w:t>
            </w:r>
          </w:p>
        </w:tc>
        <w:tc>
          <w:tcPr>
            <w:tcW w:w="1276" w:type="dxa"/>
            <w:vAlign w:val="center"/>
          </w:tcPr>
          <w:p>
            <w:pPr>
              <w:pStyle w:val="13"/>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≥96%</w:t>
            </w:r>
          </w:p>
        </w:tc>
        <w:tc>
          <w:tcPr>
            <w:tcW w:w="1276" w:type="dxa"/>
            <w:vAlign w:val="center"/>
          </w:tcPr>
          <w:p>
            <w:pPr>
              <w:pStyle w:val="13"/>
            </w:pPr>
            <w:r>
              <w:t>社会经济效益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≥98%</w:t>
            </w:r>
          </w:p>
        </w:tc>
        <w:tc>
          <w:tcPr>
            <w:tcW w:w="1276" w:type="dxa"/>
            <w:vAlign w:val="center"/>
          </w:tcPr>
          <w:p>
            <w:pPr>
              <w:pStyle w:val="13"/>
            </w:pPr>
            <w:r>
              <w:t>完成效益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办理满意度</w:t>
            </w:r>
          </w:p>
        </w:tc>
        <w:tc>
          <w:tcPr>
            <w:tcW w:w="5386" w:type="dxa"/>
            <w:vAlign w:val="center"/>
          </w:tcPr>
          <w:p>
            <w:pPr>
              <w:pStyle w:val="13"/>
            </w:pPr>
            <w:r>
              <w:t>办理满意度</w:t>
            </w:r>
          </w:p>
        </w:tc>
        <w:tc>
          <w:tcPr>
            <w:tcW w:w="2268" w:type="dxa"/>
            <w:vAlign w:val="center"/>
          </w:tcPr>
          <w:p>
            <w:pPr>
              <w:pStyle w:val="13"/>
            </w:pPr>
            <w:r>
              <w:t>≥98%</w:t>
            </w:r>
          </w:p>
        </w:tc>
        <w:tc>
          <w:tcPr>
            <w:tcW w:w="1276" w:type="dxa"/>
            <w:vAlign w:val="center"/>
          </w:tcPr>
          <w:p>
            <w:pPr>
              <w:pStyle w:val="13"/>
            </w:pPr>
            <w:r>
              <w:t>办理满意度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2、2024年办案一体化工作平台绩效目标表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13042424P001PDR102869</w:t>
            </w:r>
          </w:p>
        </w:tc>
        <w:tc>
          <w:tcPr>
            <w:tcW w:w="2835" w:type="dxa"/>
            <w:vAlign w:val="center"/>
          </w:tcPr>
          <w:p>
            <w:pPr>
              <w:pStyle w:val="11"/>
            </w:pPr>
            <w:r>
              <w:t>项目名称</w:t>
            </w:r>
          </w:p>
        </w:tc>
        <w:tc>
          <w:tcPr>
            <w:tcW w:w="6094" w:type="dxa"/>
            <w:gridSpan w:val="3"/>
            <w:vAlign w:val="center"/>
          </w:tcPr>
          <w:p>
            <w:pPr>
              <w:pStyle w:val="13"/>
            </w:pPr>
            <w:r>
              <w:t>2024年办案一体化工作平台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办案一体化平台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1.内容办案一体化平台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年度完成情况</w:t>
            </w:r>
          </w:p>
        </w:tc>
        <w:tc>
          <w:tcPr>
            <w:tcW w:w="5386" w:type="dxa"/>
            <w:vAlign w:val="center"/>
          </w:tcPr>
          <w:p>
            <w:pPr>
              <w:pStyle w:val="13"/>
            </w:pPr>
            <w:r>
              <w:t>年度完成情况</w:t>
            </w:r>
          </w:p>
        </w:tc>
        <w:tc>
          <w:tcPr>
            <w:tcW w:w="2268" w:type="dxa"/>
            <w:vAlign w:val="center"/>
          </w:tcPr>
          <w:p>
            <w:pPr>
              <w:pStyle w:val="13"/>
            </w:pPr>
            <w:r>
              <w:t>≥98%</w:t>
            </w:r>
          </w:p>
        </w:tc>
        <w:tc>
          <w:tcPr>
            <w:tcW w:w="1276" w:type="dxa"/>
            <w:vAlign w:val="center"/>
          </w:tcPr>
          <w:p>
            <w:pPr>
              <w:pStyle w:val="13"/>
            </w:pPr>
            <w:r>
              <w:t>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终端质量维护指标</w:t>
            </w:r>
          </w:p>
        </w:tc>
        <w:tc>
          <w:tcPr>
            <w:tcW w:w="5386" w:type="dxa"/>
            <w:vAlign w:val="center"/>
          </w:tcPr>
          <w:p>
            <w:pPr>
              <w:pStyle w:val="13"/>
            </w:pPr>
            <w:r>
              <w:t>终端质量维护指标</w:t>
            </w:r>
          </w:p>
        </w:tc>
        <w:tc>
          <w:tcPr>
            <w:tcW w:w="2268" w:type="dxa"/>
            <w:vAlign w:val="center"/>
          </w:tcPr>
          <w:p>
            <w:pPr>
              <w:pStyle w:val="13"/>
            </w:pPr>
            <w:r>
              <w:t>≥98%</w:t>
            </w:r>
          </w:p>
        </w:tc>
        <w:tc>
          <w:tcPr>
            <w:tcW w:w="1276" w:type="dxa"/>
            <w:vAlign w:val="center"/>
          </w:tcPr>
          <w:p>
            <w:pPr>
              <w:pStyle w:val="13"/>
            </w:pPr>
            <w:r>
              <w:t>质量维护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资金支付时限</w:t>
            </w:r>
          </w:p>
        </w:tc>
        <w:tc>
          <w:tcPr>
            <w:tcW w:w="5386" w:type="dxa"/>
            <w:vAlign w:val="center"/>
          </w:tcPr>
          <w:p>
            <w:pPr>
              <w:pStyle w:val="13"/>
            </w:pPr>
            <w:r>
              <w:t>资金支付时限</w:t>
            </w:r>
          </w:p>
        </w:tc>
        <w:tc>
          <w:tcPr>
            <w:tcW w:w="2268" w:type="dxa"/>
            <w:vAlign w:val="center"/>
          </w:tcPr>
          <w:p>
            <w:pPr>
              <w:pStyle w:val="13"/>
            </w:pPr>
            <w:r>
              <w:t>1年</w:t>
            </w:r>
          </w:p>
        </w:tc>
        <w:tc>
          <w:tcPr>
            <w:tcW w:w="1276" w:type="dxa"/>
            <w:vAlign w:val="center"/>
          </w:tcPr>
          <w:p>
            <w:pPr>
              <w:pStyle w:val="13"/>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≥98%</w:t>
            </w:r>
          </w:p>
        </w:tc>
        <w:tc>
          <w:tcPr>
            <w:tcW w:w="1276" w:type="dxa"/>
            <w:vAlign w:val="center"/>
          </w:tcPr>
          <w:p>
            <w:pPr>
              <w:pStyle w:val="13"/>
            </w:pPr>
            <w: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≥97%</w:t>
            </w:r>
          </w:p>
        </w:tc>
        <w:tc>
          <w:tcPr>
            <w:tcW w:w="1276" w:type="dxa"/>
            <w:vAlign w:val="center"/>
          </w:tcPr>
          <w:p>
            <w:pPr>
              <w:pStyle w:val="13"/>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办理满意度</w:t>
            </w:r>
          </w:p>
        </w:tc>
        <w:tc>
          <w:tcPr>
            <w:tcW w:w="5386" w:type="dxa"/>
            <w:vAlign w:val="center"/>
          </w:tcPr>
          <w:p>
            <w:pPr>
              <w:pStyle w:val="13"/>
            </w:pPr>
            <w:r>
              <w:t>办理满意度</w:t>
            </w:r>
          </w:p>
        </w:tc>
        <w:tc>
          <w:tcPr>
            <w:tcW w:w="2268" w:type="dxa"/>
            <w:vAlign w:val="center"/>
          </w:tcPr>
          <w:p>
            <w:pPr>
              <w:pStyle w:val="13"/>
            </w:pPr>
            <w:r>
              <w:t>≥98%</w:t>
            </w:r>
          </w:p>
        </w:tc>
        <w:tc>
          <w:tcPr>
            <w:tcW w:w="1276" w:type="dxa"/>
            <w:vAlign w:val="center"/>
          </w:tcPr>
          <w:p>
            <w:pPr>
              <w:pStyle w:val="13"/>
            </w:pPr>
            <w:r>
              <w:t>办理满意度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w:t>
      </w:r>
      <w:r>
        <w:rPr>
          <w:rFonts w:hint="eastAsia" w:ascii="方正仿宋_GBK" w:hAnsi="方正仿宋_GBK" w:eastAsia="方正仿宋_GBK" w:cs="方正仿宋_GBK"/>
          <w:b/>
          <w:color w:val="000000"/>
          <w:sz w:val="28"/>
          <w:lang w:eastAsia="zh-CN"/>
        </w:rPr>
        <w:t>纪检监察</w:t>
      </w:r>
      <w:r>
        <w:rPr>
          <w:rFonts w:ascii="方正仿宋_GBK" w:hAnsi="方正仿宋_GBK" w:eastAsia="方正仿宋_GBK" w:cs="方正仿宋_GBK"/>
          <w:b/>
          <w:color w:val="000000"/>
          <w:sz w:val="28"/>
        </w:rPr>
        <w:t>留置办案经费绩效目标表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13042424P001PDR10287W</w:t>
            </w:r>
          </w:p>
        </w:tc>
        <w:tc>
          <w:tcPr>
            <w:tcW w:w="2835" w:type="dxa"/>
            <w:vAlign w:val="center"/>
          </w:tcPr>
          <w:p>
            <w:pPr>
              <w:pStyle w:val="11"/>
            </w:pPr>
            <w:r>
              <w:t>项目名称</w:t>
            </w:r>
          </w:p>
        </w:tc>
        <w:tc>
          <w:tcPr>
            <w:tcW w:w="6094" w:type="dxa"/>
            <w:gridSpan w:val="3"/>
            <w:vAlign w:val="center"/>
          </w:tcPr>
          <w:p>
            <w:pPr>
              <w:pStyle w:val="13"/>
            </w:pPr>
            <w:r>
              <w:t>2024年</w:t>
            </w:r>
            <w:r>
              <w:rPr>
                <w:rFonts w:hint="eastAsia"/>
                <w:lang w:eastAsia="zh-CN"/>
              </w:rPr>
              <w:t>纪检监察</w:t>
            </w:r>
            <w:r>
              <w:t>留置办案经费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2024年纪检监察留置办案经费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15.00</w:t>
            </w:r>
          </w:p>
        </w:tc>
        <w:tc>
          <w:tcPr>
            <w:tcW w:w="2551" w:type="dxa"/>
            <w:vAlign w:val="center"/>
          </w:tcPr>
          <w:p>
            <w:pPr>
              <w:pStyle w:val="14"/>
            </w:pPr>
            <w:r>
              <w:t>20.00</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1.内容2024年留置办案经费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留置人员数量</w:t>
            </w:r>
          </w:p>
        </w:tc>
        <w:tc>
          <w:tcPr>
            <w:tcW w:w="5386" w:type="dxa"/>
            <w:vAlign w:val="center"/>
          </w:tcPr>
          <w:p>
            <w:pPr>
              <w:pStyle w:val="13"/>
            </w:pPr>
            <w:r>
              <w:t>留置人员数量</w:t>
            </w:r>
          </w:p>
        </w:tc>
        <w:tc>
          <w:tcPr>
            <w:tcW w:w="2268" w:type="dxa"/>
            <w:vAlign w:val="center"/>
          </w:tcPr>
          <w:p>
            <w:pPr>
              <w:pStyle w:val="13"/>
            </w:pPr>
            <w:r>
              <w:t>≥98%</w:t>
            </w:r>
          </w:p>
        </w:tc>
        <w:tc>
          <w:tcPr>
            <w:tcW w:w="1276" w:type="dxa"/>
            <w:vAlign w:val="center"/>
          </w:tcPr>
          <w:p>
            <w:pPr>
              <w:pStyle w:val="13"/>
            </w:pPr>
            <w:r>
              <w:t>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服务态度</w:t>
            </w:r>
          </w:p>
        </w:tc>
        <w:tc>
          <w:tcPr>
            <w:tcW w:w="5386" w:type="dxa"/>
            <w:vAlign w:val="center"/>
          </w:tcPr>
          <w:p>
            <w:pPr>
              <w:pStyle w:val="13"/>
            </w:pPr>
            <w:r>
              <w:t>服务态度</w:t>
            </w:r>
          </w:p>
        </w:tc>
        <w:tc>
          <w:tcPr>
            <w:tcW w:w="2268" w:type="dxa"/>
            <w:vAlign w:val="center"/>
          </w:tcPr>
          <w:p>
            <w:pPr>
              <w:pStyle w:val="13"/>
            </w:pPr>
            <w:r>
              <w:t>≥98%</w:t>
            </w:r>
          </w:p>
        </w:tc>
        <w:tc>
          <w:tcPr>
            <w:tcW w:w="1276" w:type="dxa"/>
            <w:vAlign w:val="center"/>
          </w:tcPr>
          <w:p>
            <w:pPr>
              <w:pStyle w:val="13"/>
            </w:pPr>
            <w:r>
              <w:t>服务满意度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资金支付时限</w:t>
            </w:r>
          </w:p>
        </w:tc>
        <w:tc>
          <w:tcPr>
            <w:tcW w:w="5386" w:type="dxa"/>
            <w:vAlign w:val="center"/>
          </w:tcPr>
          <w:p>
            <w:pPr>
              <w:pStyle w:val="13"/>
            </w:pPr>
            <w:r>
              <w:t>资金支付时限</w:t>
            </w:r>
          </w:p>
        </w:tc>
        <w:tc>
          <w:tcPr>
            <w:tcW w:w="2268" w:type="dxa"/>
            <w:vAlign w:val="center"/>
          </w:tcPr>
          <w:p>
            <w:pPr>
              <w:pStyle w:val="13"/>
            </w:pPr>
            <w:r>
              <w:t>1年</w:t>
            </w:r>
          </w:p>
        </w:tc>
        <w:tc>
          <w:tcPr>
            <w:tcW w:w="1276" w:type="dxa"/>
            <w:vAlign w:val="center"/>
          </w:tcPr>
          <w:p>
            <w:pPr>
              <w:pStyle w:val="13"/>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经济效益完成率</w:t>
            </w:r>
          </w:p>
        </w:tc>
        <w:tc>
          <w:tcPr>
            <w:tcW w:w="5386" w:type="dxa"/>
            <w:vAlign w:val="center"/>
          </w:tcPr>
          <w:p>
            <w:pPr>
              <w:pStyle w:val="13"/>
            </w:pPr>
            <w:r>
              <w:t>经济效益完成率</w:t>
            </w:r>
          </w:p>
        </w:tc>
        <w:tc>
          <w:tcPr>
            <w:tcW w:w="2268" w:type="dxa"/>
            <w:vAlign w:val="center"/>
          </w:tcPr>
          <w:p>
            <w:pPr>
              <w:pStyle w:val="13"/>
            </w:pPr>
            <w:r>
              <w:t>≥98%</w:t>
            </w:r>
          </w:p>
        </w:tc>
        <w:tc>
          <w:tcPr>
            <w:tcW w:w="1276" w:type="dxa"/>
            <w:vAlign w:val="center"/>
          </w:tcPr>
          <w:p>
            <w:pPr>
              <w:pStyle w:val="13"/>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社会工作反馈率</w:t>
            </w:r>
          </w:p>
        </w:tc>
        <w:tc>
          <w:tcPr>
            <w:tcW w:w="5386" w:type="dxa"/>
            <w:vAlign w:val="center"/>
          </w:tcPr>
          <w:p>
            <w:pPr>
              <w:pStyle w:val="13"/>
            </w:pPr>
            <w:r>
              <w:t>社会工作反馈率</w:t>
            </w:r>
          </w:p>
        </w:tc>
        <w:tc>
          <w:tcPr>
            <w:tcW w:w="2268" w:type="dxa"/>
            <w:vAlign w:val="center"/>
          </w:tcPr>
          <w:p>
            <w:pPr>
              <w:pStyle w:val="13"/>
            </w:pPr>
            <w:r>
              <w:t>≥97%</w:t>
            </w:r>
          </w:p>
        </w:tc>
        <w:tc>
          <w:tcPr>
            <w:tcW w:w="1276" w:type="dxa"/>
            <w:vAlign w:val="center"/>
          </w:tcPr>
          <w:p>
            <w:pPr>
              <w:pStyle w:val="13"/>
            </w:pPr>
            <w:r>
              <w:t>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办理满意度</w:t>
            </w:r>
          </w:p>
        </w:tc>
        <w:tc>
          <w:tcPr>
            <w:tcW w:w="5386" w:type="dxa"/>
            <w:vAlign w:val="center"/>
          </w:tcPr>
          <w:p>
            <w:pPr>
              <w:pStyle w:val="13"/>
            </w:pPr>
            <w:r>
              <w:t>办理满意度</w:t>
            </w:r>
          </w:p>
        </w:tc>
        <w:tc>
          <w:tcPr>
            <w:tcW w:w="2268" w:type="dxa"/>
            <w:vAlign w:val="center"/>
          </w:tcPr>
          <w:p>
            <w:pPr>
              <w:pStyle w:val="13"/>
            </w:pPr>
            <w:r>
              <w:t>≥98%</w:t>
            </w:r>
          </w:p>
        </w:tc>
        <w:tc>
          <w:tcPr>
            <w:tcW w:w="1276" w:type="dxa"/>
            <w:vAlign w:val="center"/>
          </w:tcPr>
          <w:p>
            <w:pPr>
              <w:pStyle w:val="13"/>
            </w:pPr>
            <w:r>
              <w:t>办理满意度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4、冀财政法【2023】49号2024年中央政法</w:t>
      </w:r>
      <w:r>
        <w:rPr>
          <w:rFonts w:hint="eastAsia" w:ascii="方正仿宋_GBK" w:hAnsi="方正仿宋_GBK" w:eastAsia="方正仿宋_GBK" w:cs="方正仿宋_GBK"/>
          <w:b/>
          <w:color w:val="000000"/>
          <w:sz w:val="28"/>
          <w:lang w:eastAsia="zh-CN"/>
        </w:rPr>
        <w:t>纪检监察</w:t>
      </w:r>
      <w:r>
        <w:rPr>
          <w:rFonts w:ascii="方正仿宋_GBK" w:hAnsi="方正仿宋_GBK" w:eastAsia="方正仿宋_GBK" w:cs="方正仿宋_GBK"/>
          <w:b/>
          <w:color w:val="000000"/>
          <w:sz w:val="28"/>
        </w:rPr>
        <w:t>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13042424P00J72C10184F</w:t>
            </w:r>
          </w:p>
        </w:tc>
        <w:tc>
          <w:tcPr>
            <w:tcW w:w="2835" w:type="dxa"/>
            <w:vAlign w:val="center"/>
          </w:tcPr>
          <w:p>
            <w:pPr>
              <w:pStyle w:val="11"/>
            </w:pPr>
            <w:r>
              <w:t>项目名称</w:t>
            </w:r>
          </w:p>
        </w:tc>
        <w:tc>
          <w:tcPr>
            <w:tcW w:w="6094" w:type="dxa"/>
            <w:gridSpan w:val="3"/>
            <w:vAlign w:val="center"/>
          </w:tcPr>
          <w:p>
            <w:pPr>
              <w:pStyle w:val="13"/>
            </w:pPr>
            <w:r>
              <w:t>冀财政法【2023】49号2024年中央政法</w:t>
            </w:r>
            <w:r>
              <w:rPr>
                <w:rFonts w:hint="eastAsia"/>
                <w:lang w:eastAsia="zh-CN"/>
              </w:rPr>
              <w:t>纪检监察</w:t>
            </w:r>
            <w:r>
              <w:t>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冀财政法【2023】49号2024年中央政法</w:t>
            </w:r>
            <w:r>
              <w:rPr>
                <w:rFonts w:hint="eastAsia"/>
                <w:lang w:eastAsia="zh-CN"/>
              </w:rPr>
              <w:t>纪检监察</w:t>
            </w:r>
            <w:r>
              <w:t>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7.00</w:t>
            </w:r>
          </w:p>
        </w:tc>
        <w:tc>
          <w:tcPr>
            <w:tcW w:w="2551" w:type="dxa"/>
            <w:vAlign w:val="center"/>
          </w:tcPr>
          <w:p>
            <w:pPr>
              <w:pStyle w:val="14"/>
            </w:pPr>
            <w:r>
              <w:t>9.00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1.冀财政法【2023】49号2024年中央政法</w:t>
            </w:r>
            <w:r>
              <w:rPr>
                <w:rFonts w:hint="eastAsia"/>
                <w:lang w:eastAsia="zh-CN"/>
              </w:rPr>
              <w:t>纪检监察</w:t>
            </w:r>
            <w:r>
              <w:t>转移支付资金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留置办案完成情况</w:t>
            </w:r>
          </w:p>
        </w:tc>
        <w:tc>
          <w:tcPr>
            <w:tcW w:w="5386" w:type="dxa"/>
            <w:vAlign w:val="center"/>
          </w:tcPr>
          <w:p>
            <w:pPr>
              <w:pStyle w:val="13"/>
            </w:pPr>
            <w:r>
              <w:t>留置办案完成情况</w:t>
            </w:r>
          </w:p>
        </w:tc>
        <w:tc>
          <w:tcPr>
            <w:tcW w:w="2268" w:type="dxa"/>
            <w:vAlign w:val="center"/>
          </w:tcPr>
          <w:p>
            <w:pPr>
              <w:pStyle w:val="13"/>
            </w:pPr>
            <w:r>
              <w:t>≥98%</w:t>
            </w:r>
          </w:p>
        </w:tc>
        <w:tc>
          <w:tcPr>
            <w:tcW w:w="1276" w:type="dxa"/>
            <w:vAlign w:val="center"/>
          </w:tcPr>
          <w:p>
            <w:pPr>
              <w:pStyle w:val="13"/>
            </w:pPr>
            <w:r>
              <w:t>办理完成情况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年度完成情况</w:t>
            </w:r>
          </w:p>
        </w:tc>
        <w:tc>
          <w:tcPr>
            <w:tcW w:w="5386" w:type="dxa"/>
            <w:vAlign w:val="center"/>
          </w:tcPr>
          <w:p>
            <w:pPr>
              <w:pStyle w:val="13"/>
            </w:pPr>
            <w:r>
              <w:t>年度完成情况</w:t>
            </w:r>
          </w:p>
        </w:tc>
        <w:tc>
          <w:tcPr>
            <w:tcW w:w="2268" w:type="dxa"/>
            <w:vAlign w:val="center"/>
          </w:tcPr>
          <w:p>
            <w:pPr>
              <w:pStyle w:val="13"/>
            </w:pPr>
            <w:r>
              <w:t>≥98%</w:t>
            </w:r>
          </w:p>
        </w:tc>
        <w:tc>
          <w:tcPr>
            <w:tcW w:w="1276" w:type="dxa"/>
            <w:vAlign w:val="center"/>
          </w:tcPr>
          <w:p>
            <w:pPr>
              <w:pStyle w:val="13"/>
            </w:pPr>
            <w:r>
              <w:t>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留置经费支付时限</w:t>
            </w:r>
          </w:p>
        </w:tc>
        <w:tc>
          <w:tcPr>
            <w:tcW w:w="5386" w:type="dxa"/>
            <w:vAlign w:val="center"/>
          </w:tcPr>
          <w:p>
            <w:pPr>
              <w:pStyle w:val="13"/>
            </w:pPr>
            <w:r>
              <w:t>留置经费支付时限</w:t>
            </w:r>
          </w:p>
        </w:tc>
        <w:tc>
          <w:tcPr>
            <w:tcW w:w="2268" w:type="dxa"/>
            <w:vAlign w:val="center"/>
          </w:tcPr>
          <w:p>
            <w:pPr>
              <w:pStyle w:val="13"/>
            </w:pPr>
            <w:r>
              <w:t>1年</w:t>
            </w:r>
          </w:p>
        </w:tc>
        <w:tc>
          <w:tcPr>
            <w:tcW w:w="1276" w:type="dxa"/>
            <w:vAlign w:val="center"/>
          </w:tcPr>
          <w:p>
            <w:pPr>
              <w:pStyle w:val="13"/>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≥97%</w:t>
            </w:r>
          </w:p>
        </w:tc>
        <w:tc>
          <w:tcPr>
            <w:tcW w:w="1276" w:type="dxa"/>
            <w:vAlign w:val="center"/>
          </w:tcPr>
          <w:p>
            <w:pPr>
              <w:pStyle w:val="13"/>
            </w:pPr>
            <w:r>
              <w:t>完成效益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工作完成情况</w:t>
            </w:r>
          </w:p>
        </w:tc>
        <w:tc>
          <w:tcPr>
            <w:tcW w:w="5386" w:type="dxa"/>
            <w:vAlign w:val="center"/>
          </w:tcPr>
          <w:p>
            <w:pPr>
              <w:pStyle w:val="13"/>
            </w:pPr>
            <w:r>
              <w:t>工作完成情况</w:t>
            </w:r>
          </w:p>
        </w:tc>
        <w:tc>
          <w:tcPr>
            <w:tcW w:w="2268" w:type="dxa"/>
            <w:vAlign w:val="center"/>
          </w:tcPr>
          <w:p>
            <w:pPr>
              <w:pStyle w:val="13"/>
            </w:pPr>
            <w:r>
              <w:t>≥98%</w:t>
            </w:r>
          </w:p>
        </w:tc>
        <w:tc>
          <w:tcPr>
            <w:tcW w:w="1276" w:type="dxa"/>
            <w:vAlign w:val="center"/>
          </w:tcPr>
          <w:p>
            <w:pPr>
              <w:pStyle w:val="13"/>
            </w:pPr>
            <w:r>
              <w:t>社会经济效益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单位办理满意度</w:t>
            </w:r>
          </w:p>
        </w:tc>
        <w:tc>
          <w:tcPr>
            <w:tcW w:w="5386" w:type="dxa"/>
            <w:vAlign w:val="center"/>
          </w:tcPr>
          <w:p>
            <w:pPr>
              <w:pStyle w:val="13"/>
            </w:pPr>
            <w:r>
              <w:t>单位办理满意度</w:t>
            </w:r>
          </w:p>
        </w:tc>
        <w:tc>
          <w:tcPr>
            <w:tcW w:w="2268" w:type="dxa"/>
            <w:vAlign w:val="center"/>
          </w:tcPr>
          <w:p>
            <w:pPr>
              <w:pStyle w:val="13"/>
            </w:pPr>
            <w:r>
              <w:t>≥98%</w:t>
            </w:r>
          </w:p>
        </w:tc>
        <w:tc>
          <w:tcPr>
            <w:tcW w:w="1276" w:type="dxa"/>
            <w:vAlign w:val="center"/>
          </w:tcPr>
          <w:p>
            <w:pPr>
              <w:pStyle w:val="13"/>
            </w:pPr>
            <w:r>
              <w:t>单位办理满意度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5"/>
        <w:tblW w:w="16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200"/>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78" w:type="dxa"/>
            <w:gridSpan w:val="7"/>
            <w:tcBorders>
              <w:top w:val="single" w:color="FFFFFF" w:sz="6" w:space="0"/>
              <w:left w:val="single" w:color="FFFFFF" w:sz="6" w:space="0"/>
              <w:right w:val="single" w:color="FFFFFF" w:sz="6" w:space="0"/>
            </w:tcBorders>
            <w:vAlign w:val="center"/>
          </w:tcPr>
          <w:p>
            <w:pPr>
              <w:pStyle w:val="10"/>
              <w:rPr>
                <w:rFonts w:hint="eastAsia" w:eastAsiaTheme="minorEastAsia"/>
                <w:lang w:eastAsia="zh-CN"/>
              </w:rPr>
            </w:pPr>
            <w:r>
              <w:t>222</w:t>
            </w:r>
            <w:r>
              <w:rPr>
                <w:rFonts w:hint="eastAsia" w:eastAsiaTheme="minorEastAsia"/>
                <w:lang w:eastAsia="zh-CN"/>
              </w:rPr>
              <w:t>001</w:t>
            </w:r>
            <w:r>
              <w:rPr>
                <w:rFonts w:hint="eastAsia"/>
              </w:rPr>
              <w:t>成安县纪律检查委员会</w:t>
            </w:r>
            <w:r>
              <w:rPr>
                <w:rFonts w:hint="eastAsia" w:eastAsiaTheme="minorEastAsia"/>
                <w:lang w:eastAsia="zh-CN"/>
              </w:rPr>
              <w:t>本级</w:t>
            </w:r>
          </w:p>
        </w:tc>
        <w:tc>
          <w:tcPr>
            <w:tcW w:w="8676" w:type="dxa"/>
            <w:gridSpan w:val="9"/>
            <w:tcBorders>
              <w:top w:val="single" w:color="FFFFFF" w:sz="6" w:space="0"/>
              <w:left w:val="single" w:color="FFFFFF" w:sz="6" w:space="0"/>
              <w:right w:val="single" w:color="FFFFFF" w:sz="6" w:space="0"/>
            </w:tcBorders>
            <w:vAlign w:val="center"/>
          </w:tcPr>
          <w:p>
            <w:pPr>
              <w:pStyle w:val="2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01"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7712" w:type="dxa"/>
            <w:gridSpan w:val="8"/>
            <w:vAlign w:val="center"/>
          </w:tcPr>
          <w:p>
            <w:pPr>
              <w:pStyle w:val="11"/>
            </w:pPr>
            <w:r>
              <w:rPr>
                <w:rFonts w:hint="eastAsia"/>
              </w:rPr>
              <w:t>政府采购金额（当年部门预算安排资金）</w:t>
            </w:r>
          </w:p>
        </w:tc>
        <w:tc>
          <w:tcPr>
            <w:tcW w:w="964" w:type="dxa"/>
            <w:vMerge w:val="restart"/>
            <w:vAlign w:val="center"/>
          </w:tcPr>
          <w:p>
            <w:pPr>
              <w:pStyle w:val="11"/>
            </w:pPr>
            <w:r>
              <w:t>202</w:t>
            </w:r>
            <w:r>
              <w:rPr>
                <w:rFonts w:hint="eastAsia" w:eastAsiaTheme="minorEastAsia"/>
                <w:lang w:eastAsia="zh-CN"/>
              </w:rPr>
              <w:t>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1200"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财政拨</w:t>
            </w:r>
            <w:r>
              <w:t xml:space="preserve">    </w:t>
            </w:r>
            <w:r>
              <w:rPr>
                <w:rFonts w:hint="eastAsia"/>
              </w:rPr>
              <w:t>款结转</w:t>
            </w:r>
          </w:p>
        </w:tc>
        <w:tc>
          <w:tcPr>
            <w:tcW w:w="964" w:type="dxa"/>
            <w:vAlign w:val="center"/>
          </w:tcPr>
          <w:p>
            <w:pPr>
              <w:pStyle w:val="11"/>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atLeast"/>
          <w:tblHeader/>
          <w:jc w:val="center"/>
        </w:trPr>
        <w:tc>
          <w:tcPr>
            <w:tcW w:w="1701" w:type="dxa"/>
            <w:vAlign w:val="center"/>
          </w:tcPr>
          <w:p>
            <w:pPr>
              <w:pStyle w:val="11"/>
              <w:rPr>
                <w:lang w:eastAsia="zh-CN"/>
              </w:rPr>
            </w:pPr>
            <w:r>
              <w:rPr>
                <w:rFonts w:hint="eastAsia"/>
                <w:lang w:eastAsia="zh-CN"/>
              </w:rPr>
              <w:t>合计</w:t>
            </w:r>
          </w:p>
        </w:tc>
        <w:tc>
          <w:tcPr>
            <w:tcW w:w="1200" w:type="dxa"/>
            <w:vAlign w:val="center"/>
          </w:tcPr>
          <w:p>
            <w:pPr>
              <w:pStyle w:val="11"/>
              <w:rPr>
                <w:lang w:eastAsia="zh-CN"/>
              </w:rPr>
            </w:pPr>
            <w:r>
              <w:rPr>
                <w:lang w:eastAsia="zh-CN"/>
              </w:rPr>
              <w:t>10</w:t>
            </w: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11"/>
              <w:rPr>
                <w:lang w:eastAsia="zh-CN"/>
              </w:rPr>
            </w:pPr>
            <w:r>
              <w:rPr>
                <w:lang w:eastAsia="zh-CN"/>
              </w:rPr>
              <w:t>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1701" w:type="dxa"/>
            <w:vAlign w:val="center"/>
          </w:tcPr>
          <w:p>
            <w:pPr>
              <w:pStyle w:val="13"/>
              <w:rPr>
                <w:lang w:eastAsia="zh-CN"/>
              </w:rPr>
            </w:pPr>
            <w:r>
              <w:rPr>
                <w:rFonts w:hint="eastAsia"/>
                <w:lang w:eastAsia="zh-CN"/>
              </w:rPr>
              <w:t>日常公用</w:t>
            </w:r>
          </w:p>
        </w:tc>
        <w:tc>
          <w:tcPr>
            <w:tcW w:w="1200" w:type="dxa"/>
            <w:vAlign w:val="center"/>
          </w:tcPr>
          <w:p>
            <w:pPr>
              <w:pStyle w:val="12"/>
              <w:rPr>
                <w:lang w:eastAsia="zh-CN"/>
              </w:rPr>
            </w:pPr>
            <w:r>
              <w:rPr>
                <w:lang w:eastAsia="zh-CN"/>
              </w:rPr>
              <w:t>4.6</w:t>
            </w:r>
          </w:p>
        </w:tc>
        <w:tc>
          <w:tcPr>
            <w:tcW w:w="1134" w:type="dxa"/>
            <w:vAlign w:val="center"/>
          </w:tcPr>
          <w:p>
            <w:pPr>
              <w:pStyle w:val="13"/>
              <w:rPr>
                <w:lang w:eastAsia="zh-CN"/>
              </w:rPr>
            </w:pPr>
            <w:r>
              <w:rPr>
                <w:rFonts w:hint="eastAsia"/>
                <w:lang w:eastAsia="zh-CN"/>
              </w:rPr>
              <w:t>电脑</w:t>
            </w:r>
          </w:p>
        </w:tc>
        <w:tc>
          <w:tcPr>
            <w:tcW w:w="1134" w:type="dxa"/>
            <w:vAlign w:val="center"/>
          </w:tcPr>
          <w:p>
            <w:pPr>
              <w:pStyle w:val="13"/>
              <w:rPr>
                <w:lang w:eastAsia="zh-CN"/>
              </w:rPr>
            </w:pPr>
            <w:r>
              <w:rPr>
                <w:lang w:eastAsia="zh-CN"/>
              </w:rPr>
              <w:t>A0999</w:t>
            </w:r>
          </w:p>
        </w:tc>
        <w:tc>
          <w:tcPr>
            <w:tcW w:w="709" w:type="dxa"/>
            <w:vAlign w:val="center"/>
          </w:tcPr>
          <w:p>
            <w:pPr>
              <w:pStyle w:val="14"/>
              <w:rPr>
                <w:lang w:eastAsia="zh-CN"/>
              </w:rPr>
            </w:pPr>
            <w:r>
              <w:rPr>
                <w:rFonts w:hint="eastAsia"/>
                <w:lang w:eastAsia="zh-CN"/>
              </w:rPr>
              <w:t>台</w:t>
            </w:r>
          </w:p>
        </w:tc>
        <w:tc>
          <w:tcPr>
            <w:tcW w:w="850" w:type="dxa"/>
            <w:vAlign w:val="center"/>
          </w:tcPr>
          <w:p>
            <w:pPr>
              <w:pStyle w:val="12"/>
              <w:ind w:right="105"/>
              <w:rPr>
                <w:lang w:eastAsia="zh-CN"/>
              </w:rPr>
            </w:pPr>
            <w:r>
              <w:rPr>
                <w:lang w:eastAsia="zh-CN"/>
              </w:rPr>
              <w:t>9</w:t>
            </w:r>
          </w:p>
        </w:tc>
        <w:tc>
          <w:tcPr>
            <w:tcW w:w="850" w:type="dxa"/>
            <w:vAlign w:val="center"/>
          </w:tcPr>
          <w:p>
            <w:pPr>
              <w:pStyle w:val="12"/>
              <w:rPr>
                <w:lang w:eastAsia="zh-CN"/>
              </w:rPr>
            </w:pPr>
            <w:r>
              <w:rPr>
                <w:lang w:eastAsia="zh-CN"/>
              </w:rPr>
              <w:t>0.51</w:t>
            </w:r>
          </w:p>
        </w:tc>
        <w:tc>
          <w:tcPr>
            <w:tcW w:w="964" w:type="dxa"/>
            <w:vAlign w:val="center"/>
          </w:tcPr>
          <w:p>
            <w:pPr>
              <w:pStyle w:val="12"/>
              <w:rPr>
                <w:lang w:eastAsia="zh-CN"/>
              </w:rPr>
            </w:pPr>
            <w:r>
              <w:rPr>
                <w:lang w:eastAsia="zh-CN"/>
              </w:rPr>
              <w:t>4.6</w:t>
            </w:r>
          </w:p>
        </w:tc>
        <w:tc>
          <w:tcPr>
            <w:tcW w:w="964" w:type="dxa"/>
            <w:vAlign w:val="center"/>
          </w:tcPr>
          <w:p>
            <w:pPr>
              <w:pStyle w:val="12"/>
              <w:rPr>
                <w:lang w:eastAsia="zh-CN"/>
              </w:rPr>
            </w:pPr>
            <w:r>
              <w:rPr>
                <w:lang w:eastAsia="zh-CN"/>
              </w:rPr>
              <w:t>4.6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仿宋" w:hAnsi="仿宋" w:eastAsia="仿宋" w:cs="仿宋_GB2312"/>
                <w:szCs w:val="21"/>
              </w:rPr>
            </w:pPr>
            <w:r>
              <w:rPr>
                <w:rFonts w:hint="eastAsia" w:ascii="仿宋" w:hAnsi="仿宋" w:eastAsia="仿宋"/>
                <w:b/>
                <w:bCs/>
                <w:szCs w:val="21"/>
                <w:lang w:eastAsia="zh-CN"/>
              </w:rPr>
              <w:t>日常公用经费</w:t>
            </w:r>
          </w:p>
        </w:tc>
        <w:tc>
          <w:tcPr>
            <w:tcW w:w="120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2.8</w:t>
            </w:r>
          </w:p>
        </w:tc>
        <w:tc>
          <w:tcPr>
            <w:tcW w:w="1134" w:type="dxa"/>
            <w:vAlign w:val="center"/>
          </w:tcPr>
          <w:p>
            <w:pPr>
              <w:spacing w:line="560" w:lineRule="exact"/>
              <w:jc w:val="center"/>
              <w:rPr>
                <w:rFonts w:ascii="仿宋" w:hAnsi="仿宋" w:eastAsia="仿宋"/>
                <w:b/>
                <w:bCs/>
                <w:sz w:val="18"/>
                <w:szCs w:val="18"/>
              </w:rPr>
            </w:pPr>
            <w:r>
              <w:rPr>
                <w:rFonts w:hint="eastAsia" w:ascii="仿宋" w:hAnsi="仿宋" w:eastAsia="仿宋" w:cs="仿宋_GB2312"/>
                <w:szCs w:val="21"/>
              </w:rPr>
              <w:t>空调</w:t>
            </w:r>
          </w:p>
        </w:tc>
        <w:tc>
          <w:tcPr>
            <w:tcW w:w="1134" w:type="dxa"/>
            <w:vAlign w:val="center"/>
          </w:tcPr>
          <w:p>
            <w:pPr>
              <w:spacing w:line="560" w:lineRule="exact"/>
              <w:rPr>
                <w:rFonts w:ascii="仿宋" w:hAnsi="仿宋" w:eastAsia="仿宋"/>
                <w:b/>
                <w:bCs/>
                <w:sz w:val="18"/>
                <w:szCs w:val="18"/>
              </w:rPr>
            </w:pPr>
            <w:r>
              <w:rPr>
                <w:rFonts w:ascii="仿宋" w:hAnsi="仿宋" w:eastAsia="仿宋"/>
                <w:b/>
                <w:bCs/>
                <w:sz w:val="18"/>
                <w:szCs w:val="18"/>
                <w:lang w:eastAsia="zh-CN"/>
              </w:rPr>
              <w:t>A0999</w:t>
            </w:r>
          </w:p>
        </w:tc>
        <w:tc>
          <w:tcPr>
            <w:tcW w:w="709" w:type="dxa"/>
            <w:vAlign w:val="center"/>
          </w:tcPr>
          <w:p>
            <w:pPr>
              <w:spacing w:line="560" w:lineRule="exact"/>
              <w:rPr>
                <w:rFonts w:ascii="仿宋" w:hAnsi="仿宋" w:eastAsia="仿宋"/>
                <w:b/>
                <w:bCs/>
                <w:sz w:val="18"/>
                <w:szCs w:val="18"/>
              </w:rPr>
            </w:pPr>
            <w:r>
              <w:rPr>
                <w:rFonts w:hint="eastAsia" w:ascii="仿宋" w:hAnsi="仿宋" w:eastAsia="仿宋"/>
                <w:b/>
                <w:bCs/>
                <w:sz w:val="18"/>
                <w:szCs w:val="18"/>
              </w:rPr>
              <w:t>台</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3</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0.93</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2.8</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2.8</w:t>
            </w:r>
          </w:p>
        </w:tc>
        <w:tc>
          <w:tcPr>
            <w:tcW w:w="964" w:type="dxa"/>
            <w:vAlign w:val="center"/>
          </w:tcPr>
          <w:p>
            <w:pPr>
              <w:spacing w:line="560" w:lineRule="exact"/>
              <w:jc w:val="right"/>
              <w:rPr>
                <w:rFonts w:ascii="仿宋" w:hAnsi="仿宋" w:eastAsia="仿宋"/>
                <w:b/>
                <w:bCs/>
                <w:sz w:val="18"/>
                <w:szCs w:val="18"/>
                <w:lang w:eastAsia="zh-CN"/>
              </w:rPr>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仿宋" w:hAnsi="仿宋" w:eastAsia="仿宋" w:cs="仿宋_GB2312"/>
                <w:szCs w:val="21"/>
              </w:rPr>
            </w:pPr>
            <w:r>
              <w:rPr>
                <w:rFonts w:hint="eastAsia" w:ascii="仿宋" w:hAnsi="仿宋" w:eastAsia="仿宋"/>
                <w:b/>
                <w:bCs/>
                <w:szCs w:val="21"/>
                <w:lang w:eastAsia="zh-CN"/>
              </w:rPr>
              <w:t>日常公用经费</w:t>
            </w:r>
          </w:p>
        </w:tc>
        <w:tc>
          <w:tcPr>
            <w:tcW w:w="120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rPr>
              <w:t>2.</w:t>
            </w:r>
            <w:r>
              <w:rPr>
                <w:rFonts w:ascii="仿宋" w:hAnsi="仿宋" w:eastAsia="仿宋"/>
                <w:b/>
                <w:bCs/>
                <w:sz w:val="18"/>
                <w:szCs w:val="18"/>
                <w:lang w:eastAsia="zh-CN"/>
              </w:rPr>
              <w:t>6</w:t>
            </w:r>
          </w:p>
        </w:tc>
        <w:tc>
          <w:tcPr>
            <w:tcW w:w="1134" w:type="dxa"/>
            <w:vAlign w:val="center"/>
          </w:tcPr>
          <w:p>
            <w:pPr>
              <w:spacing w:line="560" w:lineRule="exact"/>
              <w:jc w:val="center"/>
              <w:rPr>
                <w:rFonts w:ascii="仿宋" w:hAnsi="仿宋" w:eastAsia="仿宋"/>
                <w:b/>
                <w:bCs/>
                <w:sz w:val="18"/>
                <w:szCs w:val="18"/>
              </w:rPr>
            </w:pPr>
            <w:r>
              <w:rPr>
                <w:rFonts w:hint="eastAsia" w:ascii="仿宋" w:hAnsi="仿宋" w:eastAsia="仿宋" w:cs="仿宋_GB2312"/>
                <w:szCs w:val="21"/>
              </w:rPr>
              <w:t>复印机</w:t>
            </w:r>
          </w:p>
        </w:tc>
        <w:tc>
          <w:tcPr>
            <w:tcW w:w="1134" w:type="dxa"/>
            <w:vAlign w:val="center"/>
          </w:tcPr>
          <w:p>
            <w:pPr>
              <w:spacing w:line="560" w:lineRule="exact"/>
              <w:rPr>
                <w:rFonts w:ascii="仿宋" w:hAnsi="仿宋" w:eastAsia="仿宋"/>
                <w:b/>
                <w:bCs/>
                <w:sz w:val="18"/>
                <w:szCs w:val="18"/>
              </w:rPr>
            </w:pPr>
            <w:r>
              <w:rPr>
                <w:rFonts w:ascii="仿宋" w:hAnsi="仿宋" w:eastAsia="仿宋"/>
                <w:b/>
                <w:bCs/>
                <w:sz w:val="18"/>
                <w:szCs w:val="18"/>
                <w:lang w:eastAsia="zh-CN"/>
              </w:rPr>
              <w:t>A0201060199</w:t>
            </w:r>
          </w:p>
        </w:tc>
        <w:tc>
          <w:tcPr>
            <w:tcW w:w="709" w:type="dxa"/>
            <w:vAlign w:val="center"/>
          </w:tcPr>
          <w:p>
            <w:pPr>
              <w:spacing w:line="560" w:lineRule="exact"/>
              <w:rPr>
                <w:rFonts w:ascii="仿宋" w:hAnsi="仿宋" w:eastAsia="仿宋"/>
                <w:b/>
                <w:bCs/>
                <w:sz w:val="18"/>
                <w:szCs w:val="18"/>
              </w:rPr>
            </w:pPr>
            <w:r>
              <w:rPr>
                <w:rFonts w:hint="eastAsia" w:ascii="仿宋" w:hAnsi="仿宋" w:eastAsia="仿宋"/>
                <w:b/>
                <w:bCs/>
                <w:sz w:val="18"/>
                <w:szCs w:val="18"/>
              </w:rPr>
              <w:t>台</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4</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0.65</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2.6</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2.6</w:t>
            </w:r>
          </w:p>
        </w:tc>
        <w:tc>
          <w:tcPr>
            <w:tcW w:w="964" w:type="dxa"/>
            <w:vAlign w:val="center"/>
          </w:tcPr>
          <w:p>
            <w:pPr>
              <w:spacing w:line="560" w:lineRule="exact"/>
              <w:jc w:val="right"/>
              <w:rPr>
                <w:rFonts w:ascii="仿宋" w:hAnsi="仿宋" w:eastAsia="仿宋"/>
                <w:b/>
                <w:bCs/>
                <w:sz w:val="18"/>
                <w:szCs w:val="18"/>
                <w:lang w:eastAsia="zh-CN"/>
              </w:rPr>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成安县纪律检查委员会本级上年末固定资产金额为</w:t>
      </w:r>
      <w:r>
        <w:rPr>
          <w:rFonts w:ascii="仿宋" w:hAnsi="仿宋" w:eastAsia="仿宋"/>
          <w:color w:val="000000"/>
          <w:sz w:val="28"/>
          <w:lang w:eastAsia="zh-CN"/>
        </w:rPr>
        <w:t>1261.3088</w:t>
      </w:r>
      <w:r>
        <w:rPr>
          <w:rFonts w:hint="eastAsia" w:eastAsia="方正仿宋_GBK"/>
          <w:color w:val="000000"/>
          <w:sz w:val="28"/>
        </w:rPr>
        <w:t>万元</w:t>
      </w:r>
      <w:r>
        <w:rPr>
          <w:rFonts w:eastAsia="方正仿宋_GBK"/>
          <w:color w:val="000000"/>
          <w:sz w:val="28"/>
        </w:rPr>
        <w:t>（详见下表）。本年度拟购置固定资产总额为</w:t>
      </w:r>
      <w:r>
        <w:rPr>
          <w:rFonts w:eastAsia="方正仿宋_GBK"/>
          <w:color w:val="000000"/>
          <w:sz w:val="28"/>
          <w:lang w:eastAsia="zh-CN"/>
        </w:rPr>
        <w:t>10</w:t>
      </w:r>
      <w:r>
        <w:rPr>
          <w:rFonts w:eastAsia="方正仿宋_GBK"/>
          <w:color w:val="000000"/>
          <w:sz w:val="28"/>
        </w:rPr>
        <w:t>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rPr>
                <w:rFonts w:hint="eastAsia" w:eastAsiaTheme="minorEastAsia"/>
                <w:lang w:eastAsia="zh-CN"/>
              </w:rPr>
            </w:pPr>
            <w:r>
              <w:t>222</w:t>
            </w:r>
            <w:r>
              <w:rPr>
                <w:rFonts w:hint="eastAsia" w:eastAsiaTheme="minorEastAsia"/>
                <w:lang w:eastAsia="zh-CN"/>
              </w:rPr>
              <w:t>001</w:t>
            </w:r>
            <w:r>
              <w:rPr>
                <w:rFonts w:hint="eastAsia"/>
              </w:rPr>
              <w:t>成安县纪律检查委员会</w:t>
            </w:r>
            <w:r>
              <w:rPr>
                <w:rFonts w:hint="eastAsia" w:eastAsiaTheme="minorEastAsia"/>
                <w:lang w:eastAsia="zh-CN"/>
              </w:rPr>
              <w:t>本级</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hint="eastAsia" w:ascii="仿宋" w:hAnsi="仿宋" w:eastAsia="仿宋" w:cs="宋体"/>
                <w:sz w:val="22"/>
              </w:rPr>
              <w:t>资产总额</w:t>
            </w:r>
          </w:p>
        </w:tc>
        <w:tc>
          <w:tcPr>
            <w:tcW w:w="2835" w:type="dxa"/>
            <w:vAlign w:val="center"/>
          </w:tcPr>
          <w:p>
            <w:pPr>
              <w:rPr>
                <w:rFonts w:ascii="仿宋" w:hAnsi="仿宋" w:eastAsia="仿宋" w:cs="宋体"/>
                <w:sz w:val="22"/>
              </w:rPr>
            </w:pPr>
            <w:r>
              <w:rPr>
                <w:rFonts w:ascii="仿宋" w:hAnsi="仿宋" w:eastAsia="仿宋" w:cs="宋体"/>
                <w:sz w:val="22"/>
              </w:rPr>
              <w:t>——</w:t>
            </w:r>
          </w:p>
        </w:tc>
        <w:tc>
          <w:tcPr>
            <w:tcW w:w="2835" w:type="dxa"/>
            <w:vAlign w:val="center"/>
          </w:tcPr>
          <w:p>
            <w:pPr>
              <w:rPr>
                <w:rFonts w:ascii="仿宋" w:hAnsi="仿宋" w:eastAsia="仿宋" w:cs="宋体"/>
                <w:sz w:val="22"/>
                <w:lang w:eastAsia="zh-CN"/>
              </w:rPr>
            </w:pPr>
            <w:r>
              <w:rPr>
                <w:rFonts w:ascii="仿宋" w:hAnsi="仿宋" w:eastAsia="仿宋" w:cs="宋体"/>
                <w:sz w:val="22"/>
                <w:lang w:eastAsia="zh-CN"/>
              </w:rPr>
              <w:t>1261.3088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2835" w:type="dxa"/>
            <w:vAlign w:val="center"/>
          </w:tcPr>
          <w:p>
            <w:pPr>
              <w:rPr>
                <w:rFonts w:ascii="仿宋" w:hAnsi="仿宋" w:eastAsia="仿宋"/>
                <w:sz w:val="22"/>
              </w:rPr>
            </w:pPr>
          </w:p>
        </w:tc>
        <w:tc>
          <w:tcPr>
            <w:tcW w:w="2835" w:type="dxa"/>
            <w:vAlign w:val="center"/>
          </w:tcPr>
          <w:p>
            <w:pPr>
              <w:rPr>
                <w:rFonts w:ascii="仿宋" w:hAnsi="仿宋" w:eastAsia="仿宋"/>
                <w:sz w:val="22"/>
                <w:lang w:eastAsia="zh-CN"/>
              </w:rPr>
            </w:pPr>
            <w:r>
              <w:rPr>
                <w:rFonts w:ascii="仿宋" w:hAnsi="仿宋" w:eastAsia="仿宋"/>
                <w:sz w:val="22"/>
                <w:lang w:eastAsia="zh-CN"/>
              </w:rP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hint="eastAsia" w:ascii="仿宋" w:hAnsi="仿宋" w:eastAsia="仿宋" w:cs="宋体"/>
                <w:sz w:val="22"/>
              </w:rPr>
              <w:t>其中：</w:t>
            </w:r>
            <w:r>
              <w:rPr>
                <w:rFonts w:hint="eastAsia" w:ascii="仿宋" w:hAnsi="仿宋" w:eastAsia="仿宋" w:cs="宋体"/>
                <w:sz w:val="22"/>
                <w:lang w:eastAsia="zh-CN"/>
              </w:rPr>
              <w:t>土地</w:t>
            </w:r>
            <w:r>
              <w:rPr>
                <w:rFonts w:hint="eastAsia" w:ascii="仿宋" w:hAnsi="仿宋" w:eastAsia="仿宋" w:cs="宋体"/>
                <w:sz w:val="22"/>
              </w:rPr>
              <w:t>（平方米）</w:t>
            </w:r>
          </w:p>
        </w:tc>
        <w:tc>
          <w:tcPr>
            <w:tcW w:w="2835" w:type="dxa"/>
            <w:vAlign w:val="center"/>
          </w:tcPr>
          <w:p>
            <w:pPr>
              <w:rPr>
                <w:rFonts w:ascii="仿宋" w:hAnsi="仿宋" w:eastAsia="仿宋"/>
                <w:sz w:val="22"/>
              </w:rPr>
            </w:pPr>
          </w:p>
        </w:tc>
        <w:tc>
          <w:tcPr>
            <w:tcW w:w="2835" w:type="dxa"/>
            <w:vAlign w:val="center"/>
          </w:tcPr>
          <w:p>
            <w:pPr>
              <w:rPr>
                <w:rFonts w:ascii="仿宋" w:hAnsi="仿宋" w:eastAsia="仿宋"/>
                <w:sz w:val="22"/>
                <w:lang w:eastAsia="zh-CN"/>
              </w:rPr>
            </w:pPr>
            <w:r>
              <w:rPr>
                <w:rFonts w:ascii="仿宋" w:hAnsi="仿宋" w:eastAsia="仿宋"/>
                <w:sz w:val="22"/>
                <w:lang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2835" w:type="dxa"/>
            <w:vAlign w:val="center"/>
          </w:tcPr>
          <w:p>
            <w:pPr>
              <w:rPr>
                <w:rFonts w:ascii="仿宋" w:hAnsi="仿宋" w:eastAsia="仿宋"/>
                <w:sz w:val="22"/>
              </w:rPr>
            </w:pPr>
            <w:r>
              <w:rPr>
                <w:rFonts w:ascii="仿宋" w:hAnsi="仿宋" w:eastAsia="仿宋"/>
                <w:sz w:val="22"/>
              </w:rPr>
              <w:t>5</w:t>
            </w:r>
          </w:p>
        </w:tc>
        <w:tc>
          <w:tcPr>
            <w:tcW w:w="2835" w:type="dxa"/>
            <w:vAlign w:val="center"/>
          </w:tcPr>
          <w:p>
            <w:pPr>
              <w:rPr>
                <w:rFonts w:ascii="仿宋" w:hAnsi="仿宋" w:eastAsia="仿宋"/>
                <w:sz w:val="22"/>
              </w:rPr>
            </w:pPr>
            <w:r>
              <w:rPr>
                <w:rFonts w:ascii="仿宋" w:hAnsi="仿宋" w:eastAsia="仿宋"/>
                <w:sz w:val="22"/>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2835" w:type="dxa"/>
            <w:vAlign w:val="center"/>
          </w:tcPr>
          <w:p>
            <w:pPr>
              <w:rPr>
                <w:rFonts w:ascii="仿宋" w:hAnsi="仿宋" w:eastAsia="仿宋"/>
                <w:sz w:val="22"/>
              </w:rPr>
            </w:pPr>
          </w:p>
        </w:tc>
        <w:tc>
          <w:tcPr>
            <w:tcW w:w="2835" w:type="dxa"/>
            <w:vAlign w:val="center"/>
          </w:tcPr>
          <w:p>
            <w:pPr>
              <w:rPr>
                <w:rFonts w:ascii="仿宋" w:hAnsi="仿宋" w:eastAsia="仿宋"/>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2835" w:type="dxa"/>
            <w:vAlign w:val="center"/>
          </w:tcPr>
          <w:p>
            <w:pPr>
              <w:rPr>
                <w:rFonts w:ascii="仿宋" w:hAnsi="仿宋" w:eastAsia="仿宋"/>
                <w:sz w:val="22"/>
              </w:rPr>
            </w:pPr>
            <w:r>
              <w:rPr>
                <w:rFonts w:ascii="仿宋" w:hAnsi="仿宋" w:eastAsia="仿宋"/>
                <w:sz w:val="22"/>
              </w:rPr>
              <w:t>125</w:t>
            </w:r>
          </w:p>
        </w:tc>
        <w:tc>
          <w:tcPr>
            <w:tcW w:w="2835" w:type="dxa"/>
            <w:vAlign w:val="center"/>
          </w:tcPr>
          <w:p>
            <w:pPr>
              <w:rPr>
                <w:rFonts w:ascii="仿宋" w:hAnsi="仿宋" w:eastAsia="仿宋"/>
                <w:sz w:val="22"/>
                <w:lang w:eastAsia="zh-CN"/>
              </w:rPr>
            </w:pPr>
            <w:r>
              <w:rPr>
                <w:rFonts w:ascii="仿宋" w:hAnsi="仿宋" w:eastAsia="仿宋"/>
                <w:sz w:val="22"/>
                <w:lang w:eastAsia="zh-CN"/>
              </w:rPr>
              <w:t>187.3088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84E0D"/>
    <w:rsid w:val="00024705"/>
    <w:rsid w:val="00084F3D"/>
    <w:rsid w:val="000C1CF9"/>
    <w:rsid w:val="001214E1"/>
    <w:rsid w:val="0014796F"/>
    <w:rsid w:val="00162A9E"/>
    <w:rsid w:val="00193FBC"/>
    <w:rsid w:val="00344321"/>
    <w:rsid w:val="003F64F1"/>
    <w:rsid w:val="00420E7C"/>
    <w:rsid w:val="00472187"/>
    <w:rsid w:val="004B3B40"/>
    <w:rsid w:val="004D35BA"/>
    <w:rsid w:val="00576CA4"/>
    <w:rsid w:val="00621EA7"/>
    <w:rsid w:val="006D443D"/>
    <w:rsid w:val="007238FD"/>
    <w:rsid w:val="00812BD5"/>
    <w:rsid w:val="00820A07"/>
    <w:rsid w:val="008C7F2E"/>
    <w:rsid w:val="009158DA"/>
    <w:rsid w:val="00AF0CDA"/>
    <w:rsid w:val="00B438B5"/>
    <w:rsid w:val="00B8693A"/>
    <w:rsid w:val="00C13E82"/>
    <w:rsid w:val="00C23E41"/>
    <w:rsid w:val="00CC5004"/>
    <w:rsid w:val="00D4564F"/>
    <w:rsid w:val="00D84E0D"/>
    <w:rsid w:val="00E046C1"/>
    <w:rsid w:val="00E11ABC"/>
    <w:rsid w:val="00F06C38"/>
    <w:rsid w:val="00F20626"/>
    <w:rsid w:val="0F3C7788"/>
    <w:rsid w:val="15A343A5"/>
    <w:rsid w:val="1B804F8F"/>
    <w:rsid w:val="2F540736"/>
    <w:rsid w:val="486C7B66"/>
    <w:rsid w:val="6FB71EB2"/>
    <w:rsid w:val="739410AD"/>
    <w:rsid w:val="74D146DF"/>
    <w:rsid w:val="777FE01F"/>
    <w:rsid w:val="BF9BF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26"/>
    <w:semiHidden/>
    <w:unhideWhenUsed/>
    <w:qFormat/>
    <w:uiPriority w:val="99"/>
    <w:pPr>
      <w:tabs>
        <w:tab w:val="center" w:pos="4153"/>
        <w:tab w:val="right" w:pos="8306"/>
      </w:tabs>
      <w:snapToGrid w:val="0"/>
    </w:pPr>
    <w:rPr>
      <w:sz w:val="18"/>
      <w:szCs w:val="18"/>
    </w:rPr>
  </w:style>
  <w:style w:type="paragraph" w:styleId="4">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99"/>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4"/>
    <w:semiHidden/>
    <w:qFormat/>
    <w:uiPriority w:val="99"/>
    <w:rPr>
      <w:rFonts w:eastAsia="Times New Roman"/>
      <w:sz w:val="18"/>
      <w:szCs w:val="18"/>
      <w:lang w:eastAsia="uk-UA"/>
    </w:rPr>
  </w:style>
  <w:style w:type="character" w:customStyle="1" w:styleId="26">
    <w:name w:val="页脚 Char"/>
    <w:basedOn w:val="7"/>
    <w:link w:val="3"/>
    <w:semiHidden/>
    <w:qFormat/>
    <w:uiPriority w:val="99"/>
    <w:rPr>
      <w:rFonts w:eastAsia="Times New Roman"/>
      <w:sz w:val="18"/>
      <w:szCs w:val="18"/>
      <w:lang w:eastAsia="uk-UA"/>
    </w:rPr>
  </w:style>
  <w:style w:type="paragraph" w:customStyle="1" w:styleId="27">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2389</Words>
  <Characters>13620</Characters>
  <Lines>113</Lines>
  <Paragraphs>31</Paragraphs>
  <TotalTime>1</TotalTime>
  <ScaleCrop>false</ScaleCrop>
  <LinksUpToDate>false</LinksUpToDate>
  <CharactersWithSpaces>15978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2024-03-07T10:31:00Z</dcterms:created>
  <dc:creator>Administrator</dc:creator>
  <cp:lastModifiedBy>Administrator</cp:lastModifiedBy>
  <cp:lastPrinted>2024-03-08T07:47:00Z</cp:lastPrinted>
  <dcterms:modified xsi:type="dcterms:W3CDTF">2024-03-22T05:52:48Z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7B01B1760D004C6DBCBF7A92630DEF0D</vt:lpwstr>
  </property>
</Properties>
</file>