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default" w:ascii="楷体_GB2312" w:hAnsi="楷体_GB2312" w:eastAsia="楷体_GB2312" w:cs="楷体_GB2312"/>
                                <w:color w:val="000000"/>
                                <w:sz w:val="40"/>
                                <w:szCs w:val="40"/>
                                <w:lang w:val="en-US"/>
                              </w:rPr>
                              <w:t>434002</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成安县人民政府办公室</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default" w:ascii="楷体_GB2312" w:hAnsi="楷体_GB2312" w:eastAsia="楷体_GB2312" w:cs="楷体_GB2312"/>
                          <w:color w:val="000000"/>
                          <w:sz w:val="40"/>
                          <w:szCs w:val="40"/>
                          <w:lang w:val="en-US"/>
                        </w:rPr>
                        <w:t>434002</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成安县人民政府办公室</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bookmarkStart w:id="0" w:name="_GoBack"/>
      <w:bookmarkEnd w:id="0"/>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成安县人民政府办公室</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二〇二三年八月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一）协助县政府领导组织起草或审核上报市政府、市政府办公室和致函市政府各部门的公文，以及以县政府、县政府办公室名义发布的公文；负责县政府、县政府办公室日常公文办理，包括上级来文、明传电报和县政府各部门、各乡（镇）政府、经济开发区管委会呈送公文办理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（二）负责县政府领导活动的组织和协调工作；负责县政府会议的准备和服务工作，协助县政府领导组织落实会议决定事项。</w:t>
      </w:r>
      <w:r>
        <w:rPr>
          <w:rFonts w:eastAsia="仿宋_GB2312"/>
          <w:spacing w:val="6"/>
          <w:sz w:val="32"/>
          <w:szCs w:val="32"/>
        </w:rPr>
        <w:t xml:space="preserve">  </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（三）研究县政府各部门和各乡（镇）政府、经济开发区管委会请示县政府的事项，提出审核意见，报县政府领导审批。</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（四）根据县政府领导的批示，对县政府各部门间出现的争议问题提出处理意见，报县政府领导决定。</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（五）负责组织起草县政府领导重要讲话及其他重要文稿。</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（六）督促检查县政府各部门、各乡（镇）政府、经济开发区管委会对国务院、省政府、市政府、县政府决定事项及领导同志重要批示的执行落实情况并跟踪调研，及时向县政府领导报告。</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（七）组织承办人大代表建议和政协提案工作。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（八）负责承办县政府提请县人大常委会任免议案和提请县政府任命工作人员的行政任免有关手续；负责承办县政府任命工作人员的宪法宣誓工作。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（九）负责县政府值班工作，及时报告重要情况，传达和督促落实县政府领导工作要求。</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（十）根据县政府工作部署和县政府领导要求，组织专题调研，及时反映情况，为县政府领导科学决策提供建议。</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（十一）负责推进、指导、协调、监督、考核评估全县政务公开和政府信息公开工作。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（十二）负责政务信息（包括舆情信息）服务工作。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（十三）协同有关部门统筹协调县政府新闻宣传、舆情回应等工作。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（十四）负责全县政府系统电子政务工作。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（十五）办理县政府智库专家聘任手续。负责县政府智库专家的服务、协调、保障等日常工作。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六）围绕县政府中心工作和重点工作，加强调查研究，及时收集、掌握、整理全县社会、经济发展情况和县政府工作情况，超前研究分析各方面的动向，为领导科学决策和正确指导提供有参考价值的信息、资料、建议。</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（十七）对我县改革开放和经济社会发展中重大问题进行调查研究，提出政策性建议。组织县政府各部门和各乡（镇）政府、经济开发区管委会围绕县政府确定的重要课题协作攻关。</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（十八）贯彻执行党和国家对外方针政策、涉港澳方针政策和法律法规。贯彻执行县委、县政府和市外办外事、港澳工作的决策部署，拟订全县性外事、港澳工作规定。</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十九）贯彻执行和协调推进全县对外交流合作规划和部署，对全县外事工作履行综合归口管理职能。负责指导和管理全县因公出国、赴港澳工作。统筹管理我县邀请外国人来华相关事宜。负责我县境外机构和公民领事保护协调工作，会同或配合有关部门处理我县的涉外事务。办理来我县采访的外国记者相关事务，会同有关部门办理港澳记者来我县采访的有关事宜，会同有关部门开展对外宣传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二十）贯彻执行国家和省、市金融方针政策和法律法规。落实推进京津冀金融协同发展及对外金融交流合作。研究拟订全县金融业发展规划和办法，提出促进和加强金融业发展的建议，按照全县经济社会发展战略规划，协调推进金融服务民生、金融人才队伍、金融生态环境、金融信用体系建设，引导各类金融机构支持服务实体经济发展。</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（二十一）负责与中央驻成金融监管部门和驻成金融机构的联络协调工作，依法加强金融监管，整顿和规范金融市场秩序。</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二十二）负责全县金融改革创新发展政策研究与组织实施工作，拟定地方金融改革发展的意见并组织实施，落实省、市地方金融改革发展意见。组织协调新设立的地方法人金融机构的谋划、筹建、申报等前期工作。</w:t>
      </w:r>
      <w:r>
        <w:rPr>
          <w:rFonts w:hint="eastAsia" w:ascii="仿宋_GB2312" w:eastAsia="仿宋_GB2312"/>
          <w:sz w:val="32"/>
          <w:szCs w:val="32"/>
        </w:rPr>
        <w:t>指导农村信用社改革。统筹指导全县地方金融法治建设。</w:t>
      </w:r>
      <w:r>
        <w:rPr>
          <w:rFonts w:hint="eastAsia" w:eastAsia="仿宋_GB2312"/>
          <w:spacing w:val="6"/>
          <w:sz w:val="32"/>
          <w:szCs w:val="32"/>
        </w:rPr>
        <w:t>负责拟订多层次资本市场培育、改革发展的办法措施。协调推动、培育推荐企业挂牌上市，牵头全县直接融资工作。</w:t>
      </w:r>
    </w:p>
    <w:p>
      <w:pPr>
        <w:pStyle w:val="6"/>
        <w:spacing w:before="0" w:beforeAutospacing="0" w:after="0" w:afterAutospacing="0" w:line="580" w:lineRule="exact"/>
        <w:ind w:firstLine="664" w:firstLineChars="200"/>
        <w:jc w:val="both"/>
        <w:rPr>
          <w:rFonts w:ascii="仿宋_GB2312" w:eastAsia="仿宋_GB2312"/>
          <w:color w:val="auto"/>
          <w:kern w:val="2"/>
          <w:sz w:val="32"/>
          <w:szCs w:val="32"/>
        </w:rPr>
      </w:pPr>
      <w:r>
        <w:rPr>
          <w:rFonts w:hint="eastAsia" w:eastAsia="仿宋_GB2312"/>
          <w:color w:val="auto"/>
          <w:spacing w:val="6"/>
          <w:sz w:val="32"/>
          <w:szCs w:val="32"/>
        </w:rPr>
        <w:t>（二十三）负责全县地方金融监督管理工作。承担小额贷款公司、融资担保公司等地方金融组织的市场准入、监督管理和风险处置工作。指导协调有关部门和乡（镇）政府、经济开发区管委会做好投资公司、农民专业合作社、社会众筹机构、地方各类交易场所的规范发展和风险处置工作，严格准入管理，规范经营范围。</w:t>
      </w:r>
      <w:r>
        <w:rPr>
          <w:rFonts w:hint="eastAsia" w:ascii="仿宋_GB2312" w:eastAsia="仿宋_GB2312"/>
          <w:color w:val="auto"/>
          <w:kern w:val="2"/>
          <w:sz w:val="32"/>
          <w:szCs w:val="32"/>
        </w:rPr>
        <w:t>统筹协调互联网金融、基金等金融业态的监督管理和风险处置工作，负责网络借贷信息中介机构的备案登记相关工作。</w:t>
      </w:r>
    </w:p>
    <w:p>
      <w:pPr>
        <w:spacing w:line="590" w:lineRule="exact"/>
        <w:ind w:firstLine="664" w:firstLineChars="200"/>
        <w:jc w:val="left"/>
        <w:rPr>
          <w:rFonts w:eastAsia="仿宋_GB2312"/>
          <w:spacing w:val="6"/>
          <w:sz w:val="32"/>
          <w:szCs w:val="32"/>
        </w:rPr>
      </w:pPr>
      <w:r>
        <w:rPr>
          <w:rFonts w:hint="eastAsia" w:eastAsia="仿宋_GB2312"/>
          <w:spacing w:val="6"/>
          <w:sz w:val="32"/>
          <w:szCs w:val="32"/>
        </w:rPr>
        <w:t>（二十四）协调组织全县金融风险防范和处置化解工作。牵头做好地方金融风险监测、信息报告工作，</w:t>
      </w:r>
      <w:r>
        <w:rPr>
          <w:rFonts w:hint="eastAsia" w:ascii="仿宋_GB2312" w:eastAsia="仿宋_GB2312"/>
          <w:sz w:val="32"/>
          <w:szCs w:val="32"/>
        </w:rPr>
        <w:t>推进地方科技金融发展，创新地方金融监管方式。</w:t>
      </w:r>
      <w:r>
        <w:rPr>
          <w:rFonts w:hint="eastAsia" w:eastAsia="仿宋_GB2312"/>
          <w:spacing w:val="6"/>
          <w:sz w:val="32"/>
          <w:szCs w:val="32"/>
        </w:rPr>
        <w:t>开展相关宣传教育、政策解释和业务指导，</w:t>
      </w:r>
      <w:r>
        <w:rPr>
          <w:rFonts w:hint="eastAsia" w:ascii="仿宋_GB2312" w:eastAsia="仿宋_GB2312"/>
          <w:sz w:val="32"/>
          <w:szCs w:val="32"/>
        </w:rPr>
        <w:t>负责做好地方金融消费者权益保护工作。</w:t>
      </w:r>
      <w:r>
        <w:rPr>
          <w:rFonts w:hint="eastAsia" w:eastAsia="仿宋_GB2312"/>
          <w:spacing w:val="6"/>
          <w:sz w:val="32"/>
          <w:szCs w:val="32"/>
        </w:rPr>
        <w:t>协调配合有关部门依法做好非法金融案件调查处理、善后处置和维护金融稳定工作。</w:t>
      </w:r>
    </w:p>
    <w:p>
      <w:pPr>
        <w:spacing w:line="590" w:lineRule="exact"/>
        <w:ind w:firstLine="640" w:firstLineChars="200"/>
        <w:jc w:val="left"/>
        <w:rPr>
          <w:rFonts w:ascii="仿宋_GB2312" w:hAnsi="Calibri" w:eastAsia="仿宋_GB2312" w:cs="ArialUnicodeMS"/>
          <w:kern w:val="0"/>
          <w:sz w:val="32"/>
          <w:szCs w:val="32"/>
          <w:highlight w:val="yellow"/>
        </w:rPr>
      </w:pPr>
      <w:r>
        <w:rPr>
          <w:rFonts w:hint="eastAsia" w:ascii="仿宋_GB2312" w:eastAsia="仿宋_GB2312"/>
          <w:sz w:val="32"/>
          <w:szCs w:val="32"/>
        </w:rPr>
        <w:t>（二十五）</w:t>
      </w:r>
      <w:r>
        <w:rPr>
          <w:rFonts w:hint="eastAsia" w:eastAsia="仿宋_GB2312"/>
          <w:spacing w:val="6"/>
          <w:sz w:val="32"/>
          <w:szCs w:val="32"/>
        </w:rPr>
        <w:t>完成县政府交办的其他任务。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从决算编报单位构成看，纳入2022年度本部门决算汇编范围的独立核算单位（以下简称“单位”）共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top"/>
          </w:tcPr>
          <w:p>
            <w:pPr>
              <w:spacing w:line="560" w:lineRule="exact"/>
              <w:rPr>
                <w:rFonts w:ascii="仿宋_GB2312" w:hAnsi="Calibri" w:eastAsia="仿宋_GB2312" w:cs="ArialUnicodeMS"/>
                <w:kern w:val="0"/>
                <w:sz w:val="28"/>
                <w:szCs w:val="28"/>
              </w:rPr>
            </w:pPr>
            <w:r>
              <w:rPr>
                <w:rFonts w:hint="eastAsia" w:ascii="仿宋_GB2312" w:eastAsia="仿宋_GB2312" w:cs="Arial Black"/>
                <w:kern w:val="0"/>
                <w:sz w:val="22"/>
              </w:rPr>
              <w:t>成安县人民政府办公室</w:t>
            </w:r>
            <w:r>
              <w:rPr>
                <w:rFonts w:ascii="仿宋_GB2312" w:eastAsia="仿宋_GB2312" w:cs="Arial Black"/>
                <w:kern w:val="0"/>
                <w:sz w:val="22"/>
              </w:rPr>
              <w:t>(</w:t>
            </w:r>
            <w:r>
              <w:rPr>
                <w:rFonts w:hint="eastAsia" w:ascii="仿宋_GB2312" w:eastAsia="仿宋_GB2312" w:cs="Arial Black"/>
                <w:kern w:val="0"/>
                <w:sz w:val="22"/>
              </w:rPr>
              <w:t>本级</w:t>
            </w:r>
            <w:r>
              <w:rPr>
                <w:rFonts w:ascii="仿宋_GB2312" w:eastAsia="仿宋_GB2312" w:cs="Arial Black"/>
                <w:kern w:val="0"/>
                <w:sz w:val="22"/>
              </w:rPr>
              <w:t>)</w:t>
            </w:r>
          </w:p>
        </w:tc>
        <w:tc>
          <w:tcPr>
            <w:tcW w:w="2445" w:type="dxa"/>
            <w:vAlign w:val="top"/>
          </w:tcPr>
          <w:p>
            <w:pPr>
              <w:spacing w:line="560" w:lineRule="exact"/>
              <w:jc w:val="center"/>
              <w:rPr>
                <w:rFonts w:ascii="仿宋_GB2312" w:hAnsi="Calibri" w:eastAsia="仿宋_GB2312" w:cs="ArialUnicodeMS"/>
                <w:kern w:val="0"/>
                <w:sz w:val="28"/>
                <w:szCs w:val="28"/>
              </w:rPr>
            </w:pPr>
            <w:r>
              <w:rPr>
                <w:rFonts w:hint="eastAsia" w:ascii="仿宋_GB2312" w:eastAsia="仿宋_GB2312" w:cs="Arial Black"/>
                <w:kern w:val="0"/>
                <w:sz w:val="22"/>
              </w:rPr>
              <w:t>行政单位</w:t>
            </w:r>
          </w:p>
        </w:tc>
        <w:tc>
          <w:tcPr>
            <w:tcW w:w="2665" w:type="dxa"/>
            <w:vAlign w:val="top"/>
          </w:tcPr>
          <w:p>
            <w:pPr>
              <w:spacing w:line="560" w:lineRule="exact"/>
              <w:jc w:val="center"/>
              <w:rPr>
                <w:rFonts w:ascii="仿宋_GB2312" w:hAnsi="Calibri" w:eastAsia="仿宋_GB2312" w:cs="ArialUnicodeMS"/>
                <w:kern w:val="0"/>
                <w:sz w:val="28"/>
                <w:szCs w:val="28"/>
              </w:rPr>
            </w:pPr>
            <w:r>
              <w:rPr>
                <w:rFonts w:hint="eastAsia" w:ascii="仿宋_GB2312" w:eastAsia="仿宋_GB2312" w:cs="Arial Black"/>
                <w:kern w:val="0"/>
                <w:sz w:val="2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我部门无二级预算单位，因此，</w:t>
      </w:r>
      <w:r>
        <w:rPr>
          <w:rFonts w:hint="eastAsia" w:ascii="Times New Roman" w:hAnsi="Times New Roman" w:eastAsia="黑体" w:cs="Times New Roman"/>
          <w:sz w:val="32"/>
          <w:szCs w:val="32"/>
          <w:highlight w:val="none"/>
          <w:lang w:eastAsia="zh-CN"/>
        </w:rPr>
        <w:t>成安县人民政府办公室</w:t>
      </w:r>
      <w:r>
        <w:rPr>
          <w:rFonts w:hint="eastAsia" w:ascii="Times New Roman" w:hAnsi="Times New Roman" w:eastAsia="黑体" w:cs="Times New Roman"/>
          <w:sz w:val="32"/>
          <w:szCs w:val="32"/>
          <w:highlight w:val="none"/>
        </w:rPr>
        <w:t>2022年度部门决算即</w:t>
      </w:r>
      <w:r>
        <w:rPr>
          <w:rFonts w:hint="eastAsia" w:ascii="Times New Roman" w:hAnsi="Times New Roman" w:eastAsia="黑体" w:cs="Times New Roman"/>
          <w:sz w:val="32"/>
          <w:szCs w:val="32"/>
          <w:highlight w:val="none"/>
          <w:lang w:eastAsia="zh-CN"/>
        </w:rPr>
        <w:t>成安县人民政府办公室</w:t>
      </w:r>
      <w:r>
        <w:rPr>
          <w:rFonts w:hint="eastAsia" w:ascii="Times New Roman" w:hAnsi="Times New Roman" w:eastAsia="黑体" w:cs="Times New Roman"/>
          <w:sz w:val="32"/>
          <w:szCs w:val="32"/>
          <w:highlight w:val="none"/>
        </w:rPr>
        <w:t>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7"/>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903.32</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796.92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58.1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rPr>
              <w:t>16</w:t>
            </w:r>
            <w:r>
              <w:rPr>
                <w:rFonts w:hint="eastAsia" w:ascii="宋体" w:hAnsi="宋体" w:eastAsia="宋体" w:cs="宋体"/>
                <w:b/>
                <w:color w:val="000000"/>
                <w:sz w:val="22"/>
                <w:lang w:val="en-US" w:eastAsia="zh-CN"/>
              </w:rPr>
              <w:t>.00</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b/>
                <w:color w:val="000000"/>
                <w:sz w:val="22"/>
              </w:rPr>
              <w:t>32.3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903.32</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r>
              <w:rPr>
                <w:rFonts w:hint="eastAsia" w:ascii="宋体" w:hAnsi="宋体" w:eastAsia="宋体" w:cs="宋体"/>
                <w:b/>
                <w:color w:val="000000"/>
                <w:sz w:val="22"/>
              </w:rPr>
              <w:t>903.32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903.32</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903.32</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7"/>
        <w:tblW w:w="11039" w:type="dxa"/>
        <w:tblInd w:w="0" w:type="dxa"/>
        <w:tblLayout w:type="fixed"/>
        <w:tblCellMar>
          <w:top w:w="15" w:type="dxa"/>
          <w:left w:w="15" w:type="dxa"/>
          <w:bottom w:w="15" w:type="dxa"/>
          <w:right w:w="15" w:type="dxa"/>
        </w:tblCellMar>
      </w:tblPr>
      <w:tblGrid>
        <w:gridCol w:w="555"/>
        <w:gridCol w:w="474"/>
        <w:gridCol w:w="606"/>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1"/>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gridSpan w:val="2"/>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gridSpan w:val="2"/>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903.32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903.32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华文中宋" w:hAnsi="华文中宋" w:eastAsia="华文中宋" w:cs="华文中宋"/>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2010302</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2010399</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1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18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615" w:hRule="atLeast"/>
        </w:trPr>
        <w:tc>
          <w:tcPr>
            <w:tcW w:w="11039" w:type="dxa"/>
            <w:gridSpan w:val="11"/>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7"/>
        <w:tblW w:w="10286" w:type="dxa"/>
        <w:tblInd w:w="0" w:type="dxa"/>
        <w:tblLayout w:type="fixed"/>
        <w:tblCellMar>
          <w:top w:w="15" w:type="dxa"/>
          <w:left w:w="15" w:type="dxa"/>
          <w:bottom w:w="15" w:type="dxa"/>
          <w:right w:w="15" w:type="dxa"/>
        </w:tblCellMar>
      </w:tblPr>
      <w:tblGrid>
        <w:gridCol w:w="671"/>
        <w:gridCol w:w="163"/>
        <w:gridCol w:w="504"/>
        <w:gridCol w:w="1341"/>
        <w:gridCol w:w="159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gridSpan w:val="2"/>
            <w:shd w:val="clear" w:color="auto" w:fill="FFFFFF"/>
            <w:vAlign w:val="center"/>
          </w:tcPr>
          <w:p>
            <w:pPr>
              <w:jc w:val="right"/>
              <w:rPr>
                <w:rFonts w:ascii="宋体" w:hAnsi="宋体" w:eastAsia="宋体" w:cs="宋体"/>
                <w:color w:val="000000"/>
                <w:sz w:val="24"/>
              </w:rPr>
            </w:pPr>
          </w:p>
        </w:tc>
        <w:tc>
          <w:tcPr>
            <w:tcW w:w="1341" w:type="dxa"/>
            <w:shd w:val="clear" w:color="auto" w:fill="FFFFFF"/>
            <w:vAlign w:val="center"/>
          </w:tcPr>
          <w:p>
            <w:pPr>
              <w:jc w:val="right"/>
              <w:rPr>
                <w:rFonts w:ascii="宋体" w:hAnsi="宋体" w:eastAsia="宋体" w:cs="宋体"/>
                <w:color w:val="000000"/>
                <w:sz w:val="24"/>
              </w:rPr>
            </w:pPr>
          </w:p>
        </w:tc>
        <w:tc>
          <w:tcPr>
            <w:tcW w:w="159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7" w:type="dxa"/>
            <w:gridSpan w:val="2"/>
            <w:shd w:val="clear" w:color="auto" w:fill="FFFFFF"/>
            <w:vAlign w:val="center"/>
          </w:tcPr>
          <w:p>
            <w:pPr>
              <w:jc w:val="right"/>
              <w:rPr>
                <w:rFonts w:ascii="宋体" w:hAnsi="宋体" w:eastAsia="宋体" w:cs="宋体"/>
                <w:color w:val="000000"/>
                <w:sz w:val="24"/>
              </w:rPr>
            </w:pPr>
          </w:p>
        </w:tc>
        <w:tc>
          <w:tcPr>
            <w:tcW w:w="1341" w:type="dxa"/>
            <w:shd w:val="clear" w:color="auto" w:fill="FFFFFF"/>
            <w:vAlign w:val="center"/>
          </w:tcPr>
          <w:p>
            <w:pPr>
              <w:jc w:val="right"/>
              <w:rPr>
                <w:rFonts w:ascii="宋体" w:hAnsi="宋体" w:eastAsia="宋体" w:cs="宋体"/>
                <w:color w:val="000000"/>
                <w:sz w:val="24"/>
              </w:rPr>
            </w:pPr>
          </w:p>
        </w:tc>
        <w:tc>
          <w:tcPr>
            <w:tcW w:w="1596"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260"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67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903.32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846.32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2010301</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2010302</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2010399</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38.70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19.40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19.40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450" w:hRule="atLeast"/>
        </w:trPr>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630" w:hRule="atLeast"/>
        </w:trPr>
        <w:tc>
          <w:tcPr>
            <w:tcW w:w="10286"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7"/>
        <w:tblW w:w="14186" w:type="dxa"/>
        <w:tblInd w:w="0" w:type="dxa"/>
        <w:tblLayout w:type="fixed"/>
        <w:tblCellMar>
          <w:top w:w="15" w:type="dxa"/>
          <w:left w:w="15" w:type="dxa"/>
          <w:bottom w:w="15" w:type="dxa"/>
          <w:right w:w="15" w:type="dxa"/>
        </w:tblCellMar>
      </w:tblPr>
      <w:tblGrid>
        <w:gridCol w:w="600"/>
        <w:gridCol w:w="1080"/>
        <w:gridCol w:w="641"/>
        <w:gridCol w:w="371"/>
        <w:gridCol w:w="782"/>
        <w:gridCol w:w="532"/>
        <w:gridCol w:w="1592"/>
        <w:gridCol w:w="319"/>
        <w:gridCol w:w="475"/>
        <w:gridCol w:w="337"/>
        <w:gridCol w:w="1065"/>
        <w:gridCol w:w="774"/>
        <w:gridCol w:w="786"/>
        <w:gridCol w:w="1476"/>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7"/>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4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356"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18"/>
              </w:rPr>
            </w:pPr>
            <w:r>
              <w:rPr>
                <w:rFonts w:hint="eastAsia" w:ascii="宋体" w:hAnsi="宋体" w:eastAsia="宋体" w:cs="宋体"/>
                <w:color w:val="000000"/>
                <w:kern w:val="0"/>
                <w:sz w:val="20"/>
                <w:szCs w:val="20"/>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18"/>
              </w:rPr>
            </w:pPr>
            <w:r>
              <w:rPr>
                <w:rFonts w:hint="eastAsia" w:ascii="宋体" w:hAnsi="宋体" w:eastAsia="宋体" w:cs="宋体"/>
                <w:color w:val="000000"/>
                <w:kern w:val="0"/>
                <w:sz w:val="20"/>
                <w:szCs w:val="20"/>
                <w:lang w:bidi="ar"/>
              </w:rPr>
              <w:t>政府性基金预算财政拨款</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18"/>
              </w:rPr>
            </w:pPr>
            <w:r>
              <w:rPr>
                <w:rFonts w:hint="eastAsia" w:ascii="宋体" w:hAnsi="宋体" w:eastAsia="宋体" w:cs="宋体"/>
                <w:color w:val="000000"/>
                <w:kern w:val="0"/>
                <w:sz w:val="20"/>
                <w:szCs w:val="20"/>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903.32</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796.92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796.92</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58.10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58.10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16.00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32.30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32.30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903.32</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903.32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903.32</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903.32</w:t>
            </w:r>
          </w:p>
        </w:tc>
        <w:tc>
          <w:tcPr>
            <w:tcW w:w="21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8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903.32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903.32</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2"/>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3"/>
                <w:rFonts w:hint="default"/>
                <w:lang w:bidi="ar"/>
              </w:rPr>
              <w:t xml:space="preserve">   </w:t>
            </w:r>
            <w:r>
              <w:rPr>
                <w:rStyle w:val="14"/>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903.32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846.32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b/>
                <w:bCs/>
                <w:i w:val="0"/>
                <w:iCs w:val="0"/>
                <w:color w:val="000000"/>
                <w:kern w:val="0"/>
                <w:sz w:val="22"/>
                <w:szCs w:val="22"/>
                <w:u w:val="none"/>
                <w:lang w:val="en-US" w:eastAsia="zh-CN" w:bidi="ar"/>
              </w:rPr>
              <w:t>57.00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一般公共服务支出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796.92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57.00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739.92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2010399</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37.00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58.10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58.10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58.10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2080505</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38.70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38.70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2080506</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19.40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19.40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2101201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16.00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16.00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32.30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32.30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2210201</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32.30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7"/>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5"/>
                <w:rFonts w:hint="default"/>
                <w:lang w:bidi="ar"/>
              </w:rPr>
              <w:t>明细</w:t>
            </w:r>
            <w:r>
              <w:rPr>
                <w:rStyle w:val="16"/>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ascii="宋体" w:hAnsi="宋体" w:eastAsia="宋体" w:cs="宋体"/>
                <w:color w:val="000000"/>
                <w:sz w:val="20"/>
                <w:szCs w:val="20"/>
              </w:rPr>
            </w:pP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656.39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188.44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409.37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139.31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82.80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21.00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8.30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15.90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38.70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19.40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16.00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1.30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32.30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32.32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1.94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1.48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0.00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3.00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657.87</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188.44</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7"/>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7"/>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rPr>
                <w:b/>
              </w:rPr>
            </w:pPr>
            <w:r>
              <w:rPr>
                <w:rFonts w:hint="eastAsia" w:ascii="宋体" w:hAnsi="宋体" w:cs="宋体"/>
              </w:rPr>
              <w:t>本部门本年度无相关收入（或支出、收支及结转结余等）情况，按要求空表列示。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7"/>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注：本表反映部门本年度国有资本经营预算财政拨款支出情况</w:t>
            </w:r>
            <w:r>
              <w:rPr>
                <w:rFonts w:hint="eastAsia" w:ascii="宋体" w:hAnsi="宋体" w:eastAsia="宋体" w:cs="宋体"/>
                <w:color w:val="000000"/>
                <w:kern w:val="0"/>
                <w:sz w:val="24"/>
                <w:szCs w:val="24"/>
                <w:lang w:eastAsia="zh-CN" w:bidi="ar"/>
              </w:rPr>
              <w:t>。</w:t>
            </w:r>
          </w:p>
          <w:p>
            <w:pPr>
              <w:rPr>
                <w:b/>
              </w:rPr>
            </w:pPr>
            <w:r>
              <w:rPr>
                <w:rFonts w:hint="eastAsia" w:ascii="宋体" w:hAnsi="宋体" w:cs="宋体"/>
              </w:rPr>
              <w:t>本部门本年度无相关收入（或支出、收支及结转结余等）情况，按要求空表列示。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7"/>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68" w:type="dxa"/>
            <w:gridSpan w:val="2"/>
            <w:shd w:val="clear" w:color="auto" w:fill="FFFFFF"/>
            <w:vAlign w:val="center"/>
          </w:tcPr>
          <w:p>
            <w:pPr>
              <w:jc w:val="center"/>
              <w:rPr>
                <w:rFonts w:ascii="宋体" w:hAnsi="宋体" w:eastAsia="宋体" w:cs="宋体"/>
                <w:color w:val="000000"/>
                <w:sz w:val="20"/>
                <w:szCs w:val="20"/>
              </w:rPr>
            </w:pP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14.00</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162.22</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15.22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建设节约型机关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846.32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93.69</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57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6.31</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162.22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15.22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建设节约型机关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162.22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15.22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建设节约型机关</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162.22</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建设节约型机关</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162.22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15.22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建设节约型机关</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%，主要原因是本部门本年度无相关收入；本年支出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%，主要是本部门本年度无相关收入。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%，主要原因是本部门本年度无相关收入；本年支出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%，主要是本部门本年度无相关收入。</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128.73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201.61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追加疫情防控经费</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128.73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201.61</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追加疫情防控经费</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128.73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201.61</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追加疫情防控经费</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128.73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28.73</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追加疫情防控经费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万元，主要是本部门本年度无相关收入；支出完成年初预算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万元，主要是本部门本年度无相关收入。</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万元，主要是本部门本年度无相关收入；支出完成年初预算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万元，主要是本部门本年度无相关收入。</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903.32</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796.92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88.22</w:t>
      </w:r>
      <w:r>
        <w:rPr>
          <w:rFonts w:hint="eastAsia" w:ascii="仿宋_GB2312" w:hAnsi="Times New Roman" w:eastAsia="仿宋_GB2312" w:cs="DengXian-Regular"/>
          <w:sz w:val="32"/>
          <w:szCs w:val="32"/>
        </w:rPr>
        <w:t>%，主要用于行政运行、一般行政管理事务和其他政府办公室及相关机构事务等支出；</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58.10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6.43</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，主要用于机关事业单位基本养老保险缴费支出和机关事业单位职业年金缴费支出</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卫生健康（类）支出</w:t>
      </w:r>
      <w:r>
        <w:rPr>
          <w:rFonts w:hint="eastAsia" w:ascii="仿宋_GB2312" w:hAnsi="Times New Roman" w:eastAsia="仿宋_GB2312" w:cs="Wingdings"/>
          <w:sz w:val="32"/>
          <w:szCs w:val="32"/>
          <w:lang w:val="en-US" w:eastAsia="zh-CN"/>
        </w:rPr>
        <w:t>16万元，占1.77%，主要用于财政对职工基本医疗保险的补助；</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35.75</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3.58</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，主要用于住房公积金支出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846.32</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658.87</w:t>
      </w:r>
      <w:r>
        <w:rPr>
          <w:rFonts w:hint="eastAsia" w:ascii="仿宋_GB2312" w:hAnsi="Times New Roman" w:eastAsia="仿宋_GB2312" w:cs="DengXian-Regular"/>
          <w:sz w:val="32"/>
          <w:szCs w:val="32"/>
        </w:rPr>
        <w:t>万元，主要包括基本工资、津贴补贴、奖金、绩效工资、机关事业单位基本养老保险缴费、职业年金缴费、职工基本医疗保险缴费、住房公积金、其他社会保障缴费、其他工资福利支出、</w:t>
      </w:r>
      <w:r>
        <w:rPr>
          <w:rFonts w:hint="eastAsia" w:ascii="仿宋_GB2312" w:hAnsi="Times New Roman" w:eastAsia="仿宋_GB2312" w:cs="DengXian-Regular"/>
          <w:sz w:val="32"/>
          <w:szCs w:val="32"/>
          <w:lang w:eastAsia="zh-CN"/>
        </w:rPr>
        <w:t>对个人和家庭补助、</w:t>
      </w:r>
      <w:r>
        <w:rPr>
          <w:rFonts w:hint="eastAsia" w:ascii="仿宋_GB2312" w:hAnsi="Times New Roman" w:eastAsia="仿宋_GB2312" w:cs="DengXian-Regular"/>
          <w:sz w:val="32"/>
          <w:szCs w:val="32"/>
        </w:rPr>
        <w:t>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188.44</w:t>
      </w:r>
      <w:r>
        <w:rPr>
          <w:rFonts w:hint="eastAsia" w:ascii="仿宋_GB2312" w:hAnsi="Times New Roman" w:eastAsia="仿宋_GB2312" w:cs="DengXian-Regular"/>
          <w:sz w:val="32"/>
          <w:szCs w:val="32"/>
        </w:rPr>
        <w:t>万元，主要包括办公费、印刷费、差旅费、公务用车运行维护费、其他交通费用、其他商品和服务支出、。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16</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87.5</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12.5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未产生公务接待费</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2.46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21.32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疫情防控任务重</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rPr>
        <w:t>未发生‘因公出国’经费支出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rPr>
        <w:t>未发生‘因公出国’经费支出</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14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支出科学</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支出科学</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highlight w:val="yellow"/>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%,主要是未发生‘公务用车购置’经费支出；较上年增加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highlight w:val="none"/>
          <w:lang w:val="en-US" w:eastAsia="zh-CN"/>
        </w:rPr>
        <w:t>6</w:t>
      </w:r>
      <w:r>
        <w:rPr>
          <w:rFonts w:hint="eastAsia" w:ascii="仿宋_GB2312" w:hAnsi="Times New Roman" w:eastAsia="仿宋_GB2312" w:cs="DengXian-Regular"/>
          <w:sz w:val="32"/>
          <w:szCs w:val="32"/>
        </w:rPr>
        <w:t>辆。公车运行维护费支出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预算合理</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2.46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21.32</w:t>
      </w:r>
      <w:r>
        <w:rPr>
          <w:rFonts w:hint="eastAsia" w:ascii="仿宋_GB2312" w:hAnsi="Times New Roman" w:eastAsia="仿宋_GB2312" w:cs="DengXian-Regular"/>
          <w:sz w:val="32"/>
          <w:szCs w:val="32"/>
        </w:rPr>
        <w:t>X%，主要是</w:t>
      </w:r>
      <w:r>
        <w:rPr>
          <w:rFonts w:hint="eastAsia" w:ascii="仿宋_GB2312" w:hAnsi="Times New Roman" w:eastAsia="仿宋_GB2312" w:cs="DengXian-Regular"/>
          <w:sz w:val="32"/>
          <w:szCs w:val="32"/>
          <w:lang w:eastAsia="zh-CN"/>
        </w:rPr>
        <w:t>疫情防控任务重</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%。公务接待费支出较预算减少</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未发生公务接待</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w:t>
      </w:r>
      <w:r>
        <w:rPr>
          <w:rFonts w:hint="eastAsia" w:ascii="仿宋_GB2312" w:hAnsi="Times New Roman" w:eastAsia="仿宋_GB2312" w:cs="DengXian-Regular"/>
          <w:sz w:val="32"/>
          <w:szCs w:val="32"/>
          <w:lang w:eastAsia="zh-CN"/>
        </w:rPr>
        <w:t>年和</w:t>
      </w:r>
      <w:r>
        <w:rPr>
          <w:rFonts w:hint="eastAsia" w:ascii="仿宋_GB2312" w:hAnsi="Times New Roman" w:eastAsia="仿宋_GB2312" w:cs="DengXian-Regular"/>
          <w:sz w:val="32"/>
          <w:szCs w:val="32"/>
          <w:lang w:val="en-US" w:eastAsia="zh-CN"/>
        </w:rPr>
        <w:t>2022</w:t>
      </w:r>
      <w:r>
        <w:rPr>
          <w:rFonts w:hint="eastAsia" w:ascii="仿宋_GB2312" w:hAnsi="Times New Roman" w:eastAsia="仿宋_GB2312" w:cs="DengXian-Regular"/>
          <w:sz w:val="32"/>
          <w:szCs w:val="32"/>
          <w:lang w:eastAsia="zh-CN"/>
        </w:rPr>
        <w:t>年度均为发生公务接待费</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739.92</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70.33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8.68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疫情防控领导小组设在本单位，工作任务重</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highlight w:val="none"/>
        </w:rPr>
      </w:pPr>
      <w:r>
        <w:rPr>
          <w:rFonts w:hint="eastAsia" w:ascii="仿宋_GB2312" w:hAnsi="Times New Roman" w:eastAsia="仿宋_GB2312" w:cs="DengXian-Regular"/>
          <w:sz w:val="32"/>
          <w:szCs w:val="32"/>
          <w:highlight w:val="none"/>
        </w:rPr>
        <w:t>本部门2022年度政府采购支出总额</w:t>
      </w:r>
      <w:r>
        <w:rPr>
          <w:rFonts w:hint="eastAsia" w:ascii="仿宋_GB2312" w:hAnsi="Times New Roman" w:eastAsia="仿宋_GB2312" w:cs="DengXian-Regular"/>
          <w:sz w:val="32"/>
          <w:szCs w:val="32"/>
          <w:highlight w:val="none"/>
          <w:lang w:val="en-US" w:eastAsia="zh-CN"/>
        </w:rPr>
        <w:t>2.83</w:t>
      </w:r>
      <w:r>
        <w:rPr>
          <w:rFonts w:hint="eastAsia" w:ascii="仿宋_GB2312" w:hAnsi="Times New Roman" w:eastAsia="仿宋_GB2312" w:cs="DengXian-Regular"/>
          <w:sz w:val="32"/>
          <w:szCs w:val="32"/>
          <w:highlight w:val="none"/>
        </w:rPr>
        <w:t>万元，从采购类型来看，</w:t>
      </w:r>
      <w:r>
        <w:rPr>
          <w:rFonts w:ascii="仿宋_GB2312" w:hAnsi="仿宋_GB2312" w:eastAsia="仿宋_GB2312" w:cs="仿宋_GB2312"/>
          <w:color w:val="000000"/>
          <w:kern w:val="0"/>
          <w:sz w:val="32"/>
          <w:szCs w:val="32"/>
          <w:highlight w:val="none"/>
          <w:lang w:bidi="ar"/>
        </w:rPr>
        <w:t>政府采购货物支出</w:t>
      </w:r>
      <w:r>
        <w:rPr>
          <w:rFonts w:hint="eastAsia" w:ascii="仿宋_GB2312" w:hAnsi="仿宋_GB2312" w:eastAsia="仿宋_GB2312" w:cs="仿宋_GB2312"/>
          <w:color w:val="000000"/>
          <w:kern w:val="0"/>
          <w:sz w:val="32"/>
          <w:szCs w:val="32"/>
          <w:highlight w:val="none"/>
          <w:lang w:val="en-US" w:eastAsia="zh-CN" w:bidi="ar"/>
        </w:rPr>
        <w:t>2.83</w:t>
      </w:r>
      <w:r>
        <w:rPr>
          <w:rFonts w:ascii="仿宋_GB2312" w:hAnsi="仿宋_GB2312" w:eastAsia="仿宋_GB2312" w:cs="仿宋_GB2312"/>
          <w:color w:val="000000"/>
          <w:kern w:val="0"/>
          <w:sz w:val="32"/>
          <w:szCs w:val="32"/>
          <w:highlight w:val="none"/>
          <w:lang w:bidi="ar"/>
        </w:rPr>
        <w:t xml:space="preserve"> 万元、政府采购工程支出</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万元、政府采购服务支出</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万元。授予中小企业合同金</w:t>
      </w:r>
      <w:r>
        <w:rPr>
          <w:rFonts w:hint="eastAsia" w:ascii="仿宋_GB2312" w:hAnsi="仿宋_GB2312" w:eastAsia="仿宋_GB2312" w:cs="仿宋_GB2312"/>
          <w:color w:val="000000"/>
          <w:kern w:val="0"/>
          <w:sz w:val="32"/>
          <w:szCs w:val="32"/>
          <w:highlight w:val="none"/>
          <w:lang w:eastAsia="zh-CN" w:bidi="ar"/>
        </w:rPr>
        <w:t>额</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万元，占政府采购支出总额的</w:t>
      </w:r>
      <w:r>
        <w:rPr>
          <w:rFonts w:hint="eastAsia" w:ascii="仿宋_GB2312" w:hAnsi="仿宋_GB2312" w:eastAsia="仿宋_GB2312" w:cs="仿宋_GB2312"/>
          <w:color w:val="000000"/>
          <w:kern w:val="0"/>
          <w:sz w:val="32"/>
          <w:szCs w:val="32"/>
          <w:highlight w:val="none"/>
          <w:lang w:val="en-US" w:eastAsia="zh-CN" w:bidi="ar"/>
        </w:rPr>
        <w:t>0</w:t>
      </w:r>
      <w:r>
        <w:rPr>
          <w:rFonts w:hint="eastAsia" w:ascii="仿宋_GB2312" w:hAnsi="仿宋_GB2312" w:eastAsia="仿宋_GB2312" w:cs="仿宋_GB2312"/>
          <w:color w:val="000000"/>
          <w:kern w:val="0"/>
          <w:sz w:val="32"/>
          <w:szCs w:val="32"/>
          <w:highlight w:val="none"/>
          <w:lang w:bidi="ar"/>
        </w:rPr>
        <w:t>%，</w:t>
      </w:r>
      <w:r>
        <w:rPr>
          <w:rFonts w:ascii="仿宋_GB2312" w:hAnsi="仿宋_GB2312" w:eastAsia="仿宋_GB2312" w:cs="仿宋_GB2312"/>
          <w:color w:val="000000"/>
          <w:kern w:val="0"/>
          <w:sz w:val="32"/>
          <w:szCs w:val="32"/>
          <w:highlight w:val="none"/>
          <w:lang w:bidi="ar"/>
        </w:rPr>
        <w:t>其中授予小微企业合同金额</w:t>
      </w:r>
      <w:r>
        <w:rPr>
          <w:rFonts w:hint="eastAsia" w:ascii="仿宋_GB2312" w:hAnsi="仿宋_GB2312" w:eastAsia="仿宋_GB2312" w:cs="仿宋_GB2312"/>
          <w:color w:val="000000"/>
          <w:kern w:val="0"/>
          <w:sz w:val="32"/>
          <w:szCs w:val="32"/>
          <w:highlight w:val="none"/>
          <w:lang w:val="en-US" w:eastAsia="zh-CN" w:bidi="ar"/>
        </w:rPr>
        <w:t>2.83</w:t>
      </w:r>
      <w:r>
        <w:rPr>
          <w:rFonts w:ascii="仿宋_GB2312" w:hAnsi="仿宋_GB2312" w:eastAsia="仿宋_GB2312" w:cs="仿宋_GB2312"/>
          <w:color w:val="000000"/>
          <w:kern w:val="0"/>
          <w:sz w:val="32"/>
          <w:szCs w:val="32"/>
          <w:highlight w:val="none"/>
          <w:lang w:bidi="ar"/>
        </w:rPr>
        <w:t xml:space="preserve">万元，占政府采购支出总额的 </w:t>
      </w:r>
      <w:r>
        <w:rPr>
          <w:rFonts w:hint="eastAsia" w:ascii="仿宋_GB2312" w:hAnsi="仿宋_GB2312" w:eastAsia="仿宋_GB2312" w:cs="仿宋_GB2312"/>
          <w:color w:val="000000"/>
          <w:kern w:val="0"/>
          <w:sz w:val="32"/>
          <w:szCs w:val="32"/>
          <w:highlight w:val="none"/>
          <w:lang w:val="en-US" w:eastAsia="zh-CN" w:bidi="ar"/>
        </w:rPr>
        <w:t>100</w:t>
      </w:r>
      <w:r>
        <w:rPr>
          <w:rFonts w:ascii="仿宋_GB2312" w:hAnsi="仿宋_GB2312" w:eastAsia="仿宋_GB2312" w:cs="仿宋_GB2312"/>
          <w:color w:val="000000"/>
          <w:kern w:val="0"/>
          <w:sz w:val="32"/>
          <w:szCs w:val="32"/>
          <w:highlight w:val="none"/>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default" w:ascii="仿宋_GB2312" w:hAnsi="Times New Roman" w:eastAsia="仿宋_GB2312" w:cs="DengXian-Regular"/>
          <w:sz w:val="32"/>
          <w:szCs w:val="32"/>
          <w:lang w:val="en-US"/>
        </w:rPr>
        <w:t>6</w:t>
      </w:r>
      <w:r>
        <w:rPr>
          <w:rFonts w:hint="eastAsia" w:ascii="仿宋_GB2312" w:hAnsi="Times New Roman" w:eastAsia="仿宋_GB2312" w:cs="DengXian-Regular"/>
          <w:sz w:val="32"/>
          <w:szCs w:val="32"/>
        </w:rPr>
        <w:t>辆，比上年增加</w:t>
      </w:r>
      <w:r>
        <w:rPr>
          <w:rFonts w:hint="default" w:ascii="仿宋_GB2312" w:hAnsi="Times New Roman" w:eastAsia="仿宋_GB2312" w:cs="DengXian-Regular"/>
          <w:sz w:val="32"/>
          <w:szCs w:val="32"/>
          <w:lang w:val="en-US"/>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没有变动</w:t>
      </w:r>
      <w:r>
        <w:rPr>
          <w:rFonts w:hint="eastAsia" w:ascii="仿宋_GB2312" w:hAnsi="Times New Roman" w:eastAsia="仿宋_GB2312" w:cs="DengXian-Regular"/>
          <w:sz w:val="32"/>
          <w:szCs w:val="32"/>
        </w:rPr>
        <w:t>。其中，副部（省）级及以上领导用车XX辆，主要领导干部用车XX辆，机要通信用车</w:t>
      </w:r>
      <w:r>
        <w:rPr>
          <w:rFonts w:hint="default" w:ascii="仿宋_GB2312" w:hAnsi="Times New Roman" w:eastAsia="仿宋_GB2312" w:cs="DengXian-Regular"/>
          <w:sz w:val="32"/>
          <w:szCs w:val="32"/>
          <w:lang w:val="en-US"/>
        </w:rPr>
        <w:t>1</w:t>
      </w:r>
      <w:r>
        <w:rPr>
          <w:rFonts w:hint="eastAsia" w:ascii="仿宋_GB2312" w:hAnsi="Times New Roman" w:eastAsia="仿宋_GB2312" w:cs="DengXian-Regular"/>
          <w:sz w:val="32"/>
          <w:szCs w:val="32"/>
        </w:rPr>
        <w:t>辆，应急保障用车</w:t>
      </w:r>
      <w:r>
        <w:rPr>
          <w:rFonts w:hint="default" w:ascii="仿宋_GB2312" w:hAnsi="Times New Roman" w:eastAsia="仿宋_GB2312" w:cs="DengXian-Regular"/>
          <w:sz w:val="32"/>
          <w:szCs w:val="32"/>
          <w:lang w:val="en-US"/>
        </w:rPr>
        <w:t>5</w:t>
      </w:r>
      <w:r>
        <w:rPr>
          <w:rFonts w:hint="eastAsia" w:ascii="仿宋_GB2312" w:hAnsi="Times New Roman" w:eastAsia="仿宋_GB2312" w:cs="DengXian-Regular"/>
          <w:sz w:val="32"/>
          <w:szCs w:val="32"/>
        </w:rPr>
        <w:t>辆，执法执勤用车</w:t>
      </w:r>
      <w:r>
        <w:rPr>
          <w:rFonts w:hint="default" w:ascii="仿宋_GB2312" w:hAnsi="Times New Roman" w:eastAsia="仿宋_GB2312" w:cs="DengXian-Regular"/>
          <w:sz w:val="32"/>
          <w:szCs w:val="32"/>
          <w:lang w:val="en-US"/>
        </w:rPr>
        <w:t>0</w:t>
      </w:r>
      <w:r>
        <w:rPr>
          <w:rFonts w:hint="eastAsia" w:ascii="仿宋_GB2312" w:hAnsi="Times New Roman" w:eastAsia="仿宋_GB2312" w:cs="DengXian-Regular"/>
          <w:sz w:val="32"/>
          <w:szCs w:val="32"/>
        </w:rPr>
        <w:t>辆，特种专业技术用车</w:t>
      </w:r>
      <w:r>
        <w:rPr>
          <w:rFonts w:hint="default" w:ascii="仿宋_GB2312" w:hAnsi="Times New Roman" w:eastAsia="仿宋_GB2312" w:cs="DengXian-Regular"/>
          <w:sz w:val="32"/>
          <w:szCs w:val="32"/>
          <w:lang w:val="en-US"/>
        </w:rPr>
        <w:t>0</w:t>
      </w:r>
      <w:r>
        <w:rPr>
          <w:rFonts w:hint="eastAsia" w:ascii="仿宋_GB2312" w:hAnsi="Times New Roman" w:eastAsia="仿宋_GB2312" w:cs="DengXian-Regular"/>
          <w:sz w:val="32"/>
          <w:szCs w:val="32"/>
        </w:rPr>
        <w:t>辆，离退休干部用车</w:t>
      </w:r>
      <w:r>
        <w:rPr>
          <w:rFonts w:hint="default" w:ascii="仿宋_GB2312" w:hAnsi="Times New Roman" w:eastAsia="仿宋_GB2312" w:cs="DengXian-Regular"/>
          <w:sz w:val="32"/>
          <w:szCs w:val="32"/>
          <w:lang w:val="en-US"/>
        </w:rPr>
        <w:t>0</w:t>
      </w:r>
      <w:r>
        <w:rPr>
          <w:rFonts w:hint="eastAsia" w:ascii="仿宋_GB2312" w:hAnsi="Times New Roman" w:eastAsia="仿宋_GB2312" w:cs="DengXian-Regular"/>
          <w:sz w:val="32"/>
          <w:szCs w:val="32"/>
        </w:rPr>
        <w:t>辆，其他用车</w:t>
      </w:r>
      <w:r>
        <w:rPr>
          <w:rFonts w:hint="default" w:ascii="仿宋_GB2312" w:hAnsi="Times New Roman" w:eastAsia="仿宋_GB2312" w:cs="DengXian-Regular"/>
          <w:sz w:val="32"/>
          <w:szCs w:val="32"/>
          <w:lang w:val="en-US"/>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无</w:t>
      </w:r>
      <w:r>
        <w:rPr>
          <w:rFonts w:hint="eastAsia" w:ascii="仿宋_GB2312" w:hAnsi="Times New Roman" w:eastAsia="仿宋_GB2312" w:cs="DengXian-Regular"/>
          <w:sz w:val="32"/>
          <w:szCs w:val="32"/>
        </w:rPr>
        <w:t>；单位价值100万元以上设备（不含车辆）</w:t>
      </w:r>
      <w:r>
        <w:rPr>
          <w:rFonts w:hint="default" w:ascii="仿宋_GB2312" w:hAnsi="Times New Roman" w:eastAsia="仿宋_GB2312" w:cs="DengXian-Regular"/>
          <w:sz w:val="32"/>
          <w:szCs w:val="32"/>
          <w:lang w:val="en-US"/>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XX个，二级项目XX个，共涉及资金XX万元，占一般公共预算项目支出总额的XX%。组织对2022年度XXX、XXX等XX个政府性基金预算项目支出开展绩效自评，共涉及资金XX万元，占政府性基金预算项目支出总额的XX%。组织对2022年度XXX、XXX等XX个国有资本经营预算项目支出开展绩效自评，共涉及资金XX万元，占国有资本经营预算项目支出总额的XX%。</w:t>
      </w:r>
    </w:p>
    <w:p>
      <w:pPr>
        <w:adjustRightInd w:val="0"/>
        <w:snapToGrid w:val="0"/>
        <w:spacing w:line="58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XXXXXX”等XX个一级项目开展了重点评价，涉及一般公共预算支出XX万元，政府性基金预算支出XX万元。其中，对“XXX”“XXX”等项目分别委托“XXX”“XXX”等第三方机构(或部内评审机构)开展绩效评价。从评价情况来看，……</w:t>
      </w:r>
      <w:r>
        <w:rPr>
          <w:rFonts w:hint="eastAsia" w:ascii="仿宋_GB2312" w:hAnsi="仿宋_GB2312" w:eastAsia="仿宋_GB2312" w:cs="仿宋_GB2312"/>
          <w:sz w:val="32"/>
          <w:szCs w:val="32"/>
          <w:highlight w:val="yellow"/>
        </w:rPr>
        <w:t>（请对预算绩效评价情况进行简单说明）。</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 XXX项目及 XXX 项目等X个项目绩效自评结果。</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XXX项目自评综述：根据年初设定的绩效目标，XX项目绩效自评得分为XX分（绩效自评表附后）。全年预算数为XX万元，执行数为XX万元，完成预算的XX。项目绩效目标完成情况：</w:t>
      </w:r>
      <w:r>
        <w:rPr>
          <w:rFonts w:hint="eastAsia" w:ascii="仿宋_GB2312" w:hAnsi="仿宋_GB2312" w:eastAsia="仿宋_GB2312" w:cs="仿宋_GB2312"/>
          <w:sz w:val="32"/>
          <w:szCs w:val="32"/>
          <w:highlight w:val="yellow"/>
        </w:rPr>
        <w:t>(如通过项目实施，完成了年初设定的各项绩效目标，完成XXXX;完成XXXXX等。未发现问题）。</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XXX项目绩效自评综述。</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highlight w:val="yellow"/>
        </w:rPr>
        <w:t>附项目支出绩效自评表</w:t>
      </w:r>
    </w:p>
    <w:p>
      <w:pPr>
        <w:adjustRightInd w:val="0"/>
        <w:snapToGrid w:val="0"/>
        <w:spacing w:line="580" w:lineRule="exact"/>
        <w:ind w:left="420" w:leftChars="200"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highlight w:val="yellow"/>
        </w:rPr>
        <w:t>部门</w:t>
      </w:r>
      <w:r>
        <w:rPr>
          <w:rFonts w:hint="eastAsia" w:ascii="仿宋_GB2312" w:hAnsi="仿宋_GB2312" w:eastAsia="仿宋_GB2312" w:cs="仿宋_GB2312"/>
          <w:b/>
          <w:bCs/>
          <w:sz w:val="32"/>
          <w:szCs w:val="32"/>
        </w:rPr>
        <w:t>评价项目绩效评价结果</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本部门2022年度XXX无收支及结转结余情况，故XXX表以空表列示。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rPr>
          <w:rFonts w:ascii="仿宋_GB2312" w:hAnsi="宋体" w:eastAsia="仿宋_GB2312" w:cs="MS-UIGothic,Bold"/>
          <w:bCs/>
          <w:sz w:val="32"/>
          <w:szCs w:val="32"/>
          <w:highlight w:val="yellow"/>
        </w:rPr>
      </w:pPr>
      <w:r>
        <w:rPr>
          <w:rFonts w:hint="eastAsia" w:ascii="仿宋_GB2312" w:hAnsi="宋体" w:eastAsia="仿宋_GB2312" w:cs="ArialUnicodeMS"/>
          <w:sz w:val="32"/>
          <w:szCs w:val="32"/>
          <w:highlight w:val="yellow"/>
        </w:rPr>
        <w:t>(各部门应根据本部门实际情况,对公开的本部门决算信息中相关专业性较强的名词进行必要解释和说明，包含但不限于以下名词解释。)</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Times New Roman"/>
    <w:panose1 w:val="00000000000000000000"/>
    <w:charset w:val="81"/>
    <w:family w:val="auto"/>
    <w:pitch w:val="default"/>
    <w:sig w:usb0="00000000" w:usb1="00000000" w:usb2="00000010" w:usb3="00000000" w:csb0="0008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Times New Roman"/>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DQsImhkaWQiOiI2MWZhZjI5YmJkMjZmNzNlYzMzODYzMjE2YTBiNmRkNyIsInVzZXJDb3VudCI6MjZ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8F522B"/>
    <w:rsid w:val="01B752BF"/>
    <w:rsid w:val="02F2691F"/>
    <w:rsid w:val="049E5B69"/>
    <w:rsid w:val="05273E55"/>
    <w:rsid w:val="06EB1AB6"/>
    <w:rsid w:val="091F3E7D"/>
    <w:rsid w:val="099D6B31"/>
    <w:rsid w:val="09FD66D9"/>
    <w:rsid w:val="0A730B4B"/>
    <w:rsid w:val="0F5E615B"/>
    <w:rsid w:val="10673B74"/>
    <w:rsid w:val="10B242CF"/>
    <w:rsid w:val="10DC4C02"/>
    <w:rsid w:val="118122A3"/>
    <w:rsid w:val="11F4604E"/>
    <w:rsid w:val="136D16FB"/>
    <w:rsid w:val="13AA21BF"/>
    <w:rsid w:val="141800FF"/>
    <w:rsid w:val="160B7B09"/>
    <w:rsid w:val="17CD506C"/>
    <w:rsid w:val="192405AB"/>
    <w:rsid w:val="1A3D2C72"/>
    <w:rsid w:val="216937C4"/>
    <w:rsid w:val="28A57A42"/>
    <w:rsid w:val="298605CB"/>
    <w:rsid w:val="2A894BC5"/>
    <w:rsid w:val="2CEF036C"/>
    <w:rsid w:val="2D3D5F03"/>
    <w:rsid w:val="30081A19"/>
    <w:rsid w:val="30200364"/>
    <w:rsid w:val="32A31C4C"/>
    <w:rsid w:val="32B53CA7"/>
    <w:rsid w:val="33CD2241"/>
    <w:rsid w:val="33E006B7"/>
    <w:rsid w:val="34967CFD"/>
    <w:rsid w:val="39C2416B"/>
    <w:rsid w:val="3B744E3E"/>
    <w:rsid w:val="3DC91A1B"/>
    <w:rsid w:val="3F235BB1"/>
    <w:rsid w:val="3F663581"/>
    <w:rsid w:val="42A44BF6"/>
    <w:rsid w:val="42C93E90"/>
    <w:rsid w:val="42DA5BE5"/>
    <w:rsid w:val="4571549B"/>
    <w:rsid w:val="46C422B2"/>
    <w:rsid w:val="471274FD"/>
    <w:rsid w:val="49717ADD"/>
    <w:rsid w:val="4A51609B"/>
    <w:rsid w:val="4B115458"/>
    <w:rsid w:val="4C194D3B"/>
    <w:rsid w:val="4C8D7E86"/>
    <w:rsid w:val="4CA2253F"/>
    <w:rsid w:val="4CB35A3B"/>
    <w:rsid w:val="4D304C6C"/>
    <w:rsid w:val="4F2A6A41"/>
    <w:rsid w:val="500373A2"/>
    <w:rsid w:val="507C6383"/>
    <w:rsid w:val="53AD746D"/>
    <w:rsid w:val="541A344C"/>
    <w:rsid w:val="561769D4"/>
    <w:rsid w:val="58D844B0"/>
    <w:rsid w:val="5F4A1A8C"/>
    <w:rsid w:val="60075621"/>
    <w:rsid w:val="602001C2"/>
    <w:rsid w:val="60CE32E1"/>
    <w:rsid w:val="64C00985"/>
    <w:rsid w:val="65225D26"/>
    <w:rsid w:val="65DB5CBA"/>
    <w:rsid w:val="674E6C15"/>
    <w:rsid w:val="67636EEB"/>
    <w:rsid w:val="697609B2"/>
    <w:rsid w:val="69F4671F"/>
    <w:rsid w:val="6BA53F12"/>
    <w:rsid w:val="6CBF282C"/>
    <w:rsid w:val="6DFF098C"/>
    <w:rsid w:val="706922F1"/>
    <w:rsid w:val="70E26307"/>
    <w:rsid w:val="73335BEE"/>
    <w:rsid w:val="734B3BFA"/>
    <w:rsid w:val="73753308"/>
    <w:rsid w:val="74123DAE"/>
    <w:rsid w:val="79442C5B"/>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240" w:lineRule="atLeast"/>
      <w:jc w:val="left"/>
    </w:pPr>
    <w:rPr>
      <w:rFonts w:ascii="宋体" w:hAnsi="宋体" w:cs="宋体"/>
      <w:color w:val="333333"/>
      <w:kern w:val="0"/>
      <w:sz w:val="18"/>
      <w:szCs w:val="18"/>
    </w:rPr>
  </w:style>
  <w:style w:type="table" w:styleId="8">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脚 Char"/>
    <w:basedOn w:val="9"/>
    <w:link w:val="4"/>
    <w:qFormat/>
    <w:uiPriority w:val="0"/>
    <w:rPr>
      <w:kern w:val="2"/>
      <w:sz w:val="18"/>
      <w:szCs w:val="18"/>
    </w:rPr>
  </w:style>
  <w:style w:type="character" w:customStyle="1" w:styleId="11">
    <w:name w:val="页眉 Char"/>
    <w:basedOn w:val="9"/>
    <w:link w:val="5"/>
    <w:qFormat/>
    <w:uiPriority w:val="0"/>
    <w:rPr>
      <w:kern w:val="2"/>
      <w:sz w:val="18"/>
      <w:szCs w:val="18"/>
    </w:rPr>
  </w:style>
  <w:style w:type="character" w:customStyle="1" w:styleId="12">
    <w:name w:val="font11"/>
    <w:basedOn w:val="9"/>
    <w:qFormat/>
    <w:uiPriority w:val="0"/>
    <w:rPr>
      <w:rFonts w:hint="eastAsia" w:ascii="宋体" w:hAnsi="宋体" w:eastAsia="宋体" w:cs="宋体"/>
      <w:color w:val="000000"/>
      <w:sz w:val="20"/>
      <w:szCs w:val="20"/>
      <w:u w:val="none"/>
    </w:rPr>
  </w:style>
  <w:style w:type="character" w:customStyle="1" w:styleId="13">
    <w:name w:val="font01"/>
    <w:basedOn w:val="9"/>
    <w:qFormat/>
    <w:uiPriority w:val="0"/>
    <w:rPr>
      <w:rFonts w:hint="eastAsia" w:ascii="宋体" w:hAnsi="宋体" w:eastAsia="宋体" w:cs="宋体"/>
      <w:color w:val="000000"/>
      <w:sz w:val="22"/>
      <w:szCs w:val="22"/>
      <w:u w:val="none"/>
    </w:rPr>
  </w:style>
  <w:style w:type="character" w:customStyle="1" w:styleId="14">
    <w:name w:val="font41"/>
    <w:basedOn w:val="9"/>
    <w:qFormat/>
    <w:uiPriority w:val="0"/>
    <w:rPr>
      <w:rFonts w:hint="eastAsia" w:ascii="宋体" w:hAnsi="宋体" w:eastAsia="宋体" w:cs="宋体"/>
      <w:color w:val="000000"/>
      <w:sz w:val="24"/>
      <w:szCs w:val="24"/>
      <w:u w:val="none"/>
    </w:rPr>
  </w:style>
  <w:style w:type="character" w:customStyle="1" w:styleId="15">
    <w:name w:val="font31"/>
    <w:basedOn w:val="9"/>
    <w:qFormat/>
    <w:uiPriority w:val="0"/>
    <w:rPr>
      <w:rFonts w:hint="eastAsia" w:ascii="华文中宋" w:hAnsi="华文中宋" w:eastAsia="华文中宋" w:cs="华文中宋"/>
      <w:color w:val="000000"/>
      <w:sz w:val="32"/>
      <w:szCs w:val="32"/>
      <w:u w:val="none"/>
    </w:rPr>
  </w:style>
  <w:style w:type="character" w:customStyle="1" w:styleId="16">
    <w:name w:val="font91"/>
    <w:basedOn w:val="9"/>
    <w:qFormat/>
    <w:uiPriority w:val="0"/>
    <w:rPr>
      <w:rFonts w:hint="eastAsia" w:ascii="华文中宋" w:hAnsi="华文中宋" w:eastAsia="华文中宋" w:cs="华文中宋"/>
      <w:color w:val="000000"/>
      <w:sz w:val="32"/>
      <w:szCs w:val="32"/>
      <w:u w:val="none"/>
    </w:rPr>
  </w:style>
  <w:style w:type="character" w:customStyle="1" w:styleId="17">
    <w:name w:val="font51"/>
    <w:basedOn w:val="9"/>
    <w:qFormat/>
    <w:uiPriority w:val="0"/>
    <w:rPr>
      <w:rFonts w:hint="eastAsia" w:ascii="宋体" w:hAnsi="宋体" w:eastAsia="宋体" w:cs="宋体"/>
      <w:color w:val="000000"/>
      <w:sz w:val="24"/>
      <w:szCs w:val="24"/>
      <w:u w:val="none"/>
    </w:rPr>
  </w:style>
  <w:style w:type="character" w:customStyle="1" w:styleId="18">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103</TotalTime>
  <ScaleCrop>false</ScaleCrop>
  <LinksUpToDate>false</LinksUpToDate>
  <CharactersWithSpaces>11927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静静的</cp:lastModifiedBy>
  <cp:lastPrinted>2023-08-04T01:00:00Z</cp:lastPrinted>
  <dcterms:modified xsi:type="dcterms:W3CDTF">2023-12-05T03:13:19Z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TemplateUUID">
    <vt:lpwstr>v1.0_mb_S7ajbG3IpAnL1wSthNCxfw==</vt:lpwstr>
  </property>
  <property fmtid="{D5CDD505-2E9C-101B-9397-08002B2CF9AE}" pid="4" name="ICV">
    <vt:lpwstr>1515CEFC20754C3380B382230295B456</vt:lpwstr>
  </property>
</Properties>
</file>