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黑体"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黑体" w:hAnsi="黑体" w:eastAsia="黑体" w:cs="黑体"/>
                                <w:color w:val="000000"/>
                                <w:sz w:val="40"/>
                                <w:szCs w:val="40"/>
                                <w:lang w:eastAsia="zh-CN"/>
                              </w:rPr>
                              <w:t>：</w:t>
                            </w:r>
                            <w:r>
                              <w:rPr>
                                <w:rFonts w:hint="eastAsia" w:ascii="黑体" w:hAnsi="黑体" w:eastAsia="黑体" w:cs="黑体"/>
                                <w:color w:val="000000"/>
                                <w:sz w:val="40"/>
                                <w:szCs w:val="40"/>
                                <w:lang w:val="en-US" w:eastAsia="zh-CN"/>
                              </w:rPr>
                              <w:t>332008</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成安县第二供水站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黑体"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黑体" w:hAnsi="黑体" w:eastAsia="黑体" w:cs="黑体"/>
                          <w:color w:val="000000"/>
                          <w:sz w:val="40"/>
                          <w:szCs w:val="40"/>
                          <w:lang w:eastAsia="zh-CN"/>
                        </w:rPr>
                        <w:t>：</w:t>
                      </w:r>
                      <w:r>
                        <w:rPr>
                          <w:rFonts w:hint="eastAsia" w:ascii="黑体" w:hAnsi="黑体" w:eastAsia="黑体" w:cs="黑体"/>
                          <w:color w:val="000000"/>
                          <w:sz w:val="40"/>
                          <w:szCs w:val="40"/>
                          <w:lang w:val="en-US" w:eastAsia="zh-CN"/>
                        </w:rPr>
                        <w:t>332008</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成安县第二供水站</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2"/>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2"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成安县第二供水站</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1254760</wp:posOffset>
            </wp:positionH>
            <wp:positionV relativeFrom="margin">
              <wp:posOffset>497205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603250</wp:posOffset>
            </wp:positionH>
            <wp:positionV relativeFrom="margin">
              <wp:posOffset>2592070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4"/>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成安县第二供水站担负着主城区8.6余万人生产、生活供水任务，负责供水范围内管网日常维修、维护、运行、抄表及水费征收等工作。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992"/>
        <w:gridCol w:w="293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299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93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2992"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成安县第二供水站</w:t>
            </w:r>
          </w:p>
        </w:tc>
        <w:tc>
          <w:tcPr>
            <w:tcW w:w="2938"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经费自理事业单位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5"/>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562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567.63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604"/>
        <w:gridCol w:w="2295"/>
        <w:gridCol w:w="1107"/>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604" w:type="dxa"/>
            <w:shd w:val="clear" w:color="auto" w:fill="FFFFFF"/>
            <w:vAlign w:val="center"/>
          </w:tcPr>
          <w:p>
            <w:pPr>
              <w:jc w:val="right"/>
              <w:rPr>
                <w:rFonts w:ascii="宋体" w:hAnsi="宋体" w:eastAsia="宋体" w:cs="宋体"/>
                <w:color w:val="000000"/>
                <w:sz w:val="24"/>
              </w:rPr>
            </w:pPr>
          </w:p>
        </w:tc>
        <w:tc>
          <w:tcPr>
            <w:tcW w:w="2295" w:type="dxa"/>
            <w:shd w:val="clear" w:color="auto" w:fill="FFFFFF"/>
            <w:vAlign w:val="center"/>
          </w:tcPr>
          <w:p>
            <w:pPr>
              <w:jc w:val="right"/>
              <w:rPr>
                <w:rFonts w:ascii="宋体" w:hAnsi="宋体" w:eastAsia="宋体" w:cs="宋体"/>
                <w:color w:val="000000"/>
                <w:sz w:val="24"/>
              </w:rPr>
            </w:pPr>
          </w:p>
        </w:tc>
        <w:tc>
          <w:tcPr>
            <w:tcW w:w="110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3454"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110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社会保障和就业支出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行政事业单位养老支出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sz w:val="24"/>
                <w:lang w:val="en-US" w:eastAsia="zh-CN"/>
              </w:rPr>
            </w:pPr>
            <w:r>
              <w:rPr>
                <w:rFonts w:hint="eastAsia" w:ascii="华文中宋" w:hAnsi="华文中宋" w:eastAsia="华文中宋" w:cs="华文中宋"/>
                <w:color w:val="000000"/>
                <w:sz w:val="24"/>
                <w:lang w:val="en-US" w:eastAsia="zh-CN"/>
              </w:rPr>
              <w:t>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机关事业单位基本养老保险缴费支出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2080506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机关事业单位职业年金缴费支出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农林水支出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水利</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行政运行</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558.76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558.76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2130304</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水利行业业务管理</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482"/>
        <w:gridCol w:w="2160"/>
        <w:gridCol w:w="1200"/>
        <w:gridCol w:w="150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482" w:type="dxa"/>
            <w:shd w:val="clear" w:color="auto" w:fill="FFFFFF"/>
            <w:vAlign w:val="center"/>
          </w:tcPr>
          <w:p>
            <w:pPr>
              <w:jc w:val="right"/>
              <w:rPr>
                <w:rFonts w:ascii="宋体" w:hAnsi="宋体" w:eastAsia="宋体" w:cs="宋体"/>
                <w:color w:val="000000"/>
                <w:sz w:val="24"/>
              </w:rPr>
            </w:pPr>
          </w:p>
        </w:tc>
        <w:tc>
          <w:tcPr>
            <w:tcW w:w="2160" w:type="dxa"/>
            <w:shd w:val="clear" w:color="auto" w:fill="FFFFFF"/>
            <w:vAlign w:val="center"/>
          </w:tcPr>
          <w:p>
            <w:pPr>
              <w:jc w:val="right"/>
              <w:rPr>
                <w:rFonts w:ascii="宋体" w:hAnsi="宋体" w:eastAsia="宋体" w:cs="宋体"/>
                <w:color w:val="000000"/>
                <w:sz w:val="24"/>
              </w:rPr>
            </w:pPr>
          </w:p>
        </w:tc>
        <w:tc>
          <w:tcPr>
            <w:tcW w:w="1200" w:type="dxa"/>
            <w:shd w:val="clear" w:color="auto" w:fill="FFFFFF"/>
            <w:vAlign w:val="center"/>
          </w:tcPr>
          <w:p>
            <w:pPr>
              <w:jc w:val="right"/>
              <w:rPr>
                <w:rFonts w:ascii="宋体" w:hAnsi="宋体" w:eastAsia="宋体" w:cs="宋体"/>
                <w:color w:val="000000"/>
                <w:sz w:val="24"/>
              </w:rPr>
            </w:pPr>
          </w:p>
        </w:tc>
        <w:tc>
          <w:tcPr>
            <w:tcW w:w="150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3313" w:type="dxa"/>
            <w:gridSpan w:val="3"/>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120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50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1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社会保障和就业支出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行政事业单位养老支出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5.63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5.63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机关事业单位基本养老保险缴费支出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4.45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机关事业单位职业年金缴费支出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农林水支出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行政运行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558.76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558.76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5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水利行业业务管理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3.24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3.24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583"/>
        <w:gridCol w:w="1138"/>
        <w:gridCol w:w="371"/>
        <w:gridCol w:w="792"/>
        <w:gridCol w:w="522"/>
        <w:gridCol w:w="1592"/>
        <w:gridCol w:w="319"/>
        <w:gridCol w:w="475"/>
        <w:gridCol w:w="242"/>
        <w:gridCol w:w="914"/>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48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34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562.00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562.00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2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567.63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583" w:type="dxa"/>
            <w:shd w:val="clear" w:color="auto" w:fill="FFFFFF"/>
            <w:vAlign w:val="center"/>
          </w:tcPr>
          <w:p>
            <w:pPr>
              <w:jc w:val="center"/>
              <w:rPr>
                <w:rFonts w:ascii="宋体" w:hAnsi="宋体" w:eastAsia="宋体" w:cs="宋体"/>
                <w:color w:val="000000"/>
                <w:sz w:val="20"/>
                <w:szCs w:val="20"/>
              </w:rPr>
            </w:pPr>
          </w:p>
        </w:tc>
        <w:tc>
          <w:tcPr>
            <w:tcW w:w="2823"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1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82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1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82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82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567.63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5.63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5.63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2080505</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4.45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4.45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2080506</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1.18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562.00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2130301</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558.76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558.76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2130304</w:t>
            </w:r>
          </w:p>
        </w:tc>
        <w:tc>
          <w:tcPr>
            <w:tcW w:w="28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水利行业业务管理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3.24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3.24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eastAsia="zh-CN" w:bidi="ar"/>
              </w:rPr>
              <w:t>成安县第二供水站</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175.96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366.76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110.41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24.91</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149.51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0.42</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44.00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24.50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21.08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41.91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10.72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10.24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98.02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175.96</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391.67</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555"/>
        <w:gridCol w:w="461"/>
        <w:gridCol w:w="176"/>
        <w:gridCol w:w="443"/>
        <w:gridCol w:w="376"/>
        <w:gridCol w:w="945"/>
        <w:gridCol w:w="111"/>
        <w:gridCol w:w="1885"/>
        <w:gridCol w:w="534"/>
        <w:gridCol w:w="546"/>
        <w:gridCol w:w="216"/>
        <w:gridCol w:w="864"/>
        <w:gridCol w:w="172"/>
        <w:gridCol w:w="908"/>
        <w:gridCol w:w="69"/>
        <w:gridCol w:w="1012"/>
        <w:gridCol w:w="1077"/>
        <w:gridCol w:w="72"/>
      </w:tblGrid>
      <w:tr>
        <w:trPr>
          <w:gridAfter w:val="1"/>
          <w:wAfter w:w="72" w:type="dxa"/>
          <w:trHeight w:val="600" w:hRule="atLeast"/>
        </w:trPr>
        <w:tc>
          <w:tcPr>
            <w:tcW w:w="10350" w:type="dxa"/>
            <w:gridSpan w:val="17"/>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rPr>
          <w:gridAfter w:val="1"/>
          <w:wAfter w:w="72" w:type="dxa"/>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gridSpan w:val="3"/>
            <w:shd w:val="clear" w:color="auto" w:fill="FFFFFF"/>
            <w:vAlign w:val="center"/>
          </w:tcPr>
          <w:p>
            <w:pPr>
              <w:jc w:val="center"/>
              <w:rPr>
                <w:rFonts w:ascii="宋体" w:hAnsi="宋体" w:eastAsia="宋体" w:cs="宋体"/>
                <w:color w:val="000000"/>
                <w:sz w:val="20"/>
                <w:szCs w:val="20"/>
              </w:rPr>
            </w:pPr>
          </w:p>
        </w:tc>
        <w:tc>
          <w:tcPr>
            <w:tcW w:w="1321" w:type="dxa"/>
            <w:gridSpan w:val="2"/>
            <w:shd w:val="clear" w:color="auto" w:fill="FFFFFF"/>
            <w:vAlign w:val="center"/>
          </w:tcPr>
          <w:p>
            <w:pPr>
              <w:jc w:val="center"/>
              <w:rPr>
                <w:rFonts w:ascii="宋体" w:hAnsi="宋体" w:eastAsia="宋体" w:cs="宋体"/>
                <w:color w:val="000000"/>
                <w:sz w:val="20"/>
                <w:szCs w:val="20"/>
              </w:rPr>
            </w:pPr>
          </w:p>
        </w:tc>
        <w:tc>
          <w:tcPr>
            <w:tcW w:w="1996" w:type="dxa"/>
            <w:gridSpan w:val="2"/>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0" w:type="dxa"/>
            <w:gridSpan w:val="2"/>
            <w:shd w:val="clear" w:color="auto" w:fill="auto"/>
            <w:vAlign w:val="bottom"/>
          </w:tcPr>
          <w:p>
            <w:pPr>
              <w:rPr>
                <w:rFonts w:ascii="宋体" w:hAnsi="宋体" w:eastAsia="宋体" w:cs="宋体"/>
                <w:color w:val="000000"/>
                <w:sz w:val="24"/>
              </w:rPr>
            </w:pPr>
          </w:p>
        </w:tc>
        <w:tc>
          <w:tcPr>
            <w:tcW w:w="1081" w:type="dxa"/>
            <w:gridSpan w:val="2"/>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gridAfter w:val="1"/>
          <w:wAfter w:w="72" w:type="dxa"/>
          <w:trHeight w:val="301" w:hRule="atLeast"/>
        </w:trPr>
        <w:tc>
          <w:tcPr>
            <w:tcW w:w="295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1996" w:type="dxa"/>
            <w:gridSpan w:val="2"/>
            <w:shd w:val="clear" w:color="auto" w:fill="FFFFFF"/>
            <w:vAlign w:val="center"/>
          </w:tcPr>
          <w:p>
            <w:pPr>
              <w:rPr>
                <w:rFonts w:ascii="宋体" w:hAnsi="宋体" w:eastAsia="宋体" w:cs="宋体"/>
                <w:color w:val="000000"/>
                <w:sz w:val="20"/>
                <w:szCs w:val="20"/>
              </w:rPr>
            </w:pPr>
          </w:p>
        </w:tc>
        <w:tc>
          <w:tcPr>
            <w:tcW w:w="1080" w:type="dxa"/>
            <w:gridSpan w:val="2"/>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gridSpan w:val="2"/>
            <w:shd w:val="clear" w:color="auto" w:fill="FFFFFF"/>
            <w:vAlign w:val="center"/>
          </w:tcPr>
          <w:p>
            <w:pPr>
              <w:rPr>
                <w:rFonts w:ascii="宋体" w:hAnsi="宋体" w:eastAsia="宋体" w:cs="宋体"/>
                <w:color w:val="000000"/>
                <w:sz w:val="20"/>
                <w:szCs w:val="20"/>
              </w:rPr>
            </w:pPr>
          </w:p>
        </w:tc>
        <w:tc>
          <w:tcPr>
            <w:tcW w:w="1080" w:type="dxa"/>
            <w:gridSpan w:val="2"/>
            <w:shd w:val="clear" w:color="auto" w:fill="FFFFFF"/>
            <w:vAlign w:val="center"/>
          </w:tcPr>
          <w:p>
            <w:pPr>
              <w:rPr>
                <w:rFonts w:ascii="宋体" w:hAnsi="宋体" w:eastAsia="宋体" w:cs="宋体"/>
                <w:color w:val="000000"/>
                <w:sz w:val="20"/>
                <w:szCs w:val="20"/>
              </w:rPr>
            </w:pPr>
          </w:p>
        </w:tc>
        <w:tc>
          <w:tcPr>
            <w:tcW w:w="1081" w:type="dxa"/>
            <w:gridSpan w:val="2"/>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72" w:type="dxa"/>
          <w:trHeight w:val="405" w:hRule="atLeast"/>
        </w:trPr>
        <w:tc>
          <w:tcPr>
            <w:tcW w:w="29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gridAfter w:val="1"/>
          <w:wAfter w:w="72" w:type="dxa"/>
          <w:trHeight w:val="540" w:hRule="atLeast"/>
        </w:trPr>
        <w:tc>
          <w:tcPr>
            <w:tcW w:w="163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360" w:hRule="atLeast"/>
        </w:trPr>
        <w:tc>
          <w:tcPr>
            <w:tcW w:w="16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29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gridAfter w:val="1"/>
          <w:wAfter w:w="72" w:type="dxa"/>
          <w:trHeight w:val="450" w:hRule="atLeast"/>
        </w:trPr>
        <w:tc>
          <w:tcPr>
            <w:tcW w:w="29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450" w:hRule="atLeast"/>
        </w:trPr>
        <w:tc>
          <w:tcPr>
            <w:tcW w:w="1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72" w:type="dxa"/>
          <w:trHeight w:val="645" w:hRule="atLeast"/>
        </w:trPr>
        <w:tc>
          <w:tcPr>
            <w:tcW w:w="10350" w:type="dxa"/>
            <w:gridSpan w:val="17"/>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本部门本年度无相关支出情况，按要求空表列示。</w:t>
            </w:r>
          </w:p>
          <w:p>
            <w:pPr>
              <w:widowControl/>
              <w:jc w:val="lef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18"/>
            <w:shd w:val="clear" w:color="auto" w:fill="FFFFFF"/>
            <w:vAlign w:val="center"/>
          </w:tcPr>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hint="eastAsia" w:ascii="华文中宋" w:hAnsi="华文中宋" w:eastAsia="华文中宋" w:cs="华文中宋"/>
                <w:color w:val="000000"/>
                <w:kern w:val="0"/>
                <w:sz w:val="32"/>
                <w:szCs w:val="32"/>
                <w:lang w:bidi="ar"/>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gridSpan w:val="2"/>
            <w:shd w:val="clear" w:color="auto" w:fill="FFFFFF"/>
            <w:vAlign w:val="center"/>
          </w:tcPr>
          <w:p>
            <w:pPr>
              <w:jc w:val="center"/>
              <w:rPr>
                <w:rFonts w:ascii="宋体" w:hAnsi="宋体" w:eastAsia="宋体" w:cs="宋体"/>
                <w:color w:val="000000"/>
                <w:sz w:val="20"/>
                <w:szCs w:val="20"/>
              </w:rPr>
            </w:pPr>
          </w:p>
        </w:tc>
        <w:tc>
          <w:tcPr>
            <w:tcW w:w="995" w:type="dxa"/>
            <w:gridSpan w:val="3"/>
            <w:shd w:val="clear" w:color="auto" w:fill="FFFFFF"/>
            <w:vAlign w:val="center"/>
          </w:tcPr>
          <w:p>
            <w:pPr>
              <w:jc w:val="center"/>
              <w:rPr>
                <w:rFonts w:ascii="宋体" w:hAnsi="宋体" w:eastAsia="宋体" w:cs="宋体"/>
                <w:color w:val="000000"/>
                <w:sz w:val="20"/>
                <w:szCs w:val="20"/>
              </w:rPr>
            </w:pPr>
          </w:p>
        </w:tc>
        <w:tc>
          <w:tcPr>
            <w:tcW w:w="1056" w:type="dxa"/>
            <w:gridSpan w:val="2"/>
            <w:shd w:val="clear" w:color="auto" w:fill="FFFFFF"/>
            <w:vAlign w:val="center"/>
          </w:tcPr>
          <w:p>
            <w:pPr>
              <w:jc w:val="center"/>
              <w:rPr>
                <w:rFonts w:ascii="宋体" w:hAnsi="宋体" w:eastAsia="宋体" w:cs="宋体"/>
                <w:color w:val="000000"/>
                <w:sz w:val="20"/>
                <w:szCs w:val="20"/>
              </w:rPr>
            </w:pPr>
          </w:p>
        </w:tc>
        <w:tc>
          <w:tcPr>
            <w:tcW w:w="3181" w:type="dxa"/>
            <w:gridSpan w:val="4"/>
            <w:shd w:val="clear" w:color="auto" w:fill="FFFFFF"/>
            <w:vAlign w:val="center"/>
          </w:tcPr>
          <w:p>
            <w:pPr>
              <w:rPr>
                <w:rFonts w:ascii="宋体" w:hAnsi="宋体" w:eastAsia="宋体" w:cs="宋体"/>
                <w:color w:val="000000"/>
                <w:sz w:val="20"/>
                <w:szCs w:val="20"/>
              </w:rPr>
            </w:pPr>
          </w:p>
        </w:tc>
        <w:tc>
          <w:tcPr>
            <w:tcW w:w="1036" w:type="dxa"/>
            <w:gridSpan w:val="2"/>
            <w:shd w:val="clear" w:color="auto" w:fill="FFFFFF"/>
            <w:vAlign w:val="center"/>
          </w:tcPr>
          <w:p>
            <w:pPr>
              <w:rPr>
                <w:rFonts w:ascii="宋体" w:hAnsi="宋体" w:eastAsia="宋体" w:cs="宋体"/>
                <w:color w:val="000000"/>
                <w:sz w:val="20"/>
                <w:szCs w:val="20"/>
              </w:rPr>
            </w:pPr>
          </w:p>
        </w:tc>
        <w:tc>
          <w:tcPr>
            <w:tcW w:w="3138" w:type="dxa"/>
            <w:gridSpan w:val="5"/>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3181" w:type="dxa"/>
            <w:gridSpan w:val="4"/>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gridSpan w:val="2"/>
            <w:shd w:val="clear" w:color="auto" w:fill="FFFFFF"/>
            <w:vAlign w:val="center"/>
          </w:tcPr>
          <w:p>
            <w:pPr>
              <w:rPr>
                <w:rFonts w:ascii="宋体" w:hAnsi="宋体" w:eastAsia="宋体" w:cs="宋体"/>
                <w:color w:val="000000"/>
                <w:sz w:val="20"/>
                <w:szCs w:val="20"/>
              </w:rPr>
            </w:pPr>
          </w:p>
        </w:tc>
        <w:tc>
          <w:tcPr>
            <w:tcW w:w="3138" w:type="dxa"/>
            <w:gridSpan w:val="5"/>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18"/>
            <w:shd w:val="clear" w:color="auto" w:fill="auto"/>
            <w:vAlign w:val="center"/>
          </w:tcPr>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ind w:firstLine="960" w:firstLineChars="4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本部门本年度无相关支出情况，按要求空表列示。</w:t>
            </w:r>
          </w:p>
          <w:p>
            <w:pPr>
              <w:rPr>
                <w:b/>
              </w:rPr>
            </w:pPr>
          </w:p>
          <w:p>
            <w:pPr>
              <w:widowControl/>
              <w:jc w:val="left"/>
              <w:textAlignment w:val="center"/>
              <w:rPr>
                <w:rFonts w:ascii="宋体" w:hAnsi="宋体" w:eastAsia="宋体" w:cs="宋体"/>
                <w:color w:val="000000"/>
                <w:sz w:val="24"/>
              </w:rPr>
            </w:pPr>
          </w:p>
        </w:tc>
      </w:tr>
    </w:tbl>
    <w:p>
      <w:pPr>
        <w:ind w:firstLine="420" w:firstLineChars="200"/>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成安县第二供水站</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本部门本年度无相关支出情况，按要求空表列示。</w:t>
            </w:r>
          </w:p>
          <w:p>
            <w:pPr>
              <w:widowControl/>
              <w:ind w:right="2339" w:rightChars="1114"/>
              <w:jc w:val="left"/>
              <w:textAlignment w:val="center"/>
              <w:rPr>
                <w:rFonts w:hint="eastAsia" w:ascii="宋体" w:hAnsi="宋体" w:eastAsia="宋体" w:cs="宋体"/>
                <w:color w:val="000000"/>
                <w:kern w:val="0"/>
                <w:sz w:val="24"/>
                <w:szCs w:val="24"/>
                <w:lang w:bidi="ar"/>
              </w:rPr>
            </w:pPr>
          </w:p>
        </w:tc>
      </w:tr>
    </w:tbl>
    <w:p>
      <w:pPr>
        <w:widowControl/>
        <w:spacing w:after="160" w:line="580" w:lineRule="exact"/>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-71120</wp:posOffset>
            </wp:positionH>
            <wp:positionV relativeFrom="margin">
              <wp:posOffset>2944495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6"/>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76.33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水、电费及运行维护费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76.33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水费收入增加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76.33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水、电费及运行维护费增加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76.33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水费收入增加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76.33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水、电费及运行维护费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75.68</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减少182.37</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政府要求收支有变化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75.68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182.37</w:t>
      </w:r>
      <w:r>
        <w:rPr>
          <w:rFonts w:hint="eastAsia" w:ascii="仿宋_GB2312" w:hAnsi="Times New Roman" w:eastAsia="仿宋_GB2312" w:cs="DengXian-Regular"/>
          <w:sz w:val="32"/>
          <w:szCs w:val="32"/>
        </w:rPr>
        <w:t>万元，决算数大小于预算数主要原因是</w:t>
      </w:r>
      <w:r>
        <w:rPr>
          <w:rFonts w:hint="eastAsia" w:ascii="仿宋_GB2312" w:hAnsi="Times New Roman" w:eastAsia="仿宋_GB2312" w:cs="DengXian-Regular"/>
          <w:sz w:val="32"/>
          <w:szCs w:val="32"/>
          <w:lang w:val="en-US" w:eastAsia="zh-CN"/>
        </w:rPr>
        <w:t>政府要求收支有变化</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75.68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182.37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政府要求收支有变化</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75.68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182.37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政府要求收支有变化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人员经费、公用经费</w:t>
      </w:r>
      <w:r>
        <w:rPr>
          <w:rFonts w:hint="eastAsia" w:ascii="仿宋_GB2312" w:hAnsi="Times New Roman" w:eastAsia="仿宋_GB2312" w:cs="DengXian-Regular"/>
          <w:sz w:val="32"/>
          <w:szCs w:val="32"/>
        </w:rPr>
        <w:t>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567.63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175.96</w:t>
      </w:r>
      <w:r>
        <w:rPr>
          <w:rFonts w:hint="eastAsia" w:ascii="仿宋_GB2312" w:hAnsi="Times New Roman" w:eastAsia="仿宋_GB2312" w:cs="DengXian-Regular"/>
          <w:sz w:val="32"/>
          <w:szCs w:val="32"/>
        </w:rPr>
        <w:t>万元，主要包括基本工资、机关事业单位基本养老保险缴费、职业年金缴费、其他工资福利支出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391.67</w:t>
      </w:r>
      <w:r>
        <w:rPr>
          <w:rFonts w:hint="eastAsia" w:ascii="仿宋_GB2312" w:hAnsi="Times New Roman" w:eastAsia="仿宋_GB2312" w:cs="DengXian-Regular"/>
          <w:sz w:val="32"/>
          <w:szCs w:val="32"/>
        </w:rPr>
        <w:t>万元，主要包括办公费、印刷费、水费、电费、差旅费、维修（护）费、租赁费、专用材料费、委托业务费、工会经费、其他交通费用、税金及附加费用、其他商品和服务支出、办公设备购置、专用设备购置</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lang w:eastAsia="zh-CN"/>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不涉及此项业务</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黑体" w:eastAsia="黑体" w:cs="黑体"/>
          <w:sz w:val="32"/>
          <w:szCs w:val="32"/>
          <w:lang w:val="en-US" w:eastAsia="zh-CN"/>
        </w:rPr>
        <w:t>七</w:t>
      </w:r>
      <w:r>
        <w:rPr>
          <w:rFonts w:hint="eastAsia" w:ascii="仿宋_GB2312" w:hAnsi="Times New Roman" w:eastAsia="仿宋_GB2312" w:cs="DengXian-Regular"/>
          <w:sz w:val="32"/>
          <w:szCs w:val="32"/>
          <w:lang w:val="en-US" w:eastAsia="zh-CN"/>
        </w:rPr>
        <w:t>、</w:t>
      </w:r>
      <w:r>
        <w:rPr>
          <w:rFonts w:hint="eastAsia" w:ascii="黑体" w:hAnsi="Calibri" w:eastAsia="黑体" w:cs="Times New Roman"/>
          <w:sz w:val="32"/>
          <w:szCs w:val="32"/>
        </w:rPr>
        <w:t>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numPr>
          <w:ilvl w:val="0"/>
          <w:numId w:val="2"/>
        </w:numPr>
        <w:snapToGrid w:val="0"/>
        <w:spacing w:line="580" w:lineRule="exact"/>
        <w:ind w:firstLine="640" w:firstLineChars="200"/>
        <w:jc w:val="left"/>
        <w:rPr>
          <w:rFonts w:hint="eastAsia" w:ascii="黑体" w:hAnsi="Calibri" w:eastAsia="黑体" w:cs="Times New Roman"/>
          <w:sz w:val="32"/>
          <w:szCs w:val="32"/>
        </w:rPr>
      </w:pPr>
      <w:r>
        <w:rPr>
          <w:rFonts w:hint="eastAsia" w:ascii="黑体" w:hAnsi="Calibri" w:eastAsia="黑体" w:cs="Times New Roman"/>
          <w:sz w:val="32"/>
          <w:szCs w:val="32"/>
        </w:rPr>
        <w:t>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8.872224</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零</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零</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成安县第二供水站养老保险及职业年金支出</w:t>
      </w:r>
      <w:r>
        <w:rPr>
          <w:rFonts w:hint="eastAsia" w:ascii="仿宋_GB2312" w:hAnsi="仿宋_GB2312" w:eastAsia="仿宋_GB2312" w:cs="仿宋_GB2312"/>
          <w:sz w:val="32"/>
          <w:szCs w:val="32"/>
        </w:rPr>
        <w:t>项目开展了重点评价，涉及一般公共预算支出</w:t>
      </w:r>
      <w:r>
        <w:rPr>
          <w:rFonts w:hint="eastAsia" w:ascii="仿宋_GB2312" w:hAnsi="仿宋_GB2312" w:eastAsia="仿宋_GB2312" w:cs="仿宋_GB2312"/>
          <w:sz w:val="32"/>
          <w:szCs w:val="32"/>
          <w:lang w:val="en-US" w:eastAsia="zh-CN"/>
        </w:rPr>
        <w:t>8.872224</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val="en-US" w:eastAsia="zh-CN"/>
        </w:rPr>
        <w:t>符合要求，</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成安县第二供水站养老保险及职业年金支出项目</w:t>
      </w:r>
      <w:r>
        <w:rPr>
          <w:rFonts w:hint="eastAsia" w:ascii="仿宋_GB2312" w:hAnsi="仿宋_GB2312" w:eastAsia="仿宋_GB2312" w:cs="仿宋_GB2312"/>
          <w:sz w:val="32"/>
          <w:szCs w:val="32"/>
        </w:rPr>
        <w:t>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养老保险及职业年金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养老保险及职业年金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8.872224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8.872224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通过项目自评，完成了年初设定的各项绩效</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val="en-US" w:eastAsia="zh-CN"/>
        </w:rPr>
        <w:t>标，完成养老保险及职业年金项目支出。</w:t>
      </w: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成安县水利局第三供水站养老保险及职业年金</w:t>
      </w: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val="en-US" w:eastAsia="zh-CN"/>
        </w:rPr>
        <w:t>2022</w:t>
      </w:r>
      <w:r>
        <w:rPr>
          <w:rFonts w:hint="eastAsia" w:ascii="宋体" w:hAnsi="宋体" w:cs="宋体"/>
          <w:sz w:val="22"/>
          <w:szCs w:val="22"/>
        </w:rPr>
        <w:t xml:space="preserve"> 年度）</w:t>
      </w:r>
    </w:p>
    <w:tbl>
      <w:tblPr>
        <w:tblStyle w:val="6"/>
        <w:tblW w:w="9099" w:type="dxa"/>
        <w:jc w:val="center"/>
        <w:tblLayout w:type="fixed"/>
        <w:tblCellMar>
          <w:top w:w="0" w:type="dxa"/>
          <w:left w:w="108" w:type="dxa"/>
          <w:bottom w:w="0" w:type="dxa"/>
          <w:right w:w="108" w:type="dxa"/>
        </w:tblCellMar>
      </w:tblPr>
      <w:tblGrid>
        <w:gridCol w:w="588"/>
        <w:gridCol w:w="982"/>
        <w:gridCol w:w="1113"/>
        <w:gridCol w:w="733"/>
        <w:gridCol w:w="1135"/>
        <w:gridCol w:w="284"/>
        <w:gridCol w:w="854"/>
        <w:gridCol w:w="852"/>
        <w:gridCol w:w="283"/>
        <w:gridCol w:w="284"/>
        <w:gridCol w:w="426"/>
        <w:gridCol w:w="141"/>
        <w:gridCol w:w="711"/>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2"/>
            <w:tcBorders>
              <w:top w:val="single" w:color="auto" w:sz="4" w:space="0"/>
              <w:left w:val="nil"/>
              <w:bottom w:val="single" w:color="auto" w:sz="4" w:space="0"/>
              <w:right w:val="single" w:color="auto" w:sz="4" w:space="0"/>
            </w:tcBorders>
            <w:noWrap w:val="0"/>
            <w:vAlign w:val="center"/>
          </w:tcPr>
          <w:tbl>
            <w:tblPr>
              <w:tblStyle w:val="6"/>
              <w:tblW w:w="6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00"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成安县第二供水站养老保险及职业年金单位部分</w:t>
                  </w:r>
                </w:p>
              </w:tc>
            </w:tr>
          </w:tbl>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成安县水利局</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成安县第</w:t>
            </w:r>
            <w:r>
              <w:rPr>
                <w:rFonts w:hint="eastAsia" w:ascii="宋体" w:hAnsi="宋体" w:eastAsia="宋体" w:cs="宋体"/>
                <w:sz w:val="18"/>
                <w:szCs w:val="18"/>
                <w:lang w:val="en-US" w:eastAsia="zh-CN"/>
              </w:rPr>
              <w:t>二</w:t>
            </w:r>
            <w:r>
              <w:rPr>
                <w:rFonts w:hint="eastAsia" w:ascii="宋体" w:hAnsi="宋体" w:eastAsia="宋体" w:cs="宋体"/>
                <w:sz w:val="18"/>
                <w:szCs w:val="18"/>
                <w:lang w:eastAsia="zh-CN"/>
              </w:rPr>
              <w:t>供水站</w:t>
            </w: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8.872224</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8.872224</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sz w:val="18"/>
                <w:szCs w:val="18"/>
                <w:lang w:val="en-US"/>
              </w:rPr>
            </w:pPr>
            <w:r>
              <w:rPr>
                <w:rFonts w:hint="eastAsia" w:ascii="宋体" w:hAnsi="宋体" w:eastAsia="宋体" w:cs="宋体"/>
                <w:sz w:val="18"/>
                <w:szCs w:val="18"/>
                <w:lang w:val="en-US" w:eastAsia="zh-CN"/>
              </w:rPr>
              <w:t>8.872224</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所有在岗职工能正常缴纳养老保险及职业年金</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已完成</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绩</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效</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4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补缴人数</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入库金额完成率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补缴期限</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1年</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按社保比率缴纳</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经济效益指标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自收自支人员的退休养老得到保障</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不涉及</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养老保险制度得到完善</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 xml:space="preserve">缴纳人员满意度 </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rPr>
          <w:rFonts w:hint="eastAsia" w:eastAsia="宋体"/>
          <w:lang w:eastAsia="zh-CN"/>
        </w:rPr>
        <w:sectPr>
          <w:headerReference r:id="rId8" w:type="default"/>
          <w:pgSz w:w="11900" w:h="16840"/>
          <w:pgMar w:top="1824" w:right="1401" w:bottom="2218" w:left="1486" w:header="1058" w:footer="973" w:gutter="0"/>
          <w:cols w:space="720" w:num="1"/>
          <w:docGrid w:linePitch="360" w:charSpace="0"/>
        </w:sect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ind w:left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Times New Roman" w:eastAsia="仿宋_GB2312" w:cs="DengXian-Regular"/>
          <w:sz w:val="32"/>
          <w:szCs w:val="32"/>
          <w:lang w:val="en-US" w:eastAsia="zh-CN"/>
        </w:rPr>
        <w:t>07、08、09表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3个</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bookmarkStart w:id="0" w:name="_GoBack"/>
      <w:bookmarkEnd w:id="0"/>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05498"/>
    <w:multiLevelType w:val="singleLevel"/>
    <w:tmpl w:val="EF605498"/>
    <w:lvl w:ilvl="0" w:tentative="0">
      <w:start w:val="8"/>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5F222FFA"/>
    <w:multiLevelType w:val="singleLevel"/>
    <w:tmpl w:val="5F222FFA"/>
    <w:lvl w:ilvl="0" w:tentative="0">
      <w:start w:val="1"/>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gsImhkaWQiOiIwNmZiNTQ3MWFlMjQwOTY2MDNmOTc1MDM4OWJmYzVkNSIsInVzZXJDb3VudCI6MjB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9F4C1B"/>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114787"/>
    <w:rsid w:val="018E53BB"/>
    <w:rsid w:val="01B752BF"/>
    <w:rsid w:val="02F2691F"/>
    <w:rsid w:val="03B4727B"/>
    <w:rsid w:val="040C6A6B"/>
    <w:rsid w:val="05273E55"/>
    <w:rsid w:val="06EB1AB6"/>
    <w:rsid w:val="08716E9D"/>
    <w:rsid w:val="091964C6"/>
    <w:rsid w:val="099D6B31"/>
    <w:rsid w:val="09FD66D9"/>
    <w:rsid w:val="10B242CF"/>
    <w:rsid w:val="118122A3"/>
    <w:rsid w:val="11F4604E"/>
    <w:rsid w:val="136D16FB"/>
    <w:rsid w:val="13AA21BF"/>
    <w:rsid w:val="143811B7"/>
    <w:rsid w:val="15F05DA7"/>
    <w:rsid w:val="1A3D2C72"/>
    <w:rsid w:val="1BB92BDD"/>
    <w:rsid w:val="216937C4"/>
    <w:rsid w:val="21DA66B9"/>
    <w:rsid w:val="261178AB"/>
    <w:rsid w:val="298605CB"/>
    <w:rsid w:val="29CC4423"/>
    <w:rsid w:val="2C0C7D64"/>
    <w:rsid w:val="2CEF036C"/>
    <w:rsid w:val="2DD92C6B"/>
    <w:rsid w:val="2E422F06"/>
    <w:rsid w:val="30DF2C8E"/>
    <w:rsid w:val="31FF351C"/>
    <w:rsid w:val="32A31C4C"/>
    <w:rsid w:val="32B53CA7"/>
    <w:rsid w:val="33CD2241"/>
    <w:rsid w:val="34967CFD"/>
    <w:rsid w:val="39C2416B"/>
    <w:rsid w:val="3A325BDD"/>
    <w:rsid w:val="3B744E3E"/>
    <w:rsid w:val="3DC91A1B"/>
    <w:rsid w:val="3F235BB1"/>
    <w:rsid w:val="3F663581"/>
    <w:rsid w:val="42A44BF6"/>
    <w:rsid w:val="446173CD"/>
    <w:rsid w:val="4571549B"/>
    <w:rsid w:val="471274FD"/>
    <w:rsid w:val="49717ADD"/>
    <w:rsid w:val="4A51609B"/>
    <w:rsid w:val="4A5C4EB0"/>
    <w:rsid w:val="4C194D3B"/>
    <w:rsid w:val="4D304C6C"/>
    <w:rsid w:val="4F2A6A41"/>
    <w:rsid w:val="4F7A7D35"/>
    <w:rsid w:val="500373A2"/>
    <w:rsid w:val="507C6383"/>
    <w:rsid w:val="51123DF1"/>
    <w:rsid w:val="52333CF8"/>
    <w:rsid w:val="53AD746D"/>
    <w:rsid w:val="54D70BB3"/>
    <w:rsid w:val="561769D4"/>
    <w:rsid w:val="58D844B0"/>
    <w:rsid w:val="5A2E1C4F"/>
    <w:rsid w:val="5A92474A"/>
    <w:rsid w:val="5B3470CA"/>
    <w:rsid w:val="5DEA2315"/>
    <w:rsid w:val="5E3C3382"/>
    <w:rsid w:val="5E56783C"/>
    <w:rsid w:val="5F4A1A8C"/>
    <w:rsid w:val="60075621"/>
    <w:rsid w:val="602001C2"/>
    <w:rsid w:val="60CE32E1"/>
    <w:rsid w:val="60F021CA"/>
    <w:rsid w:val="62760652"/>
    <w:rsid w:val="64C00985"/>
    <w:rsid w:val="65225D26"/>
    <w:rsid w:val="65DB5CBA"/>
    <w:rsid w:val="66372649"/>
    <w:rsid w:val="674E6C15"/>
    <w:rsid w:val="675A1DD4"/>
    <w:rsid w:val="67636EEB"/>
    <w:rsid w:val="68FC7232"/>
    <w:rsid w:val="695F613F"/>
    <w:rsid w:val="697609B2"/>
    <w:rsid w:val="69F4671F"/>
    <w:rsid w:val="6BA53F12"/>
    <w:rsid w:val="6CBF282C"/>
    <w:rsid w:val="706922F1"/>
    <w:rsid w:val="70BF224B"/>
    <w:rsid w:val="73335BEE"/>
    <w:rsid w:val="734B3BFA"/>
    <w:rsid w:val="73753308"/>
    <w:rsid w:val="79442C5B"/>
    <w:rsid w:val="7BB011B5"/>
    <w:rsid w:val="7C2A2F43"/>
    <w:rsid w:val="7CB37369"/>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2023-12-07T07:00:17Z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