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2576"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2576;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3"/>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810002</w:t>
                            </w: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河北成安经济开发区管理委员会</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810002</w:t>
                      </w: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河北成安经济开发区管理委员会</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5"/>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5"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河北成安经济开发区管理委员会</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二〇二三年八月</w:t>
      </w:r>
    </w:p>
    <w:p>
      <w:pPr>
        <w:widowControl/>
        <w:spacing w:line="600" w:lineRule="exact"/>
        <w:jc w:val="left"/>
        <w:rPr>
          <w:rFonts w:ascii="黑体" w:hAnsi="黑体" w:eastAsia="黑体" w:cs="黑体"/>
          <w:bCs/>
          <w:sz w:val="32"/>
          <w:szCs w:val="32"/>
        </w:rPr>
      </w:pPr>
    </w:p>
    <w:p>
      <w:pPr>
        <w:widowControl/>
        <w:spacing w:line="600" w:lineRule="exact"/>
        <w:jc w:val="left"/>
        <w:rPr>
          <w:rFonts w:ascii="黑体" w:hAnsi="黑体" w:eastAsia="黑体" w:cs="黑体"/>
          <w:bCs/>
          <w:sz w:val="32"/>
          <w:szCs w:val="32"/>
          <w:highlight w:val="yellow"/>
        </w:rPr>
      </w:pPr>
      <w:r>
        <w:rPr>
          <w:rFonts w:hint="eastAsia" w:ascii="黑体" w:hAnsi="黑体" w:eastAsia="黑体" w:cs="黑体"/>
          <w:bCs/>
          <w:sz w:val="32"/>
          <w:szCs w:val="32"/>
          <w:highlight w:val="yellow"/>
        </w:rPr>
        <w:t>注：</w:t>
      </w:r>
    </w:p>
    <w:p>
      <w:pPr>
        <w:widowControl/>
        <w:spacing w:line="600" w:lineRule="exact"/>
        <w:ind w:firstLine="640" w:firstLineChars="200"/>
        <w:jc w:val="left"/>
        <w:rPr>
          <w:rFonts w:ascii="黑体" w:hAnsi="黑体" w:eastAsia="黑体" w:cs="黑体"/>
          <w:bCs/>
          <w:sz w:val="32"/>
          <w:szCs w:val="32"/>
          <w:highlight w:val="yellow"/>
        </w:rPr>
      </w:pPr>
      <w:r>
        <w:rPr>
          <w:rFonts w:hint="eastAsia" w:ascii="黑体" w:hAnsi="黑体" w:eastAsia="黑体" w:cs="黑体"/>
          <w:bCs/>
          <w:sz w:val="32"/>
          <w:szCs w:val="32"/>
          <w:highlight w:val="yellow"/>
        </w:rPr>
        <w:t>一、本模板所有标黄部分需要在正式文本中予以删除。</w:t>
      </w:r>
    </w:p>
    <w:p>
      <w:pPr>
        <w:widowControl/>
        <w:spacing w:line="600" w:lineRule="exact"/>
        <w:ind w:firstLine="640" w:firstLineChars="200"/>
        <w:jc w:val="left"/>
        <w:rPr>
          <w:rFonts w:ascii="黑体" w:hAnsi="黑体" w:eastAsia="黑体" w:cs="黑体"/>
          <w:bCs/>
          <w:sz w:val="32"/>
          <w:szCs w:val="32"/>
          <w:highlight w:val="yellow"/>
        </w:rPr>
      </w:pPr>
      <w:r>
        <w:rPr>
          <w:rFonts w:hint="eastAsia" w:ascii="黑体" w:hAnsi="黑体" w:eastAsia="黑体" w:cs="黑体"/>
          <w:bCs/>
          <w:sz w:val="32"/>
          <w:szCs w:val="32"/>
          <w:highlight w:val="yellow"/>
        </w:rPr>
        <w:t>二、情况说明</w:t>
      </w:r>
    </w:p>
    <w:p>
      <w:pPr>
        <w:keepNext/>
        <w:keepLines/>
        <w:spacing w:line="600" w:lineRule="exact"/>
        <w:ind w:firstLine="640" w:firstLineChars="200"/>
        <w:outlineLvl w:val="1"/>
        <w:rPr>
          <w:rFonts w:ascii="楷体" w:hAnsi="楷体" w:eastAsia="楷体" w:cs="楷体"/>
          <w:sz w:val="32"/>
          <w:szCs w:val="32"/>
          <w:highlight w:val="yellow"/>
        </w:rPr>
      </w:pPr>
      <w:r>
        <w:rPr>
          <w:rFonts w:hint="eastAsia" w:ascii="楷体" w:hAnsi="楷体" w:eastAsia="楷体" w:cs="楷体"/>
          <w:sz w:val="32"/>
          <w:szCs w:val="32"/>
          <w:highlight w:val="yellow"/>
        </w:rPr>
        <w:t>1. 情况说明公开格式供大家参考，各部门在撰写公开情况说明时，应</w:t>
      </w:r>
      <w:r>
        <w:rPr>
          <w:rFonts w:hint="eastAsia" w:ascii="楷体" w:hAnsi="楷体" w:eastAsia="楷体" w:cs="楷体"/>
          <w:b/>
          <w:bCs/>
          <w:sz w:val="32"/>
          <w:szCs w:val="32"/>
          <w:highlight w:val="yellow"/>
        </w:rPr>
        <w:t>至少包括</w:t>
      </w:r>
      <w:r>
        <w:rPr>
          <w:rFonts w:hint="eastAsia" w:ascii="楷体" w:hAnsi="楷体" w:eastAsia="楷体" w:cs="楷体"/>
          <w:sz w:val="32"/>
          <w:szCs w:val="32"/>
          <w:highlight w:val="yellow"/>
        </w:rPr>
        <w:t>但不限于模板中的公开说明内容。</w:t>
      </w:r>
    </w:p>
    <w:p>
      <w:pPr>
        <w:keepNext/>
        <w:keepLines/>
        <w:spacing w:line="600" w:lineRule="exact"/>
        <w:ind w:firstLine="640" w:firstLineChars="200"/>
        <w:outlineLvl w:val="1"/>
        <w:rPr>
          <w:rFonts w:ascii="楷体" w:hAnsi="楷体" w:eastAsia="楷体" w:cs="楷体"/>
          <w:sz w:val="32"/>
          <w:szCs w:val="32"/>
          <w:highlight w:val="yellow"/>
        </w:rPr>
      </w:pPr>
      <w:r>
        <w:rPr>
          <w:rFonts w:hint="eastAsia" w:ascii="楷体" w:hAnsi="楷体" w:eastAsia="楷体" w:cs="楷体"/>
          <w:sz w:val="32"/>
          <w:szCs w:val="32"/>
          <w:highlight w:val="yellow"/>
        </w:rPr>
        <w:t>2. 说明中出现增加（减少）、增长（降低）、情况一/二等需要部门进行选择使用情况的，根据实际情况选择，</w:t>
      </w:r>
      <w:r>
        <w:rPr>
          <w:rFonts w:hint="eastAsia" w:ascii="楷体" w:hAnsi="楷体" w:eastAsia="楷体" w:cs="楷体"/>
          <w:b/>
          <w:bCs/>
          <w:sz w:val="32"/>
          <w:szCs w:val="32"/>
          <w:highlight w:val="yellow"/>
        </w:rPr>
        <w:t>不可再保留“增加（减少），增长（降低）”等字样；</w:t>
      </w:r>
    </w:p>
    <w:p>
      <w:pPr>
        <w:widowControl/>
        <w:spacing w:line="600" w:lineRule="exact"/>
        <w:ind w:firstLine="640" w:firstLineChars="200"/>
        <w:jc w:val="left"/>
        <w:rPr>
          <w:rFonts w:ascii="黑体" w:hAnsi="黑体" w:eastAsia="黑体" w:cs="黑体"/>
          <w:sz w:val="32"/>
          <w:szCs w:val="32"/>
          <w:highlight w:val="yellow"/>
        </w:rPr>
      </w:pPr>
      <w:r>
        <w:rPr>
          <w:rFonts w:hint="eastAsia" w:ascii="黑体" w:hAnsi="黑体" w:eastAsia="黑体" w:cs="黑体"/>
          <w:sz w:val="32"/>
          <w:szCs w:val="32"/>
          <w:highlight w:val="yellow"/>
        </w:rPr>
        <w:t>三、公开表样</w:t>
      </w:r>
    </w:p>
    <w:p>
      <w:pPr>
        <w:spacing w:after="160" w:line="600" w:lineRule="exact"/>
        <w:ind w:firstLine="640" w:firstLineChars="200"/>
        <w:rPr>
          <w:rFonts w:ascii="楷体" w:hAnsi="楷体" w:eastAsia="楷体" w:cs="楷体"/>
          <w:sz w:val="32"/>
          <w:szCs w:val="32"/>
          <w:highlight w:val="yellow"/>
        </w:rPr>
      </w:pPr>
      <w:r>
        <w:rPr>
          <w:rFonts w:hint="eastAsia" w:ascii="楷体" w:hAnsi="楷体" w:eastAsia="楷体" w:cs="楷体"/>
          <w:sz w:val="32"/>
          <w:szCs w:val="32"/>
          <w:highlight w:val="yellow"/>
        </w:rPr>
        <w:t>1. 公开表样所有9张表格均应公开列示，单位万元，保留两位小数。</w:t>
      </w:r>
    </w:p>
    <w:p>
      <w:pPr>
        <w:widowControl/>
        <w:spacing w:line="600" w:lineRule="exact"/>
        <w:ind w:firstLine="640" w:firstLineChars="200"/>
        <w:rPr>
          <w:rFonts w:ascii="楷体" w:hAnsi="楷体" w:eastAsia="楷体" w:cs="楷体"/>
          <w:sz w:val="32"/>
          <w:szCs w:val="32"/>
          <w:highlight w:val="yellow"/>
        </w:rPr>
      </w:pPr>
      <w:r>
        <w:rPr>
          <w:rFonts w:hint="eastAsia" w:ascii="楷体" w:hAnsi="楷体" w:eastAsia="楷体" w:cs="楷体"/>
          <w:sz w:val="32"/>
          <w:szCs w:val="32"/>
          <w:highlight w:val="yellow"/>
        </w:rPr>
        <w:t>2. 支出功能分类细化到项级，经济分类细化到款级。</w:t>
      </w:r>
    </w:p>
    <w:p>
      <w:pPr>
        <w:widowControl/>
        <w:spacing w:line="600" w:lineRule="exact"/>
        <w:ind w:firstLine="640" w:firstLineChars="200"/>
        <w:rPr>
          <w:rFonts w:ascii="楷体" w:hAnsi="楷体" w:eastAsia="楷体" w:cs="楷体"/>
          <w:sz w:val="32"/>
          <w:szCs w:val="32"/>
          <w:highlight w:val="yellow"/>
        </w:rPr>
      </w:pPr>
      <w:r>
        <w:rPr>
          <w:rFonts w:hint="eastAsia" w:ascii="楷体" w:hAnsi="楷体" w:eastAsia="楷体" w:cs="楷体"/>
          <w:sz w:val="32"/>
          <w:szCs w:val="32"/>
          <w:highlight w:val="yellow"/>
        </w:rPr>
        <w:t>3. 零值指标不列示数值0。</w:t>
      </w:r>
    </w:p>
    <w:p>
      <w:pPr>
        <w:widowControl/>
        <w:spacing w:line="600" w:lineRule="exact"/>
        <w:ind w:firstLine="640" w:firstLineChars="200"/>
        <w:jc w:val="left"/>
        <w:rPr>
          <w:rFonts w:ascii="楷体" w:hAnsi="楷体" w:eastAsia="楷体" w:cs="楷体"/>
          <w:sz w:val="40"/>
          <w:szCs w:val="40"/>
          <w:highlight w:val="yellow"/>
        </w:rPr>
      </w:pPr>
      <w:r>
        <w:rPr>
          <w:rFonts w:hint="eastAsia" w:ascii="楷体" w:hAnsi="楷体" w:eastAsia="楷体" w:cs="楷体"/>
          <w:sz w:val="32"/>
          <w:szCs w:val="32"/>
          <w:highlight w:val="yellow"/>
        </w:rPr>
        <w:t>4. 如遇空表，表下方需明确标注“本部门本年度无相关收入（或支出、收支及结转结余等）情况，按要求空表列示。”字样。</w:t>
      </w:r>
    </w:p>
    <w:p>
      <w:pPr>
        <w:jc w:val="center"/>
        <w:rPr>
          <w:rFonts w:ascii="黑体" w:hAnsi="黑体" w:eastAsia="黑体" w:cs="黑体"/>
          <w:sz w:val="56"/>
          <w:szCs w:val="72"/>
        </w:rPr>
        <w:sectPr>
          <w:headerReference r:id="rId4" w:type="first"/>
          <w:footerReference r:id="rId6" w:type="first"/>
          <w:headerReference r:id="rId3" w:type="default"/>
          <w:footerReference r:id="rId5" w:type="default"/>
          <w:pgSz w:w="11906" w:h="16838"/>
          <w:pgMar w:top="2041" w:right="1531" w:bottom="2041"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69504"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6"/>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7"/>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800" w:firstLineChars="250"/>
        <w:rPr>
          <w:rFonts w:ascii="仿宋" w:hAnsi="仿宋" w:eastAsia="仿宋" w:cs="仿宋"/>
          <w:sz w:val="32"/>
          <w:szCs w:val="32"/>
        </w:rPr>
      </w:pPr>
      <w:r>
        <w:rPr>
          <w:rFonts w:hint="eastAsia" w:ascii="仿宋" w:hAnsi="仿宋" w:eastAsia="仿宋" w:cs="仿宋"/>
          <w:sz w:val="32"/>
          <w:szCs w:val="32"/>
        </w:rPr>
        <w:t>（一）、宣传、贯彻党的路线、方针、政策和上级党组织的指示、决定，执行园区党员代表大会决议，讨论决定本园区的重大问题。</w:t>
      </w:r>
    </w:p>
    <w:p>
      <w:pPr>
        <w:ind w:firstLine="800" w:firstLineChars="250"/>
        <w:rPr>
          <w:rFonts w:ascii="仿宋" w:hAnsi="仿宋" w:eastAsia="仿宋" w:cs="仿宋"/>
          <w:sz w:val="32"/>
          <w:szCs w:val="32"/>
        </w:rPr>
      </w:pPr>
      <w:r>
        <w:rPr>
          <w:rFonts w:hint="eastAsia" w:ascii="仿宋" w:hAnsi="仿宋" w:eastAsia="仿宋" w:cs="仿宋"/>
          <w:sz w:val="32"/>
          <w:szCs w:val="32"/>
        </w:rPr>
        <w:t>（二）、抓好自身和所属党组织的思想、组织和作风建设。</w:t>
      </w:r>
    </w:p>
    <w:p>
      <w:pPr>
        <w:ind w:firstLine="800" w:firstLineChars="250"/>
        <w:rPr>
          <w:rFonts w:ascii="仿宋" w:hAnsi="仿宋" w:eastAsia="仿宋" w:cs="仿宋"/>
          <w:sz w:val="32"/>
          <w:szCs w:val="32"/>
        </w:rPr>
      </w:pPr>
      <w:r>
        <w:rPr>
          <w:rFonts w:hint="eastAsia" w:ascii="仿宋" w:hAnsi="仿宋" w:eastAsia="仿宋" w:cs="仿宋"/>
          <w:sz w:val="32"/>
          <w:szCs w:val="32"/>
        </w:rPr>
        <w:t>（三）、领导园区经济建设，制定本园区经济和社会发展规划并组织实施。</w:t>
      </w:r>
    </w:p>
    <w:p>
      <w:pPr>
        <w:ind w:firstLine="800" w:firstLineChars="250"/>
        <w:rPr>
          <w:rFonts w:ascii="仿宋" w:hAnsi="仿宋" w:eastAsia="仿宋" w:cs="仿宋"/>
          <w:sz w:val="32"/>
          <w:szCs w:val="32"/>
        </w:rPr>
      </w:pPr>
      <w:r>
        <w:rPr>
          <w:rFonts w:hint="eastAsia" w:ascii="仿宋" w:hAnsi="仿宋" w:eastAsia="仿宋" w:cs="仿宋"/>
          <w:sz w:val="32"/>
          <w:szCs w:val="32"/>
        </w:rPr>
        <w:t>（四）、领导园区社会主义精神文明和民主法制建设。加强农村社会治安综合治理，贯彻执行党和国家的计划生育政策。</w:t>
      </w:r>
    </w:p>
    <w:p>
      <w:pPr>
        <w:ind w:firstLine="800" w:firstLineChars="250"/>
        <w:rPr>
          <w:rFonts w:ascii="仿宋" w:hAnsi="仿宋" w:eastAsia="仿宋" w:cs="仿宋"/>
          <w:sz w:val="32"/>
          <w:szCs w:val="32"/>
        </w:rPr>
      </w:pPr>
      <w:r>
        <w:rPr>
          <w:rFonts w:hint="eastAsia" w:ascii="仿宋" w:hAnsi="仿宋" w:eastAsia="仿宋" w:cs="仿宋"/>
          <w:sz w:val="32"/>
          <w:szCs w:val="32"/>
        </w:rPr>
        <w:t>（五）、领导并支持园区依法行使各项行政管理职权。</w:t>
      </w:r>
    </w:p>
    <w:p>
      <w:pPr>
        <w:ind w:firstLine="800" w:firstLineChars="250"/>
        <w:rPr>
          <w:rFonts w:ascii="仿宋" w:hAnsi="仿宋" w:eastAsia="仿宋" w:cs="仿宋"/>
          <w:sz w:val="32"/>
          <w:szCs w:val="32"/>
        </w:rPr>
      </w:pPr>
      <w:r>
        <w:rPr>
          <w:rFonts w:hint="eastAsia" w:ascii="仿宋" w:hAnsi="仿宋" w:eastAsia="仿宋" w:cs="仿宋"/>
          <w:sz w:val="32"/>
          <w:szCs w:val="32"/>
        </w:rPr>
        <w:t>（六）、领导人大主席团及经济组织、人民武装和共青团、妇联等人民团体的工作。</w:t>
      </w:r>
    </w:p>
    <w:p>
      <w:pPr>
        <w:ind w:firstLine="800" w:firstLineChars="250"/>
        <w:rPr>
          <w:rFonts w:ascii="仿宋" w:hAnsi="仿宋" w:eastAsia="仿宋" w:cs="仿宋"/>
          <w:sz w:val="32"/>
          <w:szCs w:val="32"/>
        </w:rPr>
      </w:pPr>
      <w:r>
        <w:rPr>
          <w:rFonts w:hint="eastAsia" w:ascii="仿宋" w:hAnsi="仿宋" w:eastAsia="仿宋" w:cs="仿宋"/>
          <w:sz w:val="32"/>
          <w:szCs w:val="32"/>
        </w:rPr>
        <w:t>（七）、领导上级有关部门派驻园区单位的党的建设，领导、支持　协调上级有关部门派驻园区单位的工作。</w:t>
      </w:r>
    </w:p>
    <w:p>
      <w:pPr>
        <w:ind w:firstLine="800" w:firstLineChars="250"/>
        <w:rPr>
          <w:rFonts w:ascii="仿宋" w:hAnsi="仿宋" w:eastAsia="仿宋" w:cs="仿宋"/>
          <w:sz w:val="32"/>
          <w:szCs w:val="32"/>
        </w:rPr>
      </w:pPr>
      <w:r>
        <w:rPr>
          <w:rFonts w:hint="eastAsia" w:ascii="仿宋" w:hAnsi="仿宋" w:eastAsia="仿宋" w:cs="仿宋"/>
          <w:sz w:val="32"/>
          <w:szCs w:val="32"/>
        </w:rPr>
        <w:t>（八）、完成上级党组织交办的其他任务。</w:t>
      </w:r>
    </w:p>
    <w:p>
      <w:pPr>
        <w:ind w:firstLine="800" w:firstLineChars="250"/>
        <w:rPr>
          <w:rFonts w:ascii="仿宋" w:hAnsi="仿宋" w:eastAsia="仿宋" w:cs="仿宋"/>
          <w:sz w:val="32"/>
          <w:szCs w:val="32"/>
        </w:rPr>
      </w:pPr>
      <w:r>
        <w:rPr>
          <w:rFonts w:hint="eastAsia" w:ascii="仿宋" w:hAnsi="仿宋" w:eastAsia="仿宋" w:cs="仿宋"/>
          <w:sz w:val="32"/>
          <w:szCs w:val="32"/>
        </w:rPr>
        <w:t>（九）、促进经济发展，增加农民收入</w:t>
      </w:r>
    </w:p>
    <w:p>
      <w:pPr>
        <w:ind w:firstLine="800" w:firstLineChars="250"/>
        <w:rPr>
          <w:rFonts w:ascii="仿宋" w:hAnsi="仿宋" w:eastAsia="仿宋" w:cs="仿宋"/>
          <w:sz w:val="32"/>
          <w:szCs w:val="32"/>
        </w:rPr>
      </w:pPr>
      <w:r>
        <w:rPr>
          <w:rFonts w:hint="eastAsia" w:ascii="仿宋" w:hAnsi="仿宋" w:eastAsia="仿宋" w:cs="仿宋"/>
          <w:sz w:val="32"/>
          <w:szCs w:val="32"/>
        </w:rPr>
        <w:t>（十）、强化公共服务，着力改善民生。</w:t>
      </w:r>
    </w:p>
    <w:p>
      <w:pPr>
        <w:ind w:firstLine="800" w:firstLineChars="250"/>
        <w:rPr>
          <w:rFonts w:ascii="仿宋" w:hAnsi="仿宋" w:eastAsia="仿宋" w:cs="仿宋"/>
          <w:sz w:val="32"/>
          <w:szCs w:val="32"/>
        </w:rPr>
      </w:pPr>
      <w:r>
        <w:rPr>
          <w:rFonts w:hint="eastAsia" w:ascii="仿宋" w:hAnsi="仿宋" w:eastAsia="仿宋" w:cs="仿宋"/>
          <w:sz w:val="32"/>
          <w:szCs w:val="32"/>
        </w:rPr>
        <w:t>（十一）、加强社会管理，维护农村稳定。</w:t>
      </w:r>
    </w:p>
    <w:p>
      <w:pPr>
        <w:widowControl/>
        <w:spacing w:line="580" w:lineRule="exact"/>
        <w:ind w:firstLine="640" w:firstLineChars="200"/>
        <w:rPr>
          <w:rFonts w:ascii="仿宋_GB2312" w:hAnsi="Calibri" w:eastAsia="仿宋_GB2312" w:cs="ArialUnicodeMS"/>
          <w:kern w:val="0"/>
          <w:sz w:val="32"/>
          <w:szCs w:val="32"/>
          <w:highlight w:val="yellow"/>
        </w:rPr>
      </w:pPr>
      <w:r>
        <w:rPr>
          <w:rFonts w:hint="eastAsia" w:ascii="仿宋" w:hAnsi="仿宋" w:eastAsia="仿宋" w:cs="仿宋"/>
          <w:sz w:val="32"/>
          <w:szCs w:val="32"/>
        </w:rPr>
        <w:t>（十二）、推进基层民主，促进农村和谐。</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248"/>
        <w:gridCol w:w="1682"/>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4248"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168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4248"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河北成安经济开发区管理委员会</w:t>
            </w:r>
          </w:p>
        </w:tc>
        <w:tc>
          <w:tcPr>
            <w:tcW w:w="168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我部门无二级预算单位，因此，</w:t>
      </w:r>
      <w:r>
        <w:rPr>
          <w:rFonts w:hint="eastAsia" w:ascii="仿宋_GB2312" w:hAnsi="Calibri" w:eastAsia="仿宋_GB2312" w:cs="ArialUnicodeMS"/>
          <w:kern w:val="0"/>
          <w:sz w:val="32"/>
          <w:szCs w:val="32"/>
          <w:lang w:eastAsia="zh-CN"/>
        </w:rPr>
        <w:t>河北成安经济开发区管理委员会</w:t>
      </w:r>
      <w:r>
        <w:rPr>
          <w:rFonts w:hint="eastAsia" w:ascii="仿宋_GB2312" w:hAnsi="Calibri" w:eastAsia="仿宋_GB2312" w:cs="ArialUnicodeMS"/>
          <w:kern w:val="0"/>
          <w:sz w:val="32"/>
          <w:szCs w:val="32"/>
        </w:rPr>
        <w:t>2022年度部门决算即本级2022年度决算。</w:t>
      </w:r>
    </w:p>
    <w:p>
      <w:pPr>
        <w:spacing w:line="580" w:lineRule="exact"/>
        <w:ind w:firstLine="640" w:firstLineChars="200"/>
        <w:rPr>
          <w:rFonts w:hint="eastAsia" w:ascii="仿宋_GB2312" w:hAnsi="Calibri" w:eastAsia="仿宋_GB2312" w:cs="ArialUnicodeMS"/>
          <w:kern w:val="0"/>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11"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8"/>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河北成安经济开发区管理委员会</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w:t>
            </w:r>
            <w:r>
              <w:rPr>
                <w:rFonts w:hint="eastAsia" w:ascii="宋体" w:hAnsi="宋体" w:eastAsia="宋体" w:cs="宋体"/>
                <w:color w:val="000000"/>
                <w:kern w:val="0"/>
                <w:sz w:val="20"/>
                <w:szCs w:val="20"/>
                <w:lang w:eastAsia="zh-CN" w:bidi="ar"/>
              </w:rPr>
              <w:t>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5,217.12</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1,786.32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lang w:val="en-US" w:eastAsia="zh-CN"/>
              </w:rPr>
              <w:t xml:space="preserve">    </w:t>
            </w:r>
            <w:r>
              <w:rPr>
                <w:rFonts w:hint="eastAsia" w:ascii="宋体" w:hAnsi="宋体" w:eastAsia="宋体" w:cs="宋体"/>
                <w:i w:val="0"/>
                <w:iCs w:val="0"/>
                <w:color w:val="000000"/>
                <w:sz w:val="18"/>
                <w:szCs w:val="18"/>
                <w:u w:val="none"/>
              </w:rPr>
              <w:t>72.20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r>
              <w:rPr>
                <w:rFonts w:hint="eastAsia" w:ascii="宋体" w:hAnsi="宋体" w:eastAsia="宋体" w:cs="宋体"/>
                <w:i w:val="0"/>
                <w:iCs w:val="0"/>
                <w:color w:val="000000"/>
                <w:sz w:val="18"/>
                <w:szCs w:val="18"/>
                <w:u w:val="none"/>
              </w:rPr>
              <w:t>7.80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80" w:firstLineChars="100"/>
              <w:jc w:val="right"/>
              <w:rPr>
                <w:rFonts w:ascii="宋体" w:hAnsi="宋体" w:eastAsia="宋体" w:cs="宋体"/>
                <w:b/>
                <w:color w:val="000000"/>
                <w:sz w:val="18"/>
                <w:szCs w:val="18"/>
              </w:rPr>
            </w:pPr>
            <w:r>
              <w:rPr>
                <w:rFonts w:hint="eastAsia" w:ascii="宋体" w:hAnsi="宋体" w:eastAsia="宋体" w:cs="宋体"/>
                <w:i w:val="0"/>
                <w:iCs w:val="0"/>
                <w:color w:val="000000"/>
                <w:sz w:val="18"/>
                <w:szCs w:val="18"/>
                <w:u w:val="none"/>
              </w:rPr>
              <w:t>3,256.80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right"/>
              <w:rPr>
                <w:rFonts w:ascii="宋体" w:hAnsi="宋体" w:eastAsia="宋体" w:cs="宋体"/>
                <w:b/>
                <w:color w:val="000000"/>
                <w:sz w:val="18"/>
                <w:szCs w:val="18"/>
              </w:rPr>
            </w:pPr>
            <w:r>
              <w:rPr>
                <w:rFonts w:hint="eastAsia" w:ascii="宋体" w:hAnsi="宋体" w:eastAsia="宋体" w:cs="宋体"/>
                <w:i w:val="0"/>
                <w:iCs w:val="0"/>
                <w:color w:val="000000"/>
                <w:sz w:val="18"/>
                <w:szCs w:val="18"/>
                <w:u w:val="none"/>
              </w:rPr>
              <w:t>50.00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44.00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r>
              <w:rPr>
                <w:rFonts w:hint="eastAsia" w:ascii="宋体" w:hAnsi="宋体" w:eastAsia="宋体" w:cs="宋体"/>
                <w:i w:val="0"/>
                <w:iCs w:val="0"/>
                <w:color w:val="000000"/>
                <w:sz w:val="18"/>
                <w:szCs w:val="18"/>
                <w:u w:val="none"/>
              </w:rPr>
              <w:t>4,842.64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10,059.75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r>
              <w:rPr>
                <w:rFonts w:hint="eastAsia" w:ascii="宋体" w:hAnsi="宋体" w:eastAsia="宋体" w:cs="宋体"/>
                <w:i w:val="0"/>
                <w:iCs w:val="0"/>
                <w:color w:val="000000"/>
                <w:sz w:val="18"/>
                <w:szCs w:val="18"/>
                <w:u w:val="none"/>
              </w:rPr>
              <w:t>10,059.75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10,059.75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10,059.75</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8"/>
        <w:tblW w:w="11039" w:type="dxa"/>
        <w:tblInd w:w="0" w:type="dxa"/>
        <w:tblLayout w:type="fixed"/>
        <w:tblCellMar>
          <w:top w:w="15" w:type="dxa"/>
          <w:left w:w="15" w:type="dxa"/>
          <w:bottom w:w="15" w:type="dxa"/>
          <w:right w:w="15" w:type="dxa"/>
        </w:tblCellMar>
      </w:tblPr>
      <w:tblGrid>
        <w:gridCol w:w="555"/>
        <w:gridCol w:w="264"/>
        <w:gridCol w:w="3105"/>
        <w:gridCol w:w="1095"/>
        <w:gridCol w:w="1080"/>
        <w:gridCol w:w="825"/>
        <w:gridCol w:w="960"/>
        <w:gridCol w:w="997"/>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264" w:type="dxa"/>
            <w:shd w:val="clear" w:color="auto" w:fill="FFFFFF"/>
            <w:vAlign w:val="center"/>
          </w:tcPr>
          <w:p>
            <w:pPr>
              <w:jc w:val="right"/>
              <w:rPr>
                <w:rFonts w:ascii="宋体" w:hAnsi="宋体" w:eastAsia="宋体" w:cs="宋体"/>
                <w:color w:val="000000"/>
                <w:sz w:val="24"/>
              </w:rPr>
            </w:pPr>
          </w:p>
        </w:tc>
        <w:tc>
          <w:tcPr>
            <w:tcW w:w="3105" w:type="dxa"/>
            <w:shd w:val="clear" w:color="auto" w:fill="FFFFFF"/>
            <w:vAlign w:val="center"/>
          </w:tcPr>
          <w:p>
            <w:pPr>
              <w:jc w:val="right"/>
              <w:rPr>
                <w:rFonts w:ascii="宋体" w:hAnsi="宋体" w:eastAsia="宋体" w:cs="宋体"/>
                <w:color w:val="000000"/>
                <w:sz w:val="24"/>
              </w:rPr>
            </w:pPr>
          </w:p>
        </w:tc>
        <w:tc>
          <w:tcPr>
            <w:tcW w:w="109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825" w:type="dxa"/>
            <w:shd w:val="clear" w:color="auto" w:fill="FFFFFF"/>
            <w:vAlign w:val="center"/>
          </w:tcPr>
          <w:p>
            <w:pPr>
              <w:jc w:val="right"/>
              <w:rPr>
                <w:rFonts w:ascii="宋体" w:hAnsi="宋体" w:eastAsia="宋体" w:cs="宋体"/>
                <w:color w:val="000000"/>
                <w:sz w:val="24"/>
              </w:rPr>
            </w:pPr>
          </w:p>
        </w:tc>
        <w:tc>
          <w:tcPr>
            <w:tcW w:w="960" w:type="dxa"/>
            <w:shd w:val="clear" w:color="auto" w:fill="FFFFFF"/>
            <w:vAlign w:val="center"/>
          </w:tcPr>
          <w:p>
            <w:pPr>
              <w:jc w:val="right"/>
              <w:rPr>
                <w:rFonts w:ascii="宋体" w:hAnsi="宋体" w:eastAsia="宋体" w:cs="宋体"/>
                <w:color w:val="000000"/>
                <w:sz w:val="24"/>
              </w:rPr>
            </w:pPr>
          </w:p>
        </w:tc>
        <w:tc>
          <w:tcPr>
            <w:tcW w:w="99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部门：</w:t>
            </w:r>
          </w:p>
        </w:tc>
        <w:tc>
          <w:tcPr>
            <w:tcW w:w="4464" w:type="dxa"/>
            <w:gridSpan w:val="3"/>
            <w:shd w:val="clear" w:color="auto" w:fill="FFFFFF"/>
            <w:vAlign w:val="center"/>
          </w:tcPr>
          <w:p>
            <w:pPr>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eastAsia="zh-CN" w:bidi="ar"/>
              </w:rPr>
              <w:t>河北成安经济开发区管理委员会</w:t>
            </w: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kern w:val="0"/>
                <w:sz w:val="20"/>
                <w:szCs w:val="20"/>
                <w:lang w:bidi="ar"/>
              </w:rPr>
              <w:t>2022年度</w:t>
            </w:r>
          </w:p>
        </w:tc>
        <w:tc>
          <w:tcPr>
            <w:tcW w:w="825" w:type="dxa"/>
            <w:shd w:val="clear" w:color="auto" w:fill="FFFFFF"/>
            <w:vAlign w:val="center"/>
          </w:tcPr>
          <w:p>
            <w:pPr>
              <w:jc w:val="center"/>
              <w:rPr>
                <w:rFonts w:ascii="宋体" w:hAnsi="宋体" w:eastAsia="宋体" w:cs="宋体"/>
                <w:color w:val="000000"/>
                <w:sz w:val="20"/>
                <w:szCs w:val="20"/>
              </w:rPr>
            </w:pPr>
          </w:p>
        </w:tc>
        <w:tc>
          <w:tcPr>
            <w:tcW w:w="960" w:type="dxa"/>
            <w:shd w:val="clear" w:color="auto" w:fill="FFFFFF"/>
            <w:vAlign w:val="center"/>
          </w:tcPr>
          <w:p>
            <w:pPr>
              <w:jc w:val="right"/>
              <w:rPr>
                <w:rFonts w:ascii="宋体" w:hAnsi="宋体" w:eastAsia="宋体" w:cs="宋体"/>
                <w:color w:val="000000"/>
                <w:sz w:val="24"/>
              </w:rPr>
            </w:pPr>
          </w:p>
        </w:tc>
        <w:tc>
          <w:tcPr>
            <w:tcW w:w="99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9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9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81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9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39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b/>
                <w:bCs/>
                <w:i w:val="0"/>
                <w:iCs w:val="0"/>
                <w:color w:val="000000"/>
                <w:sz w:val="18"/>
                <w:szCs w:val="18"/>
                <w:u w:val="none"/>
              </w:rPr>
              <w:t>10,059.75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b/>
                <w:bCs/>
                <w:i w:val="0"/>
                <w:iCs w:val="0"/>
                <w:color w:val="000000"/>
                <w:sz w:val="18"/>
                <w:szCs w:val="18"/>
                <w:u w:val="none"/>
              </w:rPr>
              <w:t>10,059.75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一般公共服务支出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1,786.32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1,786.32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20103</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政府办公厅（室）及相关机构事务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华文中宋" w:hAnsi="华文中宋" w:eastAsia="华文中宋" w:cs="华文中宋"/>
                <w:color w:val="000000"/>
                <w:sz w:val="18"/>
                <w:szCs w:val="18"/>
              </w:rPr>
            </w:pPr>
            <w:r>
              <w:rPr>
                <w:rFonts w:hint="eastAsia" w:ascii="宋体" w:hAnsi="宋体" w:eastAsia="宋体" w:cs="宋体"/>
                <w:i w:val="0"/>
                <w:iCs w:val="0"/>
                <w:color w:val="000000"/>
                <w:sz w:val="18"/>
                <w:szCs w:val="18"/>
                <w:u w:val="none"/>
              </w:rPr>
              <w:t>1,053.14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1,053.14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2010301</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行政运行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712.08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712.08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2010305</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专项业务及机关事务管理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341.06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341.06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20113</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商贸事务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2011308</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招商引资</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20199</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其他一般公共服务支出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2019999</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其他一般公共服务支出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社会保障和就业支出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72.20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72.20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行政事业单位养老支出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71.91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2080505</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机关事业单位基本养老保险缴费支出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18.30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2080506</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机关事业单位职业年金缴费支出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51.20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2080599</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其他行政事业单位养老支出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20808</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抚恤</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2080801</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死亡抚恤</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210</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卫生健康支出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21001</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卫生健康管理事务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2100199</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其他卫生健康管理事务支出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3,256.80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3,256.80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21201</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城乡社区管理事务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2120101</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行政运行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21203</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城乡社区公共设施</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2120303</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小城镇基础设施建设</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21205</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城乡社区环境卫生</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2120501</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城乡社区环境卫生</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215</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资源勘探工业信息等支出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21508</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支持中小企业发展和管理支出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2150899</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其他支持中小企业发展和管理支出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216</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商业服务业等支出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21699</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其他商业服务业等支出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2169999</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其他商业服务业等支出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229</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其他支出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22904</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其他政府性基金及对应专项债务收入安排的支出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2290402</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其他地方自行试点项目收益专项债券收入安排的支出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8"/>
        <w:tblW w:w="10286" w:type="dxa"/>
        <w:tblInd w:w="0" w:type="dxa"/>
        <w:tblLayout w:type="fixed"/>
        <w:tblCellMar>
          <w:top w:w="15" w:type="dxa"/>
          <w:left w:w="15" w:type="dxa"/>
          <w:bottom w:w="15" w:type="dxa"/>
          <w:right w:w="15" w:type="dxa"/>
        </w:tblCellMar>
      </w:tblPr>
      <w:tblGrid>
        <w:gridCol w:w="519"/>
        <w:gridCol w:w="390"/>
        <w:gridCol w:w="3090"/>
        <w:gridCol w:w="1230"/>
        <w:gridCol w:w="1125"/>
        <w:gridCol w:w="1470"/>
        <w:gridCol w:w="690"/>
        <w:gridCol w:w="825"/>
        <w:gridCol w:w="947"/>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519" w:type="dxa"/>
            <w:shd w:val="clear" w:color="auto" w:fill="FFFFFF"/>
            <w:vAlign w:val="center"/>
          </w:tcPr>
          <w:p>
            <w:pPr>
              <w:jc w:val="right"/>
              <w:rPr>
                <w:rFonts w:ascii="宋体" w:hAnsi="宋体" w:eastAsia="宋体" w:cs="宋体"/>
                <w:color w:val="000000"/>
                <w:sz w:val="24"/>
              </w:rPr>
            </w:pPr>
          </w:p>
        </w:tc>
        <w:tc>
          <w:tcPr>
            <w:tcW w:w="390" w:type="dxa"/>
            <w:shd w:val="clear" w:color="auto" w:fill="FFFFFF"/>
            <w:vAlign w:val="center"/>
          </w:tcPr>
          <w:p>
            <w:pPr>
              <w:jc w:val="right"/>
              <w:rPr>
                <w:rFonts w:ascii="宋体" w:hAnsi="宋体" w:eastAsia="宋体" w:cs="宋体"/>
                <w:color w:val="000000"/>
                <w:sz w:val="24"/>
              </w:rPr>
            </w:pPr>
          </w:p>
        </w:tc>
        <w:tc>
          <w:tcPr>
            <w:tcW w:w="3090" w:type="dxa"/>
            <w:shd w:val="clear" w:color="auto" w:fill="FFFFFF"/>
            <w:vAlign w:val="center"/>
          </w:tcPr>
          <w:p>
            <w:pPr>
              <w:jc w:val="right"/>
              <w:rPr>
                <w:rFonts w:ascii="宋体" w:hAnsi="宋体" w:eastAsia="宋体" w:cs="宋体"/>
                <w:color w:val="000000"/>
                <w:sz w:val="24"/>
              </w:rPr>
            </w:pPr>
          </w:p>
        </w:tc>
        <w:tc>
          <w:tcPr>
            <w:tcW w:w="1230" w:type="dxa"/>
            <w:shd w:val="clear" w:color="auto" w:fill="FFFFFF"/>
            <w:vAlign w:val="center"/>
          </w:tcPr>
          <w:p>
            <w:pPr>
              <w:jc w:val="right"/>
              <w:rPr>
                <w:rFonts w:ascii="宋体" w:hAnsi="宋体" w:eastAsia="宋体" w:cs="宋体"/>
                <w:color w:val="000000"/>
                <w:sz w:val="24"/>
              </w:rPr>
            </w:pPr>
          </w:p>
        </w:tc>
        <w:tc>
          <w:tcPr>
            <w:tcW w:w="1125" w:type="dxa"/>
            <w:shd w:val="clear" w:color="auto" w:fill="FFFFFF"/>
            <w:vAlign w:val="center"/>
          </w:tcPr>
          <w:p>
            <w:pPr>
              <w:jc w:val="right"/>
              <w:rPr>
                <w:rFonts w:ascii="宋体" w:hAnsi="宋体" w:eastAsia="宋体" w:cs="宋体"/>
                <w:color w:val="000000"/>
                <w:sz w:val="24"/>
              </w:rPr>
            </w:pPr>
          </w:p>
        </w:tc>
        <w:tc>
          <w:tcPr>
            <w:tcW w:w="1470" w:type="dxa"/>
            <w:shd w:val="clear" w:color="auto" w:fill="FFFFFF"/>
            <w:vAlign w:val="center"/>
          </w:tcPr>
          <w:p>
            <w:pPr>
              <w:jc w:val="right"/>
              <w:rPr>
                <w:rFonts w:ascii="宋体" w:hAnsi="宋体" w:eastAsia="宋体" w:cs="宋体"/>
                <w:color w:val="000000"/>
                <w:sz w:val="24"/>
              </w:rPr>
            </w:pPr>
          </w:p>
        </w:tc>
        <w:tc>
          <w:tcPr>
            <w:tcW w:w="690" w:type="dxa"/>
            <w:shd w:val="clear" w:color="auto" w:fill="FFFFFF"/>
            <w:vAlign w:val="center"/>
          </w:tcPr>
          <w:p>
            <w:pPr>
              <w:jc w:val="right"/>
              <w:rPr>
                <w:rFonts w:ascii="宋体" w:hAnsi="宋体" w:eastAsia="宋体" w:cs="宋体"/>
                <w:color w:val="000000"/>
                <w:sz w:val="24"/>
              </w:rPr>
            </w:pPr>
          </w:p>
        </w:tc>
        <w:tc>
          <w:tcPr>
            <w:tcW w:w="825" w:type="dxa"/>
            <w:shd w:val="clear" w:color="auto" w:fill="FFFFFF"/>
            <w:vAlign w:val="center"/>
          </w:tcPr>
          <w:p>
            <w:pPr>
              <w:jc w:val="right"/>
              <w:rPr>
                <w:rFonts w:ascii="宋体" w:hAnsi="宋体" w:eastAsia="宋体" w:cs="宋体"/>
                <w:color w:val="000000"/>
                <w:sz w:val="24"/>
              </w:rPr>
            </w:pPr>
          </w:p>
        </w:tc>
        <w:tc>
          <w:tcPr>
            <w:tcW w:w="94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519"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710" w:type="dxa"/>
            <w:gridSpan w:val="3"/>
            <w:shd w:val="clear" w:color="auto" w:fill="FFFFFF"/>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eastAsia="zh-CN" w:bidi="ar"/>
              </w:rPr>
              <w:t>河北成安经济开发区管理委员会</w:t>
            </w:r>
          </w:p>
        </w:tc>
        <w:tc>
          <w:tcPr>
            <w:tcW w:w="1125" w:type="dxa"/>
            <w:shd w:val="clear" w:color="auto" w:fill="FFFFFF"/>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2022年度</w:t>
            </w:r>
          </w:p>
        </w:tc>
        <w:tc>
          <w:tcPr>
            <w:tcW w:w="1470" w:type="dxa"/>
            <w:shd w:val="clear" w:color="auto" w:fill="FFFFFF"/>
            <w:vAlign w:val="center"/>
          </w:tcPr>
          <w:p>
            <w:pPr>
              <w:jc w:val="center"/>
              <w:rPr>
                <w:rFonts w:ascii="宋体" w:hAnsi="宋体" w:eastAsia="宋体" w:cs="宋体"/>
                <w:color w:val="000000"/>
                <w:sz w:val="20"/>
                <w:szCs w:val="20"/>
              </w:rPr>
            </w:pPr>
          </w:p>
        </w:tc>
        <w:tc>
          <w:tcPr>
            <w:tcW w:w="690" w:type="dxa"/>
            <w:shd w:val="clear" w:color="auto" w:fill="FFFFFF"/>
            <w:vAlign w:val="center"/>
          </w:tcPr>
          <w:p>
            <w:pPr>
              <w:jc w:val="right"/>
              <w:rPr>
                <w:rFonts w:ascii="宋体" w:hAnsi="宋体" w:eastAsia="宋体" w:cs="宋体"/>
                <w:color w:val="000000"/>
                <w:sz w:val="24"/>
              </w:rPr>
            </w:pPr>
          </w:p>
        </w:tc>
        <w:tc>
          <w:tcPr>
            <w:tcW w:w="825" w:type="dxa"/>
            <w:shd w:val="clear" w:color="auto" w:fill="FFFFFF"/>
            <w:vAlign w:val="center"/>
          </w:tcPr>
          <w:p>
            <w:pPr>
              <w:jc w:val="right"/>
              <w:rPr>
                <w:rFonts w:ascii="宋体" w:hAnsi="宋体" w:eastAsia="宋体" w:cs="宋体"/>
                <w:color w:val="000000"/>
                <w:sz w:val="24"/>
              </w:rPr>
            </w:pPr>
          </w:p>
        </w:tc>
        <w:tc>
          <w:tcPr>
            <w:tcW w:w="94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99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90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99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399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b/>
                <w:bCs/>
                <w:i w:val="0"/>
                <w:iCs w:val="0"/>
                <w:color w:val="000000"/>
                <w:sz w:val="18"/>
                <w:szCs w:val="18"/>
                <w:u w:val="none"/>
              </w:rPr>
              <w:t>10,059.75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b/>
                <w:bCs/>
                <w:i w:val="0"/>
                <w:iCs w:val="0"/>
                <w:color w:val="000000"/>
                <w:sz w:val="18"/>
                <w:szCs w:val="18"/>
                <w:u w:val="none"/>
              </w:rPr>
              <w:t>572.33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b/>
                <w:bCs/>
                <w:i w:val="0"/>
                <w:iCs w:val="0"/>
                <w:color w:val="000000"/>
                <w:sz w:val="18"/>
                <w:szCs w:val="18"/>
                <w:u w:val="none"/>
              </w:rPr>
              <w:t>9,487.42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515"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一般公共服务支出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1,786.32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572.04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1,214.28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20103</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政府办公厅（室）及相关机构事务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1,053.14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572.04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481.09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2010301</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行政运行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712.08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572.04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140.04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2010305</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专项业务及机关事务管理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341.06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341.06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20113</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商贸事务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2011308</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招商引资</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20199</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其他一般公共服务支出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2019999</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其他一般公共服务支出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5"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社会保障和就业支出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72.20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71.91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行政事业单位养老支出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71.91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71.91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2080505</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机关事业单位基本养老保险缴费支出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18.30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18.30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2080506</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机关事业单位职业年金缴费支出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51.20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51.20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2080599</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其他行政事业单位养老支出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20808</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抚恤</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2080801</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死亡抚恤</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bCs/>
                <w:color w:val="000000"/>
                <w:sz w:val="18"/>
                <w:szCs w:val="18"/>
              </w:rPr>
            </w:pPr>
            <w:r>
              <w:rPr>
                <w:rFonts w:hint="eastAsia" w:ascii="宋体" w:hAnsi="宋体" w:eastAsia="宋体" w:cs="宋体"/>
                <w:i w:val="0"/>
                <w:iCs w:val="0"/>
                <w:color w:val="000000"/>
                <w:sz w:val="18"/>
                <w:szCs w:val="18"/>
                <w:u w:val="none"/>
              </w:rPr>
              <w:t>0.29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210</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卫生健康支出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21001</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卫生健康管理事务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2100199</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其他卫生健康管理事务支出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3,256.80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3,256.80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21201</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城乡社区管理事务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2120101</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行政运行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21203</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城乡社区公共设施</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2120303</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小城镇基础设施建设</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21205</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城乡社区环境卫生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5"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2120501</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城乡社区环境卫生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215</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资源勘探工业信息等支出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21508</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支持中小企业发展和管理支出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2150899</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其他支持中小企业发展和管理支出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216</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商业服务业等支出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21699</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其他商业服务业等支出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2169999</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其他商业服务业等支出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229</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其他支出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22904</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其他政府性基金及对应专项债务收入安排的支出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2290402</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其他地方自行试点项目收益专项债券收入安排的支出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8"/>
        <w:tblW w:w="14186" w:type="dxa"/>
        <w:tblInd w:w="0" w:type="dxa"/>
        <w:tblLayout w:type="fixed"/>
        <w:tblCellMar>
          <w:top w:w="15" w:type="dxa"/>
          <w:left w:w="15" w:type="dxa"/>
          <w:bottom w:w="15" w:type="dxa"/>
          <w:right w:w="15" w:type="dxa"/>
        </w:tblCellMar>
      </w:tblPr>
      <w:tblGrid>
        <w:gridCol w:w="600"/>
        <w:gridCol w:w="549"/>
        <w:gridCol w:w="1172"/>
        <w:gridCol w:w="371"/>
        <w:gridCol w:w="962"/>
        <w:gridCol w:w="1185"/>
        <w:gridCol w:w="759"/>
        <w:gridCol w:w="319"/>
        <w:gridCol w:w="1007"/>
        <w:gridCol w:w="210"/>
        <w:gridCol w:w="1185"/>
        <w:gridCol w:w="495"/>
        <w:gridCol w:w="750"/>
        <w:gridCol w:w="1266"/>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8"/>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542" w:type="dxa"/>
                  <w:gridSpan w:val="3"/>
                  <w:shd w:val="clear" w:color="auto" w:fill="FFFFFF"/>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eastAsia="zh-CN" w:bidi="ar"/>
                    </w:rPr>
                    <w:t>河北成安经济开发区管理委员会</w:t>
                  </w:r>
                  <w:r>
                    <w:rPr>
                      <w:rFonts w:hint="eastAsia" w:ascii="宋体" w:hAnsi="宋体" w:eastAsia="宋体" w:cs="宋体"/>
                      <w:color w:val="000000"/>
                      <w:kern w:val="0"/>
                      <w:sz w:val="20"/>
                      <w:szCs w:val="20"/>
                      <w:lang w:bidi="ar"/>
                    </w:rPr>
                    <w:t xml:space="preserve">  </w:t>
                  </w:r>
                </w:p>
              </w:tc>
              <w:tc>
                <w:tcPr>
                  <w:tcW w:w="1757" w:type="dxa"/>
                  <w:shd w:val="clear" w:color="auto" w:fill="FFFFFF"/>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2022年度</w:t>
                  </w:r>
                </w:p>
              </w:tc>
              <w:tc>
                <w:tcPr>
                  <w:tcW w:w="1080" w:type="dxa"/>
                  <w:shd w:val="clear" w:color="auto" w:fill="FFFFFF"/>
                  <w:vAlign w:val="center"/>
                </w:tcPr>
                <w:p>
                  <w:pPr>
                    <w:widowControl/>
                    <w:jc w:val="left"/>
                    <w:textAlignment w:val="center"/>
                    <w:rPr>
                      <w:rFonts w:hint="eastAsia" w:ascii="宋体" w:hAnsi="宋体" w:eastAsia="宋体" w:cs="宋体"/>
                      <w:color w:val="000000"/>
                      <w:kern w:val="0"/>
                      <w:sz w:val="20"/>
                      <w:szCs w:val="20"/>
                      <w:lang w:bidi="ar"/>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65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176"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5,217.12</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1,786.32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1,786.32</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4,842.64</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24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72.20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72.20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7.80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7.80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3,256.80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3,256.80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50.00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color w:val="000000"/>
                <w:kern w:val="2"/>
                <w:sz w:val="18"/>
                <w:szCs w:val="18"/>
                <w:lang w:val="en-US" w:eastAsia="zh-CN" w:bidi="ar-SA"/>
              </w:rPr>
            </w:pPr>
            <w:r>
              <w:rPr>
                <w:rFonts w:hint="eastAsia" w:ascii="宋体" w:hAnsi="宋体" w:eastAsia="宋体" w:cs="宋体"/>
                <w:i w:val="0"/>
                <w:iCs w:val="0"/>
                <w:color w:val="000000"/>
                <w:sz w:val="18"/>
                <w:szCs w:val="18"/>
                <w:u w:val="none"/>
              </w:rPr>
              <w:t>50.00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44.00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color w:val="000000"/>
                <w:kern w:val="2"/>
                <w:sz w:val="18"/>
                <w:szCs w:val="18"/>
                <w:lang w:val="en-US" w:eastAsia="zh-CN" w:bidi="ar-SA"/>
              </w:rPr>
            </w:pPr>
            <w:r>
              <w:rPr>
                <w:rFonts w:hint="eastAsia" w:ascii="宋体" w:hAnsi="宋体" w:eastAsia="宋体" w:cs="宋体"/>
                <w:i w:val="0"/>
                <w:iCs w:val="0"/>
                <w:color w:val="000000"/>
                <w:sz w:val="18"/>
                <w:szCs w:val="18"/>
                <w:u w:val="none"/>
              </w:rPr>
              <w:t>44.00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4,842.64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color w:val="000000"/>
                <w:kern w:val="2"/>
                <w:sz w:val="18"/>
                <w:szCs w:val="18"/>
                <w:lang w:val="en-US" w:eastAsia="zh-CN" w:bidi="ar-SA"/>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kern w:val="2"/>
                <w:sz w:val="18"/>
                <w:szCs w:val="18"/>
                <w:lang w:val="en-US" w:eastAsia="zh-CN" w:bidi="ar-SA"/>
              </w:rPr>
            </w:pPr>
            <w:r>
              <w:rPr>
                <w:rFonts w:hint="eastAsia" w:ascii="宋体" w:hAnsi="宋体" w:eastAsia="宋体" w:cs="宋体"/>
                <w:i w:val="0"/>
                <w:iCs w:val="0"/>
                <w:color w:val="000000"/>
                <w:sz w:val="18"/>
                <w:szCs w:val="18"/>
                <w:u w:val="none"/>
              </w:rPr>
              <w:t>4,842.64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234"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10,059.75</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10,059.75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color w:val="000000"/>
                <w:kern w:val="2"/>
                <w:sz w:val="18"/>
                <w:szCs w:val="18"/>
                <w:lang w:val="en-US" w:eastAsia="zh-CN" w:bidi="ar-SA"/>
              </w:rPr>
            </w:pPr>
            <w:r>
              <w:rPr>
                <w:rFonts w:hint="eastAsia" w:ascii="宋体" w:hAnsi="宋体" w:eastAsia="宋体" w:cs="宋体"/>
                <w:i w:val="0"/>
                <w:iCs w:val="0"/>
                <w:color w:val="000000"/>
                <w:sz w:val="18"/>
                <w:szCs w:val="18"/>
                <w:u w:val="none"/>
              </w:rPr>
              <w:t>5,217.12</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r>
              <w:rPr>
                <w:rFonts w:hint="eastAsia" w:ascii="宋体" w:hAnsi="宋体" w:eastAsia="宋体" w:cs="宋体"/>
                <w:i w:val="0"/>
                <w:iCs w:val="0"/>
                <w:color w:val="000000"/>
                <w:sz w:val="18"/>
                <w:szCs w:val="18"/>
                <w:u w:val="none"/>
              </w:rPr>
              <w:t>4,842.64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18"/>
                <w:szCs w:val="18"/>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8"/>
                <w:szCs w:val="1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10,059.75</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i w:val="0"/>
                <w:iCs w:val="0"/>
                <w:color w:val="000000"/>
                <w:sz w:val="18"/>
                <w:szCs w:val="18"/>
                <w:u w:val="none"/>
              </w:rPr>
              <w:t>10,059.75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b/>
                <w:color w:val="000000"/>
                <w:kern w:val="2"/>
                <w:sz w:val="18"/>
                <w:szCs w:val="18"/>
                <w:lang w:val="en-US" w:eastAsia="zh-CN" w:bidi="ar-SA"/>
              </w:rPr>
            </w:pPr>
            <w:r>
              <w:rPr>
                <w:rFonts w:hint="eastAsia" w:ascii="宋体" w:hAnsi="宋体" w:eastAsia="宋体" w:cs="宋体"/>
                <w:i w:val="0"/>
                <w:iCs w:val="0"/>
                <w:color w:val="000000"/>
                <w:sz w:val="18"/>
                <w:szCs w:val="18"/>
                <w:u w:val="none"/>
              </w:rPr>
              <w:t>5,217.12</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kern w:val="2"/>
                <w:sz w:val="18"/>
                <w:szCs w:val="18"/>
                <w:lang w:val="en-US" w:eastAsia="zh-CN" w:bidi="ar-SA"/>
              </w:rPr>
            </w:pPr>
            <w:r>
              <w:rPr>
                <w:rFonts w:hint="eastAsia" w:ascii="宋体" w:hAnsi="宋体" w:eastAsia="宋体" w:cs="宋体"/>
                <w:i w:val="0"/>
                <w:iCs w:val="0"/>
                <w:color w:val="000000"/>
                <w:sz w:val="18"/>
                <w:szCs w:val="18"/>
                <w:u w:val="none"/>
              </w:rPr>
              <w:t>4,842.64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549" w:type="dxa"/>
            <w:shd w:val="clear" w:color="auto" w:fill="FFFFFF"/>
            <w:vAlign w:val="center"/>
          </w:tcPr>
          <w:p>
            <w:pPr>
              <w:jc w:val="center"/>
              <w:rPr>
                <w:rFonts w:ascii="宋体" w:hAnsi="宋体" w:eastAsia="宋体" w:cs="宋体"/>
                <w:color w:val="000000"/>
                <w:sz w:val="20"/>
                <w:szCs w:val="20"/>
              </w:rPr>
            </w:pPr>
          </w:p>
        </w:tc>
        <w:tc>
          <w:tcPr>
            <w:tcW w:w="3690" w:type="dxa"/>
            <w:gridSpan w:val="4"/>
            <w:shd w:val="clear" w:color="auto" w:fill="FFFFFF"/>
            <w:vAlign w:val="center"/>
          </w:tcPr>
          <w:p>
            <w:pPr>
              <w:jc w:val="center"/>
              <w:rPr>
                <w:rFonts w:ascii="宋体" w:hAnsi="宋体" w:eastAsia="宋体" w:cs="宋体"/>
                <w:color w:val="000000"/>
                <w:sz w:val="20"/>
                <w:szCs w:val="20"/>
              </w:rPr>
            </w:pPr>
          </w:p>
        </w:tc>
        <w:tc>
          <w:tcPr>
            <w:tcW w:w="2085" w:type="dxa"/>
            <w:gridSpan w:val="3"/>
            <w:shd w:val="clear" w:color="auto" w:fill="FFFFFF"/>
            <w:vAlign w:val="center"/>
          </w:tcPr>
          <w:p>
            <w:pPr>
              <w:rPr>
                <w:rFonts w:ascii="宋体" w:hAnsi="宋体" w:eastAsia="宋体" w:cs="宋体"/>
                <w:color w:val="000000"/>
                <w:sz w:val="20"/>
                <w:szCs w:val="20"/>
              </w:rPr>
            </w:pPr>
          </w:p>
        </w:tc>
        <w:tc>
          <w:tcPr>
            <w:tcW w:w="1890" w:type="dxa"/>
            <w:gridSpan w:val="3"/>
            <w:shd w:val="clear" w:color="auto" w:fill="FFFFFF"/>
            <w:vAlign w:val="center"/>
          </w:tcPr>
          <w:p>
            <w:pPr>
              <w:rPr>
                <w:rFonts w:ascii="宋体" w:hAnsi="宋体" w:eastAsia="宋体" w:cs="宋体"/>
                <w:color w:val="000000"/>
                <w:sz w:val="20"/>
                <w:szCs w:val="20"/>
              </w:rPr>
            </w:pPr>
          </w:p>
        </w:tc>
        <w:tc>
          <w:tcPr>
            <w:tcW w:w="2034"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3"/>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239" w:type="dxa"/>
            <w:gridSpan w:val="5"/>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lang w:eastAsia="zh-CN"/>
              </w:rPr>
              <w:t>河北成安经济开发区管理委员会</w:t>
            </w:r>
            <w:r>
              <w:rPr>
                <w:rFonts w:hint="eastAsia" w:ascii="宋体" w:hAnsi="宋体" w:eastAsia="宋体" w:cs="宋体"/>
                <w:color w:val="000000"/>
                <w:sz w:val="20"/>
                <w:szCs w:val="20"/>
              </w:rPr>
              <w:t xml:space="preserve">             </w:t>
            </w:r>
          </w:p>
        </w:tc>
        <w:tc>
          <w:tcPr>
            <w:tcW w:w="2085"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890" w:type="dxa"/>
            <w:gridSpan w:val="3"/>
            <w:shd w:val="clear" w:color="auto" w:fill="FFFFFF"/>
            <w:vAlign w:val="center"/>
          </w:tcPr>
          <w:p>
            <w:pPr>
              <w:rPr>
                <w:rFonts w:ascii="宋体" w:hAnsi="宋体" w:eastAsia="宋体" w:cs="宋体"/>
                <w:color w:val="000000"/>
                <w:sz w:val="20"/>
                <w:szCs w:val="20"/>
              </w:rPr>
            </w:pPr>
          </w:p>
        </w:tc>
        <w:tc>
          <w:tcPr>
            <w:tcW w:w="2034"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4"/>
                <w:rFonts w:hint="default"/>
                <w:lang w:bidi="ar"/>
              </w:rPr>
              <w:t xml:space="preserve">   </w:t>
            </w:r>
            <w:r>
              <w:rPr>
                <w:rStyle w:val="15"/>
                <w:rFonts w:hint="default"/>
                <w:lang w:bidi="ar"/>
              </w:rPr>
              <w:t>目</w:t>
            </w:r>
          </w:p>
        </w:tc>
        <w:tc>
          <w:tcPr>
            <w:tcW w:w="60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1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369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0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8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03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1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69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3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1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69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3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0" w:hRule="atLeast"/>
        </w:trPr>
        <w:tc>
          <w:tcPr>
            <w:tcW w:w="4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b/>
                <w:bCs/>
                <w:i w:val="0"/>
                <w:iCs w:val="0"/>
                <w:color w:val="000000"/>
                <w:sz w:val="18"/>
                <w:szCs w:val="18"/>
                <w:u w:val="none"/>
              </w:rPr>
              <w:t>5,217.12</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b/>
                <w:bCs/>
                <w:i w:val="0"/>
                <w:iCs w:val="0"/>
                <w:color w:val="000000"/>
                <w:sz w:val="18"/>
                <w:szCs w:val="18"/>
                <w:u w:val="none"/>
              </w:rPr>
              <w:t>572.33</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b/>
                <w:bCs/>
                <w:i w:val="0"/>
                <w:iCs w:val="0"/>
                <w:color w:val="000000"/>
                <w:sz w:val="18"/>
                <w:szCs w:val="18"/>
                <w:u w:val="none"/>
              </w:rPr>
              <w:t>4,644.79</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一般公共服务支出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1,786.32</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572.04</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1,214.28</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20103</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政府办公厅（室）及相关机构事务</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1,053.14</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572.04</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481.09</w:t>
            </w:r>
          </w:p>
        </w:tc>
      </w:tr>
      <w:tr>
        <w:tblPrEx>
          <w:tblCellMar>
            <w:top w:w="15" w:type="dxa"/>
            <w:left w:w="15" w:type="dxa"/>
            <w:bottom w:w="15" w:type="dxa"/>
            <w:right w:w="15" w:type="dxa"/>
          </w:tblCellMar>
        </w:tblPrEx>
        <w:trPr>
          <w:gridAfter w:val="1"/>
          <w:wAfter w:w="3338" w:type="dxa"/>
          <w:trHeight w:val="425"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2010301</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行政运行</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712.08</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572.04</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140.04</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2010305</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专项业务及机关事务管理</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341.06</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341.06</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20113</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商贸事务</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2011308</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招商引资</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484.81</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20199</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其他一般公共服务支出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2019999</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其他一般公共服务支出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248.37</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社会保障和就业支出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72.20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71.91</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行政事业单位养老支出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71.91</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71.91</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2080505</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机关事业单位基本养老保险缴费支出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18.30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18.30</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2080506</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机关事业单位职业年金缴费支出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51.20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51.20</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2080599</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其他行政事业单位养老支出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2.42</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2.42</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20808</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抚恤</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2080801</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死亡抚恤</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210</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卫生健康支出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r>
      <w:tr>
        <w:tblPrEx>
          <w:tblCellMar>
            <w:top w:w="15" w:type="dxa"/>
            <w:left w:w="15" w:type="dxa"/>
            <w:bottom w:w="15" w:type="dxa"/>
            <w:right w:w="15" w:type="dxa"/>
          </w:tblCellMar>
        </w:tblPrEx>
        <w:trPr>
          <w:gridAfter w:val="1"/>
          <w:wAfter w:w="3338" w:type="dxa"/>
          <w:trHeight w:val="425"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21001</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卫生健康管理事务</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2100199</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其他卫生健康管理事务支出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7.80</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3,256.80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3,256.80</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21201</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城乡社区管理事务</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2120101</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行政运行</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1,349.67</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21203</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城乡社区公共设施</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2120303</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小城镇基础设施建设</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907.88</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21205</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城乡社区环境卫生</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2120501</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城乡社区环境卫生</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999.25</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215</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资源勘探工业信息等支出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21508</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支持中小企业发展和管理支出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2150899</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其他支持中小企业发展和管理支出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50.00</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216</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商业服务业等支出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21699</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其他商业服务业等支出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r>
      <w:tr>
        <w:tblPrEx>
          <w:tblCellMar>
            <w:top w:w="15" w:type="dxa"/>
            <w:left w:w="15" w:type="dxa"/>
            <w:bottom w:w="15" w:type="dxa"/>
            <w:right w:w="15" w:type="dxa"/>
          </w:tblCellMar>
        </w:tblPrEx>
        <w:trPr>
          <w:gridAfter w:val="1"/>
          <w:wAfter w:w="3338" w:type="dxa"/>
          <w:trHeight w:val="39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2169999</w:t>
            </w:r>
          </w:p>
        </w:tc>
        <w:tc>
          <w:tcPr>
            <w:tcW w:w="3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 xml:space="preserve">  其他商业服务业等支出</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44.00</w:t>
            </w: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8"/>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6"/>
                <w:rFonts w:hint="default"/>
                <w:lang w:bidi="ar"/>
              </w:rPr>
              <w:t>明细</w:t>
            </w:r>
            <w:r>
              <w:rPr>
                <w:rStyle w:val="17"/>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638" w:type="dxa"/>
            <w:gridSpan w:val="3"/>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lang w:eastAsia="zh-CN"/>
              </w:rPr>
              <w:t>河北成安经济开发区管理委员会</w:t>
            </w: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467.08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100.80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135.18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i w:val="0"/>
                <w:iCs w:val="0"/>
                <w:color w:val="000000"/>
                <w:sz w:val="18"/>
                <w:szCs w:val="18"/>
                <w:u w:val="none"/>
                <w:lang w:val="en-US" w:eastAsia="zh-CN"/>
              </w:rPr>
              <w:t>2.45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15.09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11.85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0.07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12.46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0.54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132.34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55.63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62.10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1.18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53.09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4.45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18"/>
                <w:szCs w:val="18"/>
                <w:lang w:val="en-US" w:eastAsia="zh-CN"/>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0.29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3.66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lang w:val="en-US" w:eastAsia="zh-CN"/>
              </w:rPr>
              <w:t>2.29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5.05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49.59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7.71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0.50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19.06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471.53</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i w:val="0"/>
                <w:iCs w:val="0"/>
                <w:color w:val="000000"/>
                <w:sz w:val="18"/>
                <w:szCs w:val="18"/>
                <w:u w:val="none"/>
              </w:rPr>
              <w:t>100.80</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8"/>
        <w:tblW w:w="10350" w:type="dxa"/>
        <w:tblInd w:w="0" w:type="dxa"/>
        <w:tblLayout w:type="fixed"/>
        <w:tblCellMar>
          <w:top w:w="15" w:type="dxa"/>
          <w:left w:w="15" w:type="dxa"/>
          <w:bottom w:w="15" w:type="dxa"/>
          <w:right w:w="15" w:type="dxa"/>
        </w:tblCellMar>
      </w:tblPr>
      <w:tblGrid>
        <w:gridCol w:w="555"/>
        <w:gridCol w:w="324"/>
        <w:gridCol w:w="3165"/>
        <w:gridCol w:w="908"/>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324" w:type="dxa"/>
            <w:shd w:val="clear" w:color="auto" w:fill="FFFFFF"/>
            <w:vAlign w:val="center"/>
          </w:tcPr>
          <w:p>
            <w:pPr>
              <w:jc w:val="center"/>
              <w:rPr>
                <w:rFonts w:ascii="宋体" w:hAnsi="宋体" w:eastAsia="宋体" w:cs="宋体"/>
                <w:color w:val="000000"/>
                <w:sz w:val="20"/>
                <w:szCs w:val="20"/>
              </w:rPr>
            </w:pPr>
          </w:p>
        </w:tc>
        <w:tc>
          <w:tcPr>
            <w:tcW w:w="3165" w:type="dxa"/>
            <w:shd w:val="clear" w:color="auto" w:fill="FFFFFF"/>
            <w:vAlign w:val="center"/>
          </w:tcPr>
          <w:p>
            <w:pPr>
              <w:jc w:val="center"/>
              <w:rPr>
                <w:rFonts w:ascii="宋体" w:hAnsi="宋体" w:eastAsia="宋体" w:cs="宋体"/>
                <w:color w:val="000000"/>
                <w:sz w:val="20"/>
                <w:szCs w:val="20"/>
              </w:rPr>
            </w:pPr>
          </w:p>
        </w:tc>
        <w:tc>
          <w:tcPr>
            <w:tcW w:w="908"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397" w:type="dxa"/>
            <w:gridSpan w:val="3"/>
            <w:shd w:val="clear" w:color="auto" w:fill="FFFFFF"/>
            <w:vAlign w:val="center"/>
          </w:tcPr>
          <w:p>
            <w:pP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河北成安经济开发区管理委员会</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4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8"/>
                <w:rFonts w:hint="default"/>
                <w:lang w:bidi="ar"/>
              </w:rPr>
              <w:t>目</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8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8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4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4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b/>
                <w:bCs/>
                <w:i w:val="0"/>
                <w:iCs w:val="0"/>
                <w:color w:val="000000"/>
                <w:sz w:val="18"/>
                <w:szCs w:val="18"/>
                <w:u w:val="none"/>
              </w:rPr>
              <w:t>4,842.64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b/>
                <w:bCs/>
                <w:i w:val="0"/>
                <w:iCs w:val="0"/>
                <w:color w:val="000000"/>
                <w:sz w:val="18"/>
                <w:szCs w:val="18"/>
                <w:u w:val="none"/>
              </w:rPr>
              <w:t>4,842.64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b/>
                <w:bCs/>
                <w:i w:val="0"/>
                <w:iCs w:val="0"/>
                <w:color w:val="000000"/>
                <w:sz w:val="18"/>
                <w:szCs w:val="18"/>
                <w:u w:val="none"/>
              </w:rPr>
              <w:t>4,842.64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4"/>
              </w:rPr>
            </w:pPr>
            <w:r>
              <w:rPr>
                <w:rFonts w:hint="eastAsia" w:ascii="宋体" w:hAnsi="宋体" w:eastAsia="宋体" w:cs="宋体"/>
                <w:i w:val="0"/>
                <w:iCs w:val="0"/>
                <w:color w:val="000000"/>
                <w:sz w:val="22"/>
                <w:szCs w:val="22"/>
                <w:u w:val="none"/>
              </w:rPr>
              <w:t>229</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0"/>
                <w:szCs w:val="20"/>
              </w:rPr>
            </w:pPr>
            <w:r>
              <w:rPr>
                <w:rFonts w:hint="eastAsia" w:ascii="宋体" w:hAnsi="宋体" w:eastAsia="宋体" w:cs="宋体"/>
                <w:i w:val="0"/>
                <w:iCs w:val="0"/>
                <w:color w:val="000000"/>
                <w:sz w:val="22"/>
                <w:szCs w:val="22"/>
                <w:u w:val="none"/>
              </w:rPr>
              <w:t>其他支出</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4,842.64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4,842.64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4,842.64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4"/>
              </w:rPr>
            </w:pPr>
            <w:r>
              <w:rPr>
                <w:rFonts w:hint="eastAsia" w:ascii="宋体" w:hAnsi="宋体" w:eastAsia="宋体" w:cs="宋体"/>
                <w:i w:val="0"/>
                <w:iCs w:val="0"/>
                <w:color w:val="000000"/>
                <w:sz w:val="22"/>
                <w:szCs w:val="22"/>
                <w:u w:val="none"/>
              </w:rPr>
              <w:t>22904</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4"/>
              </w:rPr>
            </w:pPr>
            <w:r>
              <w:rPr>
                <w:rFonts w:hint="eastAsia" w:ascii="宋体" w:hAnsi="宋体" w:eastAsia="宋体" w:cs="宋体"/>
                <w:i w:val="0"/>
                <w:iCs w:val="0"/>
                <w:color w:val="000000"/>
                <w:sz w:val="22"/>
                <w:szCs w:val="22"/>
                <w:u w:val="none"/>
              </w:rPr>
              <w:t>其他政府性基金及对应专项债务收入安排的支出</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4,842.64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4,842.64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4,842.64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4"/>
              </w:rPr>
            </w:pPr>
            <w:r>
              <w:rPr>
                <w:rFonts w:hint="eastAsia" w:ascii="宋体" w:hAnsi="宋体" w:eastAsia="宋体" w:cs="宋体"/>
                <w:i w:val="0"/>
                <w:iCs w:val="0"/>
                <w:color w:val="000000"/>
                <w:sz w:val="22"/>
                <w:szCs w:val="22"/>
                <w:u w:val="none"/>
              </w:rPr>
              <w:t>2290402</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0"/>
                <w:szCs w:val="20"/>
              </w:rPr>
            </w:pPr>
            <w:r>
              <w:rPr>
                <w:rFonts w:hint="eastAsia" w:ascii="宋体" w:hAnsi="宋体" w:eastAsia="宋体" w:cs="宋体"/>
                <w:i w:val="0"/>
                <w:iCs w:val="0"/>
                <w:color w:val="000000"/>
                <w:sz w:val="22"/>
                <w:szCs w:val="22"/>
                <w:u w:val="none"/>
              </w:rPr>
              <w:t xml:space="preserve">  其他地方自行试点项目收益专项债券收入安排的支出</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4,842.64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4,842.64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4,842.64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rPr>
            </w:pPr>
            <w:r>
              <w:rPr>
                <w:rFonts w:hint="eastAsia" w:ascii="宋体" w:hAnsi="宋体" w:eastAsia="宋体" w:cs="宋体"/>
                <w:color w:val="000000"/>
                <w:kern w:val="0"/>
                <w:sz w:val="24"/>
                <w:szCs w:val="24"/>
                <w:lang w:bidi="ar"/>
              </w:rPr>
              <w:t>注：本表反映部门本年度政府性基金预算财政拨款收入、支出及结转和结余情况。</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8"/>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6248" w:type="dxa"/>
            <w:gridSpan w:val="6"/>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河北成安经济开发区管理委员会</w:t>
            </w:r>
            <w:r>
              <w:rPr>
                <w:rFonts w:hint="eastAsia" w:ascii="宋体" w:hAnsi="宋体" w:eastAsia="宋体" w:cs="宋体"/>
                <w:color w:val="000000"/>
                <w:kern w:val="0"/>
                <w:sz w:val="20"/>
                <w:szCs w:val="20"/>
                <w:lang w:val="en-US" w:eastAsia="zh-CN" w:bidi="ar"/>
              </w:rPr>
              <w:t xml:space="preserve">                 </w:t>
            </w: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lang w:bidi="ar"/>
              </w:rPr>
              <w:t>注：本部门本年度无相关收入（或支出、收支及结转结余等）情况，按要求空表列示。</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8"/>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4369" w:type="dxa"/>
            <w:gridSpan w:val="9"/>
            <w:shd w:val="clear" w:color="auto" w:fill="FFFFFF"/>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河北成安经济开发区管理委员会</w:t>
            </w: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0528"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8"/>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年度收、支总计（含结转和结余）</w:t>
      </w:r>
      <w:r>
        <w:rPr>
          <w:rFonts w:hint="eastAsia" w:ascii="仿宋_GB2312" w:hAnsi="Times New Roman" w:eastAsia="仿宋_GB2312" w:cs="DengXian-Regular"/>
          <w:sz w:val="32"/>
          <w:szCs w:val="32"/>
          <w:lang w:val="en-US" w:eastAsia="zh-CN"/>
        </w:rPr>
        <w:t>10059.75</w:t>
      </w:r>
      <w:r>
        <w:rPr>
          <w:rFonts w:hint="eastAsia" w:ascii="仿宋_GB2312" w:hAnsi="Times New Roman" w:eastAsia="仿宋_GB2312" w:cs="DengXian-Regular"/>
          <w:sz w:val="32"/>
          <w:szCs w:val="32"/>
        </w:rPr>
        <w:t>万元。与202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年度决算相比，收支各增加</w:t>
      </w:r>
      <w:r>
        <w:rPr>
          <w:rFonts w:hint="eastAsia" w:ascii="仿宋_GB2312" w:hAnsi="Times New Roman" w:eastAsia="仿宋_GB2312" w:cs="DengXian-Regular"/>
          <w:sz w:val="32"/>
          <w:szCs w:val="32"/>
          <w:lang w:val="en-US" w:eastAsia="zh-CN"/>
        </w:rPr>
        <w:t>5095.16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102.63</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项目入驻基础设施建设费用、环境整治费用、安全生产培训、政府性基金建设基础设施等费用增加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Wingdings"/>
          <w:sz w:val="32"/>
          <w:szCs w:val="32"/>
        </w:rPr>
        <w:drawing>
          <wp:anchor distT="0" distB="0" distL="114300" distR="114300" simplePos="0" relativeHeight="251673600" behindDoc="1" locked="0" layoutInCell="1" allowOverlap="1">
            <wp:simplePos x="0" y="0"/>
            <wp:positionH relativeFrom="column">
              <wp:posOffset>437515</wp:posOffset>
            </wp:positionH>
            <wp:positionV relativeFrom="paragraph">
              <wp:posOffset>243840</wp:posOffset>
            </wp:positionV>
            <wp:extent cx="4157980" cy="2273300"/>
            <wp:effectExtent l="0" t="0" r="13970" b="1270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年度收入合计</w:t>
      </w:r>
      <w:r>
        <w:rPr>
          <w:rFonts w:hint="eastAsia" w:ascii="仿宋_GB2312" w:hAnsi="Times New Roman" w:eastAsia="仿宋_GB2312" w:cs="DengXian-Regular"/>
          <w:sz w:val="32"/>
          <w:szCs w:val="32"/>
          <w:lang w:val="en-US" w:eastAsia="zh-CN"/>
        </w:rPr>
        <w:t>10059.75</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10059.75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年度支出合计</w:t>
      </w:r>
      <w:r>
        <w:rPr>
          <w:rFonts w:hint="eastAsia" w:ascii="仿宋_GB2312" w:hAnsi="Times New Roman" w:eastAsia="仿宋_GB2312" w:cs="DengXian-Regular"/>
          <w:sz w:val="32"/>
          <w:szCs w:val="32"/>
          <w:lang w:val="en-US" w:eastAsia="zh-CN"/>
        </w:rPr>
        <w:t>10059.75</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572.33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5.69</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9487.43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94.31</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10059.75</w:t>
      </w:r>
      <w:r>
        <w:rPr>
          <w:rFonts w:hint="eastAsia" w:ascii="仿宋_GB2312" w:hAnsi="Times New Roman" w:eastAsia="仿宋_GB2312" w:cs="DengXian-Regular"/>
          <w:sz w:val="32"/>
          <w:szCs w:val="32"/>
        </w:rPr>
        <w:t>万元,比202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5095.16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102.63</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lang w:val="en-US" w:eastAsia="zh-CN"/>
        </w:rPr>
        <w:t>项目入驻基础设施建设费用、环境整治费用、安全生产培训、政府性基金建设基础设施等费用增加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10059.75</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5095.16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21.36</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lang w:val="en-US" w:eastAsia="zh-CN"/>
        </w:rPr>
        <w:t>项目入驻基础设施建设费用、环境整治费用、安全生产培训、政府性基金建设基础设施等费用增加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5217.12</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252.53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增长</w:t>
      </w:r>
      <w:r>
        <w:rPr>
          <w:rFonts w:hint="eastAsia" w:ascii="仿宋_GB2312" w:hAnsi="Times New Roman" w:eastAsia="仿宋_GB2312" w:cs="DengXian-Regular"/>
          <w:sz w:val="32"/>
          <w:szCs w:val="32"/>
          <w:lang w:val="en-US" w:eastAsia="zh-CN"/>
        </w:rPr>
        <w:t>5.09</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lang w:val="en-US" w:eastAsia="zh-CN"/>
        </w:rPr>
        <w:t>项目入驻基础设施建设费用、环境整治费用、安全生产培训等费用增加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5217.12</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252.53</w:t>
      </w:r>
      <w:r>
        <w:rPr>
          <w:rFonts w:hint="eastAsia" w:ascii="仿宋_GB2312" w:hAnsi="Times New Roman" w:eastAsia="仿宋_GB2312" w:cs="DengXian-Regular"/>
          <w:sz w:val="32"/>
          <w:szCs w:val="32"/>
        </w:rPr>
        <w:t>元，增长</w:t>
      </w:r>
      <w:r>
        <w:rPr>
          <w:rFonts w:hint="eastAsia" w:ascii="仿宋_GB2312" w:hAnsi="Times New Roman" w:eastAsia="仿宋_GB2312" w:cs="DengXian-Regular"/>
          <w:sz w:val="32"/>
          <w:szCs w:val="32"/>
          <w:lang w:val="en-US" w:eastAsia="zh-CN"/>
        </w:rPr>
        <w:t>5.09</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lang w:val="en-US" w:eastAsia="zh-CN"/>
        </w:rPr>
        <w:t>项目入驻基础设施建设费用、环境整治费用、安全生产培训等费用增加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4842.64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4842.64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申请</w:t>
      </w:r>
      <w:r>
        <w:rPr>
          <w:rFonts w:hint="eastAsia" w:ascii="仿宋_GB2312" w:hAnsi="Times New Roman" w:eastAsia="仿宋_GB2312" w:cs="DengXian-Regular"/>
          <w:sz w:val="32"/>
          <w:szCs w:val="32"/>
          <w:lang w:eastAsia="zh-CN"/>
        </w:rPr>
        <w:t>基础设施建设债券资金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4842.64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4842.64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支出基础设施建设债券资金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10059.75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376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7388.02</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Wingdings"/>
          <w:sz w:val="32"/>
          <w:szCs w:val="32"/>
          <w:lang w:val="en-US" w:eastAsia="zh-CN"/>
        </w:rPr>
        <w:t>项目入驻基础设施建设费用、环境整治费用、安全生产培训、申请债券资金用于基础设施建设等费用增加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10059.75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376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7388.02</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Wingdings"/>
          <w:sz w:val="32"/>
          <w:szCs w:val="32"/>
          <w:lang w:val="en-US" w:eastAsia="zh-CN"/>
        </w:rPr>
        <w:t>项目入驻基础设施建设费用、环境整治费用、安全生产培训、申请债券资金用于基础设施建设等费用增加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195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2545.39</w:t>
      </w:r>
      <w:r>
        <w:rPr>
          <w:rFonts w:hint="eastAsia" w:ascii="仿宋_GB2312" w:hAnsi="Times New Roman" w:eastAsia="仿宋_GB2312" w:cs="DengXian-Regular"/>
          <w:sz w:val="32"/>
          <w:szCs w:val="32"/>
        </w:rPr>
        <w:t>万元，主要是</w:t>
      </w:r>
      <w:r>
        <w:rPr>
          <w:rFonts w:hint="eastAsia" w:ascii="仿宋_GB2312" w:hAnsi="Times New Roman" w:eastAsia="仿宋_GB2312" w:cs="Wingdings"/>
          <w:sz w:val="32"/>
          <w:szCs w:val="32"/>
          <w:lang w:val="en-US" w:eastAsia="zh-CN"/>
        </w:rPr>
        <w:t>项目入驻基础设施建设费用、环境整治费用、安全生产培训等费用增加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195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2545.39</w:t>
      </w:r>
      <w:r>
        <w:rPr>
          <w:rFonts w:hint="eastAsia" w:ascii="仿宋_GB2312" w:hAnsi="Times New Roman" w:eastAsia="仿宋_GB2312" w:cs="DengXian-Regular"/>
          <w:sz w:val="32"/>
          <w:szCs w:val="32"/>
        </w:rPr>
        <w:t>万元，主要是</w:t>
      </w:r>
      <w:r>
        <w:rPr>
          <w:rFonts w:hint="eastAsia" w:ascii="仿宋_GB2312" w:hAnsi="Times New Roman" w:eastAsia="仿宋_GB2312" w:cs="Wingdings"/>
          <w:sz w:val="32"/>
          <w:szCs w:val="32"/>
          <w:lang w:val="en-US" w:eastAsia="zh-CN"/>
        </w:rPr>
        <w:t>项目入驻基础设施建设费用、环境整治费用、安全生产培训等费用增加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2.政府性基金预算财政拨款本年收入比年初预算增加</w:t>
      </w:r>
      <w:r>
        <w:rPr>
          <w:rFonts w:hint="eastAsia" w:ascii="仿宋_GB2312" w:hAnsi="Times New Roman" w:eastAsia="仿宋_GB2312" w:cs="DengXian-Regular"/>
          <w:sz w:val="32"/>
          <w:szCs w:val="32"/>
          <w:lang w:val="en-US" w:eastAsia="zh-CN"/>
        </w:rPr>
        <w:t>4842.64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申请</w:t>
      </w:r>
      <w:r>
        <w:rPr>
          <w:rFonts w:hint="eastAsia" w:ascii="仿宋_GB2312" w:hAnsi="Times New Roman" w:eastAsia="仿宋_GB2312" w:cs="DengXian-Regular"/>
          <w:sz w:val="32"/>
          <w:szCs w:val="32"/>
          <w:lang w:eastAsia="zh-CN"/>
        </w:rPr>
        <w:t>基础设施建设债券资金</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eastAsia="zh-CN"/>
        </w:rPr>
        <w:t>比</w:t>
      </w:r>
      <w:r>
        <w:rPr>
          <w:rFonts w:hint="eastAsia" w:ascii="仿宋_GB2312" w:hAnsi="Times New Roman" w:eastAsia="仿宋_GB2312" w:cs="DengXian-Regular"/>
          <w:sz w:val="32"/>
          <w:szCs w:val="32"/>
        </w:rPr>
        <w:t>年初预算增加</w:t>
      </w:r>
      <w:r>
        <w:rPr>
          <w:rFonts w:hint="eastAsia" w:ascii="仿宋_GB2312" w:hAnsi="Times New Roman" w:eastAsia="仿宋_GB2312" w:cs="DengXian-Regular"/>
          <w:sz w:val="32"/>
          <w:szCs w:val="32"/>
          <w:lang w:val="en-US" w:eastAsia="zh-CN"/>
        </w:rPr>
        <w:t>4842.64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支出</w:t>
      </w:r>
      <w:r>
        <w:rPr>
          <w:rFonts w:hint="eastAsia" w:ascii="仿宋_GB2312" w:hAnsi="Times New Roman" w:eastAsia="仿宋_GB2312" w:cs="DengXian-Regular"/>
          <w:sz w:val="32"/>
          <w:szCs w:val="32"/>
          <w:lang w:eastAsia="zh-CN"/>
        </w:rPr>
        <w:t>基础设施建设债券资金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10059.75</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一般公共服务支出</w:t>
      </w:r>
      <w:r>
        <w:rPr>
          <w:rFonts w:hint="eastAsia" w:ascii="仿宋_GB2312" w:hAnsi="Times New Roman" w:eastAsia="仿宋_GB2312" w:cs="DengXian-Regular"/>
          <w:sz w:val="32"/>
          <w:szCs w:val="32"/>
          <w:lang w:val="en-US" w:eastAsia="zh-CN"/>
        </w:rPr>
        <w:t>1786.32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17.76</w:t>
      </w:r>
      <w:r>
        <w:rPr>
          <w:rFonts w:hint="eastAsia" w:ascii="仿宋_GB2312" w:hAnsi="Times New Roman" w:eastAsia="仿宋_GB2312" w:cs="DengXian-Regular"/>
          <w:sz w:val="32"/>
          <w:szCs w:val="32"/>
        </w:rPr>
        <w:t>%，主要用于</w:t>
      </w:r>
      <w:r>
        <w:rPr>
          <w:rFonts w:hint="eastAsia" w:ascii="仿宋" w:hAnsi="仿宋" w:eastAsia="仿宋" w:cs="仿宋"/>
          <w:color w:val="auto"/>
          <w:sz w:val="32"/>
          <w:szCs w:val="32"/>
        </w:rPr>
        <w:t>办公区的日常维修、办公用房水电费、邮电费、办公用房取暖费、办公用房物业管理费等日常运行支出</w:t>
      </w:r>
      <w:r>
        <w:rPr>
          <w:rFonts w:hint="eastAsia" w:ascii="仿宋_GB2312" w:hAnsi="Times New Roman" w:eastAsia="仿宋_GB2312" w:cs="DengXian-Regular"/>
          <w:sz w:val="32"/>
          <w:szCs w:val="32"/>
        </w:rPr>
        <w:t>；社会保障和就业支出</w:t>
      </w:r>
      <w:r>
        <w:rPr>
          <w:rFonts w:hint="eastAsia" w:ascii="仿宋_GB2312" w:hAnsi="Times New Roman" w:eastAsia="仿宋_GB2312" w:cs="DengXian-Regular"/>
          <w:sz w:val="32"/>
          <w:szCs w:val="32"/>
          <w:lang w:val="en-US" w:eastAsia="zh-CN"/>
        </w:rPr>
        <w:t>72.2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0.72</w:t>
      </w:r>
      <w:r>
        <w:rPr>
          <w:rFonts w:hint="eastAsia" w:ascii="仿宋_GB2312" w:hAnsi="Times New Roman" w:eastAsia="仿宋_GB2312" w:cs="DengXian-Regular"/>
          <w:sz w:val="32"/>
          <w:szCs w:val="32"/>
        </w:rPr>
        <w:t>%，主要用于</w:t>
      </w:r>
      <w:r>
        <w:rPr>
          <w:rFonts w:hint="eastAsia" w:ascii="仿宋" w:hAnsi="仿宋" w:eastAsia="仿宋" w:cs="仿宋"/>
          <w:color w:val="auto"/>
          <w:sz w:val="32"/>
          <w:szCs w:val="32"/>
          <w:lang w:eastAsia="zh-CN"/>
        </w:rPr>
        <w:t>招商引资、项目建设、园区公共设施维护、环境管理、绿化日常维护、迎检活动安排、信访矛盾处理</w:t>
      </w:r>
      <w:r>
        <w:rPr>
          <w:rFonts w:hint="eastAsia" w:ascii="仿宋_GB2312" w:hAnsi="Times New Roman" w:eastAsia="仿宋_GB2312" w:cs="DengXian-Regular"/>
          <w:sz w:val="32"/>
          <w:szCs w:val="32"/>
        </w:rPr>
        <w:t>等支出；</w:t>
      </w:r>
      <w:r>
        <w:rPr>
          <w:rFonts w:hint="eastAsia" w:ascii="仿宋_GB2312" w:hAnsi="Times New Roman" w:eastAsia="仿宋_GB2312" w:cs="DengXian-Regular"/>
          <w:sz w:val="32"/>
          <w:szCs w:val="32"/>
          <w:lang w:eastAsia="zh-CN"/>
        </w:rPr>
        <w:t>卫生健康支出</w:t>
      </w:r>
      <w:r>
        <w:rPr>
          <w:rFonts w:hint="eastAsia" w:ascii="仿宋_GB2312" w:hAnsi="Times New Roman" w:eastAsia="仿宋_GB2312" w:cs="DengXian-Regular"/>
          <w:sz w:val="32"/>
          <w:szCs w:val="32"/>
          <w:lang w:val="en-US" w:eastAsia="zh-CN"/>
        </w:rPr>
        <w:t>7.8万元，占0.08%，主要用于购买防疫消杀三轮车；</w:t>
      </w:r>
      <w:r>
        <w:rPr>
          <w:rFonts w:hint="eastAsia" w:ascii="仿宋_GB2312" w:hAnsi="Times New Roman" w:eastAsia="仿宋_GB2312" w:cs="DengXian-Regular"/>
          <w:sz w:val="32"/>
          <w:szCs w:val="32"/>
        </w:rPr>
        <w:t>城乡社区支出</w:t>
      </w:r>
      <w:r>
        <w:rPr>
          <w:rFonts w:hint="eastAsia" w:ascii="仿宋_GB2312" w:hAnsi="Times New Roman" w:eastAsia="仿宋_GB2312" w:cs="DengXian-Regular"/>
          <w:sz w:val="32"/>
          <w:szCs w:val="32"/>
          <w:lang w:val="en-US" w:eastAsia="zh-CN"/>
        </w:rPr>
        <w:t>3256.8</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32.37</w:t>
      </w:r>
      <w:r>
        <w:rPr>
          <w:rFonts w:hint="eastAsia" w:ascii="仿宋_GB2312" w:hAnsi="Times New Roman" w:eastAsia="仿宋_GB2312" w:cs="DengXian-Regular"/>
          <w:sz w:val="32"/>
          <w:szCs w:val="32"/>
        </w:rPr>
        <w:t>%，主要用于</w:t>
      </w:r>
      <w:r>
        <w:rPr>
          <w:rFonts w:hint="eastAsia" w:ascii="仿宋" w:hAnsi="仿宋" w:eastAsia="仿宋" w:cs="仿宋"/>
          <w:color w:val="auto"/>
          <w:sz w:val="32"/>
          <w:szCs w:val="32"/>
          <w:lang w:eastAsia="zh-CN"/>
        </w:rPr>
        <w:t>园区公共设施维护、环境管理、绿化日常维护、迎检活动安排、信访矛盾处理</w:t>
      </w:r>
      <w:r>
        <w:rPr>
          <w:rFonts w:hint="eastAsia" w:ascii="仿宋_GB2312" w:hAnsi="Times New Roman" w:eastAsia="仿宋_GB2312" w:cs="DengXian-Regular"/>
          <w:sz w:val="32"/>
          <w:szCs w:val="32"/>
        </w:rPr>
        <w:t>等支出；</w:t>
      </w:r>
      <w:r>
        <w:rPr>
          <w:rFonts w:hint="eastAsia" w:ascii="仿宋_GB2312" w:hAnsi="Times New Roman" w:eastAsia="仿宋_GB2312" w:cs="Wingdings"/>
          <w:sz w:val="32"/>
          <w:szCs w:val="32"/>
        </w:rPr>
        <w:t>资源勘探工业信息等支出</w:t>
      </w:r>
      <w:r>
        <w:rPr>
          <w:rFonts w:hint="eastAsia" w:ascii="仿宋_GB2312" w:hAnsi="Times New Roman" w:eastAsia="仿宋_GB2312" w:cs="Wingdings"/>
          <w:sz w:val="32"/>
          <w:szCs w:val="32"/>
          <w:lang w:val="en-US" w:eastAsia="zh-CN"/>
        </w:rPr>
        <w:t>50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0.5</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r>
        <w:rPr>
          <w:rFonts w:hint="eastAsia" w:ascii="仿宋_GB2312" w:hAnsi="Times New Roman" w:eastAsia="仿宋_GB2312" w:cs="DengXian-Regular"/>
          <w:sz w:val="32"/>
          <w:szCs w:val="32"/>
        </w:rPr>
        <w:t>主要用于</w:t>
      </w:r>
      <w:r>
        <w:rPr>
          <w:rFonts w:hint="eastAsia" w:ascii="仿宋" w:hAnsi="仿宋" w:eastAsia="仿宋" w:cs="仿宋"/>
          <w:color w:val="auto"/>
          <w:sz w:val="32"/>
          <w:szCs w:val="32"/>
          <w:lang w:eastAsia="zh-CN"/>
        </w:rPr>
        <w:t>招商引资、项目建设等支出</w:t>
      </w:r>
      <w:r>
        <w:rPr>
          <w:rFonts w:hint="eastAsia" w:ascii="仿宋_GB2312" w:hAnsi="Times New Roman" w:eastAsia="仿宋_GB2312" w:cs="Wingdings"/>
          <w:sz w:val="32"/>
          <w:szCs w:val="32"/>
        </w:rPr>
        <w:t>；商业服务业等支出</w:t>
      </w:r>
      <w:r>
        <w:rPr>
          <w:rFonts w:hint="eastAsia" w:ascii="仿宋_GB2312" w:hAnsi="Times New Roman" w:eastAsia="仿宋_GB2312" w:cs="Wingdings"/>
          <w:sz w:val="32"/>
          <w:szCs w:val="32"/>
          <w:lang w:val="en-US" w:eastAsia="zh-CN"/>
        </w:rPr>
        <w:t>44</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0.44</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，主要用于</w:t>
      </w:r>
      <w:r>
        <w:rPr>
          <w:rFonts w:hint="eastAsia" w:ascii="仿宋" w:hAnsi="仿宋" w:eastAsia="仿宋" w:cs="仿宋"/>
          <w:color w:val="auto"/>
          <w:sz w:val="32"/>
          <w:szCs w:val="32"/>
          <w:lang w:eastAsia="zh-CN"/>
        </w:rPr>
        <w:t>园区公共设施维护、环境管理、绿化日常维护、迎检活动安排、信访矛盾处理</w:t>
      </w:r>
      <w:r>
        <w:rPr>
          <w:rFonts w:hint="eastAsia" w:ascii="仿宋_GB2312" w:hAnsi="Times New Roman" w:eastAsia="仿宋_GB2312" w:cs="DengXian-Regular"/>
          <w:sz w:val="32"/>
          <w:szCs w:val="32"/>
        </w:rPr>
        <w:t>等支出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其他地方自行试点项目收益专项债券收入安排的支出</w:t>
      </w:r>
      <w:r>
        <w:rPr>
          <w:rFonts w:hint="eastAsia" w:ascii="仿宋_GB2312" w:hAnsi="Times New Roman" w:eastAsia="仿宋_GB2312" w:cs="DengXian-Regular"/>
          <w:sz w:val="32"/>
          <w:szCs w:val="32"/>
          <w:lang w:val="en-US" w:eastAsia="zh-CN"/>
        </w:rPr>
        <w:t>4842.64万元，占主要用于园区基础设施建设</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572.33</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471.53</w:t>
      </w:r>
      <w:r>
        <w:rPr>
          <w:rFonts w:hint="eastAsia" w:ascii="仿宋_GB2312" w:hAnsi="Times New Roman" w:eastAsia="仿宋_GB2312" w:cs="DengXian-Regular"/>
          <w:sz w:val="32"/>
          <w:szCs w:val="32"/>
        </w:rPr>
        <w:t>万元，主要包括基本工资、津贴补贴、绩效工资、机关事业单位基本养老保险缴费、职业年金缴费、职工基本医疗保险缴费、公务员医疗补助缴费、住房公积金、医疗费、其他社会保障缴费、抚恤金、生活补助、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100.8</w:t>
      </w:r>
      <w:r>
        <w:rPr>
          <w:rFonts w:hint="eastAsia" w:ascii="仿宋_GB2312" w:hAnsi="Times New Roman" w:eastAsia="仿宋_GB2312" w:cs="DengXian-Regular"/>
          <w:sz w:val="32"/>
          <w:szCs w:val="32"/>
        </w:rPr>
        <w:t>万元，主要包括办公费、印刷费、咨询费、手续费、水费、电费、差旅费、培训费、专用材料费、劳务费、委托业务费、工会经费、公务用车运行维护费、其他商品和服务支出、办公设备购置、专用设备购置。</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与预算持平</w:t>
      </w:r>
      <w:r>
        <w:rPr>
          <w:rFonts w:hint="eastAsia" w:ascii="仿宋_GB2312" w:hAnsi="Times New Roman" w:eastAsia="仿宋_GB2312" w:cs="DengXian-Regular"/>
          <w:sz w:val="32"/>
          <w:szCs w:val="32"/>
        </w:rPr>
        <w:t>；较2021年度决算增加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lang w:val="en-US" w:eastAsia="zh-CN"/>
        </w:rPr>
        <w:t>2021年度决算支出持平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因公出国（境）</w:t>
      </w:r>
      <w:r>
        <w:rPr>
          <w:rFonts w:hint="eastAsia" w:ascii="仿宋_GB2312" w:hAnsi="Times New Roman" w:eastAsia="仿宋_GB2312" w:cs="DengXian-Regular"/>
          <w:sz w:val="32"/>
          <w:szCs w:val="32"/>
        </w:rPr>
        <w:t>’经费支出；较上年增加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因公出国（境）</w:t>
      </w:r>
      <w:r>
        <w:rPr>
          <w:rFonts w:hint="eastAsia" w:ascii="仿宋_GB2312" w:hAnsi="Times New Roman" w:eastAsia="仿宋_GB2312" w:cs="DengXian-Regular"/>
          <w:sz w:val="32"/>
          <w:szCs w:val="32"/>
        </w:rPr>
        <w:t>’经费支出。其中因公出国（境）团组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%,主要是,主要是</w:t>
      </w:r>
      <w:r>
        <w:rPr>
          <w:rFonts w:hint="eastAsia" w:ascii="仿宋_GB2312" w:hAnsi="Times New Roman" w:eastAsia="仿宋_GB2312" w:cs="Wingdings"/>
          <w:sz w:val="32"/>
          <w:szCs w:val="32"/>
          <w:lang w:val="en-US" w:eastAsia="zh-CN"/>
        </w:rPr>
        <w:t>严格执行公务用车管理规定</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lang w:val="en-US" w:eastAsia="zh-CN"/>
        </w:rPr>
        <w:t>与2021年度决算支出持平</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highlight w:val="yellow"/>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未发生“公务用车购置”经费支出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未发生“公务用车购置”经费支出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2</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lang w:val="en-US" w:eastAsia="zh-CN"/>
        </w:rPr>
        <w:t>严格执行公务用车管理规定</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w:t>
      </w:r>
      <w:r>
        <w:rPr>
          <w:rFonts w:hint="eastAsia" w:ascii="仿宋_GB2312" w:hAnsi="Times New Roman" w:eastAsia="仿宋_GB2312" w:cs="DengXian-Regular"/>
          <w:sz w:val="32"/>
          <w:szCs w:val="32"/>
          <w:lang w:eastAsia="zh-CN"/>
        </w:rPr>
        <w:t>接待费</w:t>
      </w:r>
      <w:r>
        <w:rPr>
          <w:rFonts w:hint="eastAsia" w:ascii="仿宋_GB2312" w:hAnsi="Times New Roman" w:eastAsia="仿宋_GB2312" w:cs="DengXian-Regular"/>
          <w:sz w:val="32"/>
          <w:szCs w:val="32"/>
        </w:rPr>
        <w:t>’经费支出</w:t>
      </w:r>
      <w:r>
        <w:rPr>
          <w:rFonts w:hint="eastAsia" w:ascii="仿宋_GB2312" w:hAnsi="Times New Roman" w:eastAsia="仿宋_GB2312" w:cs="DengXian-Regular"/>
          <w:sz w:val="32"/>
          <w:szCs w:val="32"/>
          <w:lang w:eastAsia="zh-CN"/>
        </w:rPr>
        <w:t>，与预算持平</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w:t>
      </w:r>
      <w:r>
        <w:rPr>
          <w:rFonts w:hint="eastAsia" w:ascii="仿宋_GB2312" w:hAnsi="Times New Roman" w:eastAsia="仿宋_GB2312" w:cs="DengXian-Regular"/>
          <w:sz w:val="32"/>
          <w:szCs w:val="32"/>
          <w:lang w:eastAsia="zh-CN"/>
        </w:rPr>
        <w:t>接待费</w:t>
      </w:r>
      <w:r>
        <w:rPr>
          <w:rFonts w:hint="eastAsia" w:ascii="仿宋_GB2312" w:hAnsi="Times New Roman" w:eastAsia="仿宋_GB2312" w:cs="DengXian-Regular"/>
          <w:sz w:val="32"/>
          <w:szCs w:val="32"/>
        </w:rPr>
        <w:t>’经费支出</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lang w:val="en-US" w:eastAsia="zh-CN"/>
        </w:rPr>
        <w:t>2021年度决算支出持平</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100.8</w:t>
      </w:r>
      <w:r>
        <w:rPr>
          <w:rFonts w:hint="eastAsia" w:ascii="仿宋_GB2312" w:hAnsi="Times New Roman" w:eastAsia="仿宋_GB2312" w:cs="DengXian-Regular"/>
          <w:sz w:val="32"/>
          <w:szCs w:val="32"/>
        </w:rPr>
        <w:t>万元，比2021年度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0.55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0.5</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32"/>
          <w:szCs w:val="32"/>
          <w:lang w:val="en-US" w:eastAsia="zh-CN"/>
        </w:rPr>
        <w:t>日常办公及人员保险支出增加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204.35</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204.35</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204.35</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100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与2021年持平</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5183.1276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99.35</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eastAsia="zh-CN"/>
        </w:rPr>
        <w:t>基础设施建设</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4842.64</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widowControl/>
        <w:suppressLineNumbers w:val="0"/>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成安经济开发区高端装备制造产业</w:t>
      </w:r>
      <w:bookmarkStart w:id="0" w:name="_GoBack"/>
      <w:bookmarkEnd w:id="0"/>
      <w:r>
        <w:rPr>
          <w:rFonts w:hint="eastAsia" w:ascii="仿宋_GB2312" w:hAnsi="仿宋_GB2312" w:eastAsia="仿宋_GB2312" w:cs="仿宋_GB2312"/>
          <w:sz w:val="32"/>
          <w:szCs w:val="32"/>
          <w:lang w:eastAsia="zh-CN"/>
        </w:rPr>
        <w:t>园控制性详细规划编制项目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个一级项目开展了重点评价，涉及一般公共预算支出</w:t>
      </w:r>
      <w:r>
        <w:rPr>
          <w:rFonts w:hint="eastAsia" w:ascii="仿宋_GB2312" w:hAnsi="仿宋_GB2312" w:eastAsia="仿宋_GB2312" w:cs="仿宋_GB2312"/>
          <w:sz w:val="32"/>
          <w:szCs w:val="32"/>
          <w:lang w:val="en-US" w:eastAsia="zh-CN"/>
        </w:rPr>
        <w:t>5183.1276</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4842.64</w:t>
      </w:r>
      <w:r>
        <w:rPr>
          <w:rFonts w:hint="eastAsia" w:ascii="仿宋_GB2312" w:hAnsi="仿宋_GB2312" w:eastAsia="仿宋_GB2312" w:cs="仿宋_GB2312"/>
          <w:sz w:val="32"/>
          <w:szCs w:val="32"/>
        </w:rPr>
        <w:t>万元。其中，对“</w:t>
      </w:r>
      <w:r>
        <w:rPr>
          <w:rFonts w:hint="eastAsia" w:ascii="仿宋_GB2312" w:hAnsi="仿宋_GB2312" w:eastAsia="仿宋_GB2312" w:cs="仿宋_GB2312"/>
          <w:sz w:val="32"/>
          <w:szCs w:val="32"/>
          <w:lang w:eastAsia="zh-CN"/>
        </w:rPr>
        <w:t>成安经济开发区高端装备制造产业园控制性详细规划编制项目</w:t>
      </w:r>
      <w:r>
        <w:rPr>
          <w:rFonts w:hint="eastAsia" w:ascii="仿宋_GB2312" w:hAnsi="仿宋_GB2312" w:eastAsia="仿宋_GB2312" w:cs="仿宋_GB2312"/>
          <w:sz w:val="32"/>
          <w:szCs w:val="32"/>
        </w:rPr>
        <w:t>”“成安经济开发区隔离点生活物资采购费用项目”等项目部内评审机构开展绩效评价。从评价情况来看，</w:t>
      </w:r>
      <w:r>
        <w:rPr>
          <w:rFonts w:ascii="仿宋" w:hAnsi="仿宋" w:eastAsia="仿宋" w:cs="仿宋"/>
          <w:color w:val="000000"/>
          <w:kern w:val="0"/>
          <w:sz w:val="30"/>
          <w:szCs w:val="30"/>
          <w:lang w:val="en-US" w:eastAsia="zh-CN" w:bidi="ar"/>
        </w:rPr>
        <w:t>开发区各项部门职责和</w:t>
      </w:r>
      <w:r>
        <w:rPr>
          <w:rFonts w:hint="eastAsia" w:ascii="仿宋" w:hAnsi="仿宋" w:eastAsia="仿宋" w:cs="仿宋"/>
          <w:color w:val="000000"/>
          <w:kern w:val="0"/>
          <w:sz w:val="30"/>
          <w:szCs w:val="30"/>
          <w:lang w:val="en-US" w:eastAsia="zh-CN" w:bidi="ar"/>
        </w:rPr>
        <w:t>工作活动符合国家和县委县政府有关要求，组织管理到位，较好完成了各项绩效目标。开发区认真落实相关政策，积极发挥资金效益,根据评价指标进行了量化考核，自评得分 95 分，综合评价结果为优。</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本部门在今年部门决算公开中反映成安经济开发区高端装备制造产业园控制性详细规划编制项目项目及成安经济开发区隔离点生活物资采购费用项目等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成安经济开发区高端装备制造产业园控制性详细规划编制项目项目自评综述：根据年初设定的绩效目标，成安经济开发区高端装备制造产业园控制性详细规划编制项目项目项目绩效自评得分为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23.74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23.74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如通过项目实施，完成了年初设定的各项绩效目标，完成产业规范可为园区从产业发展历史、现状和趋势出发明确规划产业发展方向和发展目标。未发现问题。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成安经济开发区隔离点生活物资采购费用项目绩效自评综述根据年初设定的绩效目标，成安经济开发区高端装备制造产业园控制性详细规划编制项目项目项目绩效自评得分为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19.9623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19.9623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如通过项目实施，完成了年初设定的各项绩效目标，完成有备无患平战结合、常态防控适应适用、完善隔离配套设施确保满足疫情防控需要目标。未发现问题。</w:t>
      </w:r>
    </w:p>
    <w:p>
      <w:pPr>
        <w:numPr>
          <w:ilvl w:val="0"/>
          <w:numId w:val="1"/>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none"/>
        </w:rPr>
        <w:t>部门</w:t>
      </w:r>
      <w:r>
        <w:rPr>
          <w:rFonts w:hint="eastAsia" w:ascii="仿宋_GB2312" w:hAnsi="仿宋_GB2312" w:eastAsia="仿宋_GB2312" w:cs="仿宋_GB2312"/>
          <w:b/>
          <w:bCs/>
          <w:sz w:val="32"/>
          <w:szCs w:val="32"/>
        </w:rPr>
        <w:t>评价项目绩效评价结果</w:t>
      </w:r>
    </w:p>
    <w:p>
      <w:pPr>
        <w:numPr>
          <w:ilvl w:val="0"/>
          <w:numId w:val="0"/>
        </w:numPr>
        <w:adjustRightInd w:val="0"/>
        <w:snapToGrid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较好</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本部门2022年度国有资本经营预算财政拨款支出决算表无收支及结转结余情况，故</w:t>
      </w:r>
      <w:r>
        <w:rPr>
          <w:rFonts w:hint="eastAsia" w:ascii="仿宋_GB2312" w:hAnsi="Times New Roman" w:eastAsia="仿宋_GB2312" w:cs="DengXian-Regular"/>
          <w:sz w:val="32"/>
          <w:szCs w:val="32"/>
          <w:lang w:val="en-US" w:eastAsia="zh-CN"/>
        </w:rPr>
        <w:t>08</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1552"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0"/>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QsImhkaWQiOiJlMDJhNjQ2NGUxZGI4MTA2ZDE1MmRjMzAwZGU0YzZhOSIsInVzZXJDb3VudCI6MTZ9"/>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F2691F"/>
    <w:rsid w:val="05273E55"/>
    <w:rsid w:val="06CE0F41"/>
    <w:rsid w:val="06EB1AB6"/>
    <w:rsid w:val="099D6B31"/>
    <w:rsid w:val="09FD66D9"/>
    <w:rsid w:val="0FCF5569"/>
    <w:rsid w:val="10B242CF"/>
    <w:rsid w:val="118122A3"/>
    <w:rsid w:val="11F4604E"/>
    <w:rsid w:val="12AE0133"/>
    <w:rsid w:val="12B148F4"/>
    <w:rsid w:val="136D16FB"/>
    <w:rsid w:val="13AA21BF"/>
    <w:rsid w:val="17AE079D"/>
    <w:rsid w:val="1A3D2C72"/>
    <w:rsid w:val="1C060502"/>
    <w:rsid w:val="1F0B73BF"/>
    <w:rsid w:val="216937C4"/>
    <w:rsid w:val="298605CB"/>
    <w:rsid w:val="2A4A5F69"/>
    <w:rsid w:val="2CEF036C"/>
    <w:rsid w:val="325A3905"/>
    <w:rsid w:val="32A31C4C"/>
    <w:rsid w:val="32B53CA7"/>
    <w:rsid w:val="33CD2241"/>
    <w:rsid w:val="34967CFD"/>
    <w:rsid w:val="39C2416B"/>
    <w:rsid w:val="3B744E3E"/>
    <w:rsid w:val="3BBB7F72"/>
    <w:rsid w:val="3DC91A1B"/>
    <w:rsid w:val="3F235BB1"/>
    <w:rsid w:val="3F6419F4"/>
    <w:rsid w:val="3F663581"/>
    <w:rsid w:val="42A44BF6"/>
    <w:rsid w:val="4571549B"/>
    <w:rsid w:val="471274FD"/>
    <w:rsid w:val="49717ADD"/>
    <w:rsid w:val="4A51609B"/>
    <w:rsid w:val="4C194D3B"/>
    <w:rsid w:val="4D304C6C"/>
    <w:rsid w:val="4F2A6A41"/>
    <w:rsid w:val="500373A2"/>
    <w:rsid w:val="507C6383"/>
    <w:rsid w:val="53AD746D"/>
    <w:rsid w:val="561769D4"/>
    <w:rsid w:val="58D844B0"/>
    <w:rsid w:val="59777658"/>
    <w:rsid w:val="5D553F05"/>
    <w:rsid w:val="5F4A1A8C"/>
    <w:rsid w:val="60075621"/>
    <w:rsid w:val="602001C2"/>
    <w:rsid w:val="60CE32E1"/>
    <w:rsid w:val="638909B5"/>
    <w:rsid w:val="63B67647"/>
    <w:rsid w:val="646E27E8"/>
    <w:rsid w:val="64C00985"/>
    <w:rsid w:val="65225D26"/>
    <w:rsid w:val="658F136B"/>
    <w:rsid w:val="65DB5CBA"/>
    <w:rsid w:val="674E6C15"/>
    <w:rsid w:val="67636EEB"/>
    <w:rsid w:val="697609B2"/>
    <w:rsid w:val="69F4671F"/>
    <w:rsid w:val="6BA53F12"/>
    <w:rsid w:val="6CBF282C"/>
    <w:rsid w:val="706922F1"/>
    <w:rsid w:val="73335BEE"/>
    <w:rsid w:val="734B3BFA"/>
    <w:rsid w:val="73753308"/>
    <w:rsid w:val="739B1C0F"/>
    <w:rsid w:val="79442C5B"/>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99"/>
    <w:pPr>
      <w:ind w:firstLine="630"/>
    </w:pPr>
  </w:style>
  <w:style w:type="paragraph" w:styleId="4">
    <w:name w:val="Balloon Text"/>
    <w:basedOn w:val="1"/>
    <w:link w:val="19"/>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7">
    <w:name w:val="Body Text First Indent 2"/>
    <w:basedOn w:val="3"/>
    <w:next w:val="1"/>
    <w:qFormat/>
    <w:uiPriority w:val="99"/>
    <w:pPr>
      <w:ind w:left="200" w:leftChars="200" w:firstLine="420" w:firstLineChars="200"/>
    </w:pPr>
    <w:rPr>
      <w:rFonts w:ascii="Times New Roman"/>
    </w:rPr>
  </w:style>
  <w:style w:type="table" w:styleId="9">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脚 Char"/>
    <w:basedOn w:val="10"/>
    <w:link w:val="5"/>
    <w:qFormat/>
    <w:uiPriority w:val="0"/>
    <w:rPr>
      <w:kern w:val="2"/>
      <w:sz w:val="18"/>
      <w:szCs w:val="18"/>
    </w:rPr>
  </w:style>
  <w:style w:type="character" w:customStyle="1" w:styleId="12">
    <w:name w:val="页眉 Char"/>
    <w:basedOn w:val="10"/>
    <w:link w:val="6"/>
    <w:qFormat/>
    <w:uiPriority w:val="0"/>
    <w:rPr>
      <w:kern w:val="2"/>
      <w:sz w:val="18"/>
      <w:szCs w:val="18"/>
    </w:rPr>
  </w:style>
  <w:style w:type="character" w:customStyle="1" w:styleId="13">
    <w:name w:val="font11"/>
    <w:basedOn w:val="10"/>
    <w:qFormat/>
    <w:uiPriority w:val="0"/>
    <w:rPr>
      <w:rFonts w:hint="eastAsia" w:ascii="宋体" w:hAnsi="宋体" w:eastAsia="宋体" w:cs="宋体"/>
      <w:color w:val="000000"/>
      <w:sz w:val="20"/>
      <w:szCs w:val="20"/>
      <w:u w:val="none"/>
    </w:rPr>
  </w:style>
  <w:style w:type="character" w:customStyle="1" w:styleId="14">
    <w:name w:val="font01"/>
    <w:basedOn w:val="10"/>
    <w:qFormat/>
    <w:uiPriority w:val="0"/>
    <w:rPr>
      <w:rFonts w:hint="eastAsia" w:ascii="宋体" w:hAnsi="宋体" w:eastAsia="宋体" w:cs="宋体"/>
      <w:color w:val="000000"/>
      <w:sz w:val="22"/>
      <w:szCs w:val="22"/>
      <w:u w:val="none"/>
    </w:rPr>
  </w:style>
  <w:style w:type="character" w:customStyle="1" w:styleId="15">
    <w:name w:val="font41"/>
    <w:basedOn w:val="10"/>
    <w:qFormat/>
    <w:uiPriority w:val="0"/>
    <w:rPr>
      <w:rFonts w:hint="eastAsia" w:ascii="宋体" w:hAnsi="宋体" w:eastAsia="宋体" w:cs="宋体"/>
      <w:color w:val="000000"/>
      <w:sz w:val="24"/>
      <w:szCs w:val="24"/>
      <w:u w:val="none"/>
    </w:rPr>
  </w:style>
  <w:style w:type="character" w:customStyle="1" w:styleId="16">
    <w:name w:val="font31"/>
    <w:basedOn w:val="10"/>
    <w:qFormat/>
    <w:uiPriority w:val="0"/>
    <w:rPr>
      <w:rFonts w:hint="eastAsia" w:ascii="华文中宋" w:hAnsi="华文中宋" w:eastAsia="华文中宋" w:cs="华文中宋"/>
      <w:color w:val="000000"/>
      <w:sz w:val="32"/>
      <w:szCs w:val="32"/>
      <w:u w:val="none"/>
    </w:rPr>
  </w:style>
  <w:style w:type="character" w:customStyle="1" w:styleId="17">
    <w:name w:val="font91"/>
    <w:basedOn w:val="10"/>
    <w:qFormat/>
    <w:uiPriority w:val="0"/>
    <w:rPr>
      <w:rFonts w:hint="eastAsia" w:ascii="华文中宋" w:hAnsi="华文中宋" w:eastAsia="华文中宋" w:cs="华文中宋"/>
      <w:color w:val="000000"/>
      <w:sz w:val="32"/>
      <w:szCs w:val="32"/>
      <w:u w:val="none"/>
    </w:rPr>
  </w:style>
  <w:style w:type="character" w:customStyle="1" w:styleId="18">
    <w:name w:val="font51"/>
    <w:basedOn w:val="10"/>
    <w:qFormat/>
    <w:uiPriority w:val="0"/>
    <w:rPr>
      <w:rFonts w:hint="eastAsia" w:ascii="宋体" w:hAnsi="宋体" w:eastAsia="宋体" w:cs="宋体"/>
      <w:color w:val="000000"/>
      <w:sz w:val="24"/>
      <w:szCs w:val="24"/>
      <w:u w:val="none"/>
    </w:rPr>
  </w:style>
  <w:style w:type="character" w:customStyle="1" w:styleId="19">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2021-2022</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0985949908368968"/>
          <c:y val="0.0385474860335196"/>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t>4964.59</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t>10059.75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4964.58</c:v>
                </c:pt>
                <c:pt idx="1">
                  <c:v>10059.75</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14</TotalTime>
  <ScaleCrop>false</ScaleCrop>
  <LinksUpToDate>false</LinksUpToDate>
  <CharactersWithSpaces>11927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Lenovo</cp:lastModifiedBy>
  <cp:lastPrinted>2023-08-04T01:00:00Z</cp:lastPrinted>
  <dcterms:modified xsi:type="dcterms:W3CDTF">2023-12-11T06:44:34Z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v1.0_mb_S7ajbG3IpAnL1wSthNCxfw==</vt:lpwstr>
  </property>
  <property fmtid="{D5CDD505-2E9C-101B-9397-08002B2CF9AE}" pid="4" name="ICV">
    <vt:lpwstr>1515CEFC20754C3380B382230295B456</vt:lpwstr>
  </property>
</Properties>
</file>