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drawing>
          <wp:anchor distT="0" distB="0" distL="114300" distR="114300" simplePos="0" relativeHeight="251659264" behindDoc="0" locked="0" layoutInCell="1" allowOverlap="1">
            <wp:simplePos x="0" y="0"/>
            <wp:positionH relativeFrom="margin">
              <wp:posOffset>-2626995</wp:posOffset>
            </wp:positionH>
            <wp:positionV relativeFrom="margin">
              <wp:posOffset>495300</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4"/>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161001</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成安县人民法院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161001</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成安县人民法院</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jc w:val="center"/>
        <w:rPr>
          <w:rFonts w:ascii="黑体" w:hAnsi="黑体" w:eastAsia="黑体" w:cs="黑体"/>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4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1、审判法律、法令规定由县人民法院管辖的第一审刑事、民事、经济、行政等案件。</w:t>
      </w:r>
    </w:p>
    <w:p>
      <w:pPr>
        <w:spacing w:line="5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2、依法受理和审查各类申诉案件：审理各类再审案件，处理来信来访。</w:t>
      </w:r>
    </w:p>
    <w:p>
      <w:pPr>
        <w:spacing w:line="5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3、依法办理发生法律效力的经济、民事、行政案件判决和裁定的执行事项以及刑事案件判决和裁定中有关财产部分的执行事项、办理法律规定由法院执行的其他法律文书的执行事项。</w:t>
      </w:r>
    </w:p>
    <w:p>
      <w:pPr>
        <w:spacing w:line="5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4、监督、指导基层法庭的审判工作。</w:t>
      </w:r>
    </w:p>
    <w:p>
      <w:pPr>
        <w:spacing w:line="5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5、指导法院思想政治工作，教育培训工作，按照权限管理法官、执行员、书记员、司法警察及司法行政人员，协同县主管部门管理人民法院的机构设置，人员编制工作。 </w:t>
      </w:r>
    </w:p>
    <w:p>
      <w:pPr>
        <w:spacing w:line="5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6、管理法院有关经费和物资装备。</w:t>
      </w:r>
    </w:p>
    <w:p>
      <w:pPr>
        <w:spacing w:line="5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7、结合审判工作宣传法制、教育公民忠于社会主义祖国，自觉地遵守宪法、法律和社会公德，参与社会治安综合治理。</w:t>
      </w:r>
    </w:p>
    <w:p>
      <w:pPr>
        <w:spacing w:line="5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8、承办其他应由县人民法院负责的工作。</w:t>
      </w:r>
    </w:p>
    <w:p>
      <w:pPr>
        <w:widowControl/>
        <w:spacing w:line="360" w:lineRule="auto"/>
        <w:ind w:firstLine="640" w:firstLineChars="20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（1）办公室</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 xml:space="preserve">     主要负责：协助院领导、协调、处理司法公务。办理院党组会、审判委员会、院务会和院长办公室等会议事项。负责院内重大活动的对外宣传、联络工作，办理其他有关事宜。</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（2）政治处</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协助有关部门管理本院机构编制，党建和干部人事管理工作，负责本院非法官录用和进人审核工作，配合有关部门搞好本院机关的思想政治宣传教育工作，负责管理人事档案，人事信息采集、干部人事统计工作。</w:t>
      </w:r>
    </w:p>
    <w:p>
      <w:pPr>
        <w:widowControl/>
        <w:spacing w:line="360" w:lineRule="auto"/>
        <w:ind w:firstLine="640" w:firstLineChars="20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（3）立案庭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主要负责：对本院依法受理的各类案件分别进行审查，登记立案依法处理有关程序方面的案件，办理诉前保全，证据保全。</w:t>
      </w:r>
    </w:p>
    <w:p>
      <w:pPr>
        <w:widowControl/>
        <w:spacing w:line="360" w:lineRule="auto"/>
        <w:ind w:firstLine="640" w:firstLineChars="20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（4）刑事审判庭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主要负责：依法审理第一审危害国家安全、危害公共安全，破坏社会主任经济秩序，处理与之案件相关的来信来访。</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 xml:space="preserve">    （5）民事审判第一庭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主要负责：依法审判第一审婚姻家庭、继承、债权债务 、人身权利、劳动争议纠纷的案件；指导基层人法法庭的工作和人民调教委员会工作。</w:t>
      </w:r>
    </w:p>
    <w:p>
      <w:pPr>
        <w:widowControl/>
        <w:spacing w:line="360" w:lineRule="auto"/>
        <w:ind w:firstLine="640" w:firstLineChars="20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（6）民事审判第二庭</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主要负责：依法审理第一审合同、证券、票据、期货股票、金融债券、交通运输，为企业破产兼并、改制、优化资本结构等经济体制改革提供法律服务，处理与之案件相关的来信来访。</w:t>
      </w:r>
    </w:p>
    <w:p>
      <w:pPr>
        <w:widowControl/>
        <w:spacing w:line="360" w:lineRule="auto"/>
        <w:ind w:firstLine="640" w:firstLineChars="20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（7）行政审判庭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主要负责：依法审理涉及土地、治安、工商、税务、卫生、文化环保、交通、城建、烟草、计划生育等第一审行政案件。</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（8）审判监督庭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主要负责：依法审理不服本院生效裁判的刑事、民事、行政再审案件；审理人民检察院抗诉的刑事、民事、行政再审案件。</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（9）执行庭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主要负责：执行本院第一审生效判决、裁定及调解协议中关于财产的决定，执行法律规定由本院执行的案件。</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（10）司法警察大队</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主要负责：负责本院司法警察警务和行政管理工作，警卫法庭、押解犯人，送达有关法律文书，执行死刑，协助执行庭执行案件，配合审判庭有关事项。</w:t>
      </w:r>
    </w:p>
    <w:p>
      <w:pPr>
        <w:widowControl/>
        <w:spacing w:line="360" w:lineRule="auto"/>
        <w:ind w:firstLine="640"/>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（1</w:t>
      </w:r>
      <w:r>
        <w:rPr>
          <w:rFonts w:hint="eastAsia" w:ascii="仿宋_GB2312" w:hAnsi="仿宋_GB2312" w:eastAsia="仿宋_GB2312" w:cs="仿宋_GB2312"/>
          <w:bCs/>
          <w:kern w:val="0"/>
          <w:sz w:val="32"/>
          <w:szCs w:val="32"/>
          <w:lang w:val="en-US" w:eastAsia="zh-CN" w:bidi="ar"/>
        </w:rPr>
        <w:t>1</w:t>
      </w:r>
      <w:r>
        <w:rPr>
          <w:rFonts w:hint="eastAsia" w:ascii="仿宋_GB2312" w:hAnsi="仿宋_GB2312" w:eastAsia="仿宋_GB2312" w:cs="仿宋_GB2312"/>
          <w:bCs/>
          <w:kern w:val="0"/>
          <w:sz w:val="32"/>
          <w:szCs w:val="32"/>
          <w:lang w:bidi="ar"/>
        </w:rPr>
        <w:t>）少年庭</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主要负责：依法审理本院管辖的少年刑事一审案件，办理其他少年刑事审判工作事项。</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 xml:space="preserve">    （1</w:t>
      </w:r>
      <w:r>
        <w:rPr>
          <w:rFonts w:hint="eastAsia" w:ascii="仿宋_GB2312" w:hAnsi="仿宋_GB2312" w:eastAsia="仿宋_GB2312" w:cs="仿宋_GB2312"/>
          <w:bCs/>
          <w:kern w:val="0"/>
          <w:sz w:val="32"/>
          <w:szCs w:val="32"/>
          <w:lang w:val="en-US" w:eastAsia="zh-CN" w:bidi="ar"/>
        </w:rPr>
        <w:t>2</w:t>
      </w:r>
      <w:r>
        <w:rPr>
          <w:rFonts w:hint="eastAsia" w:ascii="仿宋_GB2312" w:hAnsi="仿宋_GB2312" w:eastAsia="仿宋_GB2312" w:cs="仿宋_GB2312"/>
          <w:bCs/>
          <w:kern w:val="0"/>
          <w:sz w:val="32"/>
          <w:szCs w:val="32"/>
          <w:lang w:bidi="ar"/>
        </w:rPr>
        <w:t>）信访办公室</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主要负责：接待上访当事人，排查化解信访隐患。交办督办信访案件。</w:t>
      </w:r>
    </w:p>
    <w:p>
      <w:pPr>
        <w:widowControl/>
        <w:spacing w:line="360" w:lineRule="auto"/>
        <w:jc w:val="left"/>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 xml:space="preserve">    （1</w:t>
      </w:r>
      <w:r>
        <w:rPr>
          <w:rFonts w:hint="eastAsia" w:ascii="仿宋_GB2312" w:hAnsi="仿宋_GB2312" w:eastAsia="仿宋_GB2312" w:cs="仿宋_GB2312"/>
          <w:bCs/>
          <w:kern w:val="0"/>
          <w:sz w:val="32"/>
          <w:szCs w:val="32"/>
          <w:lang w:val="en-US" w:eastAsia="zh-CN" w:bidi="ar"/>
        </w:rPr>
        <w:t>3</w:t>
      </w:r>
      <w:r>
        <w:rPr>
          <w:rFonts w:hint="eastAsia" w:ascii="仿宋_GB2312" w:hAnsi="仿宋_GB2312" w:eastAsia="仿宋_GB2312" w:cs="仿宋_GB2312"/>
          <w:bCs/>
          <w:kern w:val="0"/>
          <w:sz w:val="32"/>
          <w:szCs w:val="32"/>
          <w:lang w:bidi="ar"/>
        </w:rPr>
        <w:t>）审判管理办公室</w:t>
      </w:r>
    </w:p>
    <w:p>
      <w:pPr>
        <w:widowControl/>
        <w:spacing w:line="360" w:lineRule="auto"/>
        <w:ind w:firstLine="627" w:firstLineChars="196"/>
        <w:jc w:val="left"/>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主要负责：利用审判管理软件对审判质量和效率进行综合评估。负责审判案件流程管理监控，对超审判与临近超审判限案件进行并监督完成。</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成安县人民法院</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财政拨款</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a:stretch>
                      <a:fillRect/>
                    </a:stretch>
                  </pic:blipFill>
                  <pic:spPr>
                    <a:xfrm>
                      <a:off x="0" y="0"/>
                      <a:ext cx="579120" cy="579120"/>
                    </a:xfrm>
                    <a:prstGeom prst="rect">
                      <a:avLst/>
                    </a:prstGeom>
                  </pic:spPr>
                </pic:pic>
              </a:graphicData>
            </a:graphic>
          </wp:anchor>
        </w:drawing>
      </w:r>
      <w:r>
        <w:rPr>
          <w:rFonts w:hint="eastAsia" w:ascii="Times New Roman" w:hAnsi="Times New Roman" w:eastAsia="黑体" w:cs="Times New Roman"/>
          <w:sz w:val="32"/>
          <w:szCs w:val="32"/>
          <w:lang w:val="en-US" w:eastAsia="zh-CN"/>
        </w:rPr>
        <w:t xml:space="preserve">  </w:t>
      </w:r>
    </w:p>
    <w:p>
      <w:pPr>
        <w:widowControl/>
        <w:spacing w:after="160" w:line="580" w:lineRule="exact"/>
        <w:ind w:firstLine="640" w:firstLineChars="200"/>
        <w:rPr>
          <w:rFonts w:hint="eastAsia" w:ascii="Times New Roman" w:hAnsi="Times New Roman" w:eastAsia="黑体" w:cs="Times New Roman"/>
          <w:sz w:val="32"/>
          <w:szCs w:val="32"/>
          <w:lang w:val="en-US" w:eastAsia="zh-CN"/>
        </w:rPr>
      </w:pPr>
    </w:p>
    <w:p>
      <w:pPr>
        <w:widowControl/>
        <w:spacing w:after="160" w:line="580" w:lineRule="exact"/>
        <w:ind w:firstLine="640" w:firstLineChars="200"/>
        <w:rPr>
          <w:rFonts w:hint="eastAsia" w:ascii="Times New Roman" w:hAnsi="Times New Roman" w:eastAsia="黑体" w:cs="Times New Roman"/>
          <w:sz w:val="32"/>
          <w:szCs w:val="32"/>
          <w:lang w:val="en-US" w:eastAsia="zh-CN"/>
        </w:rPr>
      </w:pPr>
    </w:p>
    <w:p>
      <w:pPr>
        <w:widowControl/>
        <w:spacing w:after="160" w:line="580" w:lineRule="exact"/>
        <w:ind w:firstLine="640" w:firstLineChars="200"/>
        <w:rPr>
          <w:rFonts w:hint="eastAsia" w:ascii="Times New Roman" w:hAnsi="Times New Roman" w:eastAsia="黑体" w:cs="Times New Roman"/>
          <w:sz w:val="32"/>
          <w:szCs w:val="32"/>
          <w:lang w:val="en-US" w:eastAsia="zh-CN"/>
        </w:rPr>
      </w:pPr>
    </w:p>
    <w:p>
      <w:pPr>
        <w:widowControl/>
        <w:spacing w:after="160" w:line="580" w:lineRule="exact"/>
        <w:ind w:firstLine="640" w:firstLineChars="200"/>
        <w:rPr>
          <w:rFonts w:hint="eastAsia" w:ascii="Times New Roman" w:hAnsi="Times New Roman" w:eastAsia="黑体" w:cs="Times New Roman"/>
          <w:sz w:val="32"/>
          <w:szCs w:val="32"/>
          <w:lang w:val="en-US" w:eastAsia="zh-CN"/>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340"/>
        <w:gridCol w:w="1451"/>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5823"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3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right="-103" w:rightChars="-49"/>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947</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31"/>
              </w:tabs>
              <w:jc w:val="left"/>
              <w:rPr>
                <w:rFonts w:hint="default" w:ascii="宋体" w:hAnsi="宋体" w:eastAsia="宋体" w:cs="宋体"/>
                <w:color w:val="000000"/>
                <w:sz w:val="22"/>
                <w:lang w:val="en-US" w:eastAsia="zh-CN"/>
              </w:rPr>
            </w:pPr>
            <w:r>
              <w:rPr>
                <w:rFonts w:hint="eastAsia" w:ascii="宋体" w:hAnsi="宋体" w:eastAsia="宋体" w:cs="宋体"/>
                <w:color w:val="000000"/>
                <w:sz w:val="22"/>
                <w:lang w:eastAsia="zh-CN"/>
              </w:rPr>
              <w:tab/>
            </w: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91"/>
              </w:tabs>
              <w:ind w:right="-365" w:rightChars="-174"/>
              <w:jc w:val="center"/>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2</w:t>
            </w:r>
            <w:r>
              <w:rPr>
                <w:rFonts w:hint="eastAsia" w:ascii="宋体" w:hAnsi="宋体" w:eastAsia="宋体" w:cs="宋体"/>
                <w:color w:val="000000"/>
                <w:sz w:val="22"/>
                <w:lang w:val="en-US" w:eastAsia="zh-CN"/>
              </w:rPr>
              <w:t>,</w:t>
            </w:r>
            <w:r>
              <w:rPr>
                <w:rFonts w:hint="default" w:ascii="宋体" w:hAnsi="宋体" w:eastAsia="宋体" w:cs="宋体"/>
                <w:color w:val="000000"/>
                <w:sz w:val="22"/>
                <w:lang w:val="en-US" w:eastAsia="zh-CN"/>
              </w:rPr>
              <w:t>067</w:t>
            </w:r>
            <w:r>
              <w:rPr>
                <w:rFonts w:hint="eastAsia" w:ascii="宋体" w:hAnsi="宋体" w:eastAsia="宋体" w:cs="宋体"/>
                <w:color w:val="000000"/>
                <w:sz w:val="22"/>
                <w:lang w:val="en-US" w:eastAsia="zh-CN"/>
              </w:rPr>
              <w:t>.</w:t>
            </w:r>
            <w:r>
              <w:rPr>
                <w:rFonts w:hint="default" w:ascii="宋体" w:hAnsi="宋体" w:eastAsia="宋体" w:cs="宋体"/>
                <w:color w:val="000000"/>
                <w:sz w:val="22"/>
                <w:lang w:val="en-US" w:eastAsia="zh-CN"/>
              </w:rPr>
              <w:t>94</w:t>
            </w: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2</w:t>
            </w:r>
            <w:r>
              <w:rPr>
                <w:rFonts w:hint="eastAsia" w:ascii="宋体" w:hAnsi="宋体" w:eastAsia="宋体" w:cs="宋体"/>
                <w:b/>
                <w:color w:val="000000"/>
                <w:sz w:val="22"/>
                <w:lang w:val="en-US" w:eastAsia="zh-CN"/>
              </w:rPr>
              <w:t>,</w:t>
            </w:r>
            <w:r>
              <w:rPr>
                <w:rFonts w:hint="eastAsia" w:ascii="宋体" w:hAnsi="宋体" w:eastAsia="宋体" w:cs="宋体"/>
                <w:b/>
                <w:color w:val="000000"/>
                <w:sz w:val="22"/>
              </w:rPr>
              <w:t>067</w:t>
            </w:r>
            <w:r>
              <w:rPr>
                <w:rFonts w:hint="eastAsia" w:ascii="宋体" w:hAnsi="宋体" w:eastAsia="宋体" w:cs="宋体"/>
                <w:b/>
                <w:color w:val="000000"/>
                <w:sz w:val="22"/>
                <w:lang w:val="en-US" w:eastAsia="zh-CN"/>
              </w:rPr>
              <w:t>.</w:t>
            </w:r>
            <w:r>
              <w:rPr>
                <w:rFonts w:hint="eastAsia" w:ascii="宋体" w:hAnsi="宋体" w:eastAsia="宋体" w:cs="宋体"/>
                <w:b/>
                <w:color w:val="000000"/>
                <w:sz w:val="22"/>
              </w:rPr>
              <w:t>94</w:t>
            </w: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5823"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152" w:type="dxa"/>
        <w:tblInd w:w="0" w:type="dxa"/>
        <w:tblLayout w:type="fixed"/>
        <w:tblCellMar>
          <w:top w:w="15" w:type="dxa"/>
          <w:left w:w="15" w:type="dxa"/>
          <w:bottom w:w="15" w:type="dxa"/>
          <w:right w:w="15" w:type="dxa"/>
        </w:tblCellMar>
      </w:tblPr>
      <w:tblGrid>
        <w:gridCol w:w="555"/>
        <w:gridCol w:w="549"/>
        <w:gridCol w:w="1590"/>
        <w:gridCol w:w="1695"/>
        <w:gridCol w:w="1620"/>
        <w:gridCol w:w="825"/>
        <w:gridCol w:w="1080"/>
        <w:gridCol w:w="1080"/>
        <w:gridCol w:w="1080"/>
        <w:gridCol w:w="965"/>
        <w:gridCol w:w="113"/>
      </w:tblGrid>
      <w:tr>
        <w:tblPrEx>
          <w:tblCellMar>
            <w:top w:w="15" w:type="dxa"/>
            <w:left w:w="15" w:type="dxa"/>
            <w:bottom w:w="15" w:type="dxa"/>
            <w:right w:w="15" w:type="dxa"/>
          </w:tblCellMar>
        </w:tblPrEx>
        <w:trPr>
          <w:gridAfter w:val="1"/>
          <w:wAfter w:w="113" w:type="dxa"/>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49" w:type="dxa"/>
            <w:shd w:val="clear" w:color="auto" w:fill="FFFFFF"/>
            <w:vAlign w:val="center"/>
          </w:tcPr>
          <w:p>
            <w:pPr>
              <w:jc w:val="right"/>
              <w:rPr>
                <w:rFonts w:ascii="宋体" w:hAnsi="宋体" w:eastAsia="宋体" w:cs="宋体"/>
                <w:color w:val="000000"/>
                <w:sz w:val="24"/>
              </w:rPr>
            </w:pPr>
          </w:p>
        </w:tc>
        <w:tc>
          <w:tcPr>
            <w:tcW w:w="1590" w:type="dxa"/>
            <w:shd w:val="clear" w:color="auto" w:fill="FFFFFF"/>
            <w:vAlign w:val="center"/>
          </w:tcPr>
          <w:p>
            <w:pPr>
              <w:jc w:val="right"/>
              <w:rPr>
                <w:rFonts w:ascii="宋体" w:hAnsi="宋体" w:eastAsia="宋体" w:cs="宋体"/>
                <w:color w:val="000000"/>
                <w:sz w:val="24"/>
              </w:rPr>
            </w:pPr>
          </w:p>
        </w:tc>
        <w:tc>
          <w:tcPr>
            <w:tcW w:w="1695" w:type="dxa"/>
            <w:shd w:val="clear" w:color="auto" w:fill="FFFFFF"/>
            <w:vAlign w:val="center"/>
          </w:tcPr>
          <w:p>
            <w:pPr>
              <w:jc w:val="right"/>
              <w:rPr>
                <w:rFonts w:ascii="宋体" w:hAnsi="宋体" w:eastAsia="宋体" w:cs="宋体"/>
                <w:color w:val="000000"/>
                <w:sz w:val="24"/>
              </w:rPr>
            </w:pPr>
          </w:p>
        </w:tc>
        <w:tc>
          <w:tcPr>
            <w:tcW w:w="1620" w:type="dxa"/>
            <w:shd w:val="clear" w:color="auto" w:fill="FFFFFF"/>
            <w:vAlign w:val="center"/>
          </w:tcPr>
          <w:p>
            <w:pPr>
              <w:jc w:val="right"/>
              <w:rPr>
                <w:rFonts w:ascii="宋体" w:hAnsi="宋体" w:eastAsia="宋体" w:cs="宋体"/>
                <w:color w:val="000000"/>
                <w:sz w:val="24"/>
              </w:rPr>
            </w:pPr>
          </w:p>
        </w:tc>
        <w:tc>
          <w:tcPr>
            <w:tcW w:w="82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49" w:type="dxa"/>
            <w:shd w:val="clear" w:color="auto" w:fill="FFFFFF"/>
            <w:vAlign w:val="center"/>
          </w:tcPr>
          <w:p>
            <w:pPr>
              <w:jc w:val="right"/>
              <w:rPr>
                <w:rFonts w:ascii="宋体" w:hAnsi="宋体" w:eastAsia="宋体" w:cs="宋体"/>
                <w:color w:val="000000"/>
                <w:sz w:val="24"/>
              </w:rPr>
            </w:pPr>
          </w:p>
        </w:tc>
        <w:tc>
          <w:tcPr>
            <w:tcW w:w="1590" w:type="dxa"/>
            <w:shd w:val="clear" w:color="auto" w:fill="FFFFFF"/>
            <w:vAlign w:val="center"/>
          </w:tcPr>
          <w:p>
            <w:pPr>
              <w:jc w:val="right"/>
              <w:rPr>
                <w:rFonts w:ascii="宋体" w:hAnsi="宋体" w:eastAsia="宋体" w:cs="宋体"/>
                <w:color w:val="000000"/>
                <w:sz w:val="24"/>
              </w:rPr>
            </w:pPr>
          </w:p>
        </w:tc>
        <w:tc>
          <w:tcPr>
            <w:tcW w:w="1695" w:type="dxa"/>
            <w:shd w:val="clear" w:color="auto" w:fill="FFFFFF"/>
            <w:vAlign w:val="center"/>
          </w:tcPr>
          <w:p>
            <w:pPr>
              <w:jc w:val="right"/>
              <w:rPr>
                <w:rFonts w:ascii="宋体" w:hAnsi="宋体" w:eastAsia="宋体" w:cs="宋体"/>
                <w:color w:val="000000"/>
                <w:sz w:val="24"/>
              </w:rPr>
            </w:pPr>
          </w:p>
        </w:tc>
        <w:tc>
          <w:tcPr>
            <w:tcW w:w="162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82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6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10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6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6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w:t>
            </w:r>
            <w:r>
              <w:rPr>
                <w:rFonts w:hint="eastAsia" w:ascii="宋体" w:hAnsi="宋体" w:eastAsia="宋体" w:cs="宋体"/>
                <w:color w:val="000000"/>
                <w:sz w:val="24"/>
              </w:rPr>
              <w:tab/>
            </w:r>
            <w:r>
              <w:rPr>
                <w:rFonts w:hint="eastAsia" w:ascii="宋体" w:hAnsi="宋体" w:eastAsia="宋体" w:cs="宋体"/>
                <w:color w:val="000000"/>
                <w:sz w:val="24"/>
              </w:rPr>
              <w:tab/>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2"/>
              </w:rPr>
              <w:t>公共安全支出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20405</w:t>
            </w:r>
            <w:r>
              <w:rPr>
                <w:rFonts w:hint="eastAsia" w:ascii="宋体" w:hAnsi="宋体" w:eastAsia="宋体" w:cs="宋体"/>
                <w:color w:val="000000"/>
                <w:sz w:val="24"/>
              </w:rPr>
              <w:tab/>
            </w:r>
            <w:r>
              <w:rPr>
                <w:rFonts w:hint="eastAsia" w:ascii="宋体" w:hAnsi="宋体" w:eastAsia="宋体" w:cs="宋体"/>
                <w:color w:val="000000"/>
                <w:sz w:val="24"/>
              </w:rPr>
              <w:tab/>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法院</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中宋" w:hAnsi="华文中宋" w:eastAsia="华文中宋" w:cs="华文中宋"/>
                <w:color w:val="000000"/>
                <w:sz w:val="24"/>
              </w:rPr>
            </w:pPr>
            <w:r>
              <w:rPr>
                <w:rFonts w:hint="eastAsia" w:ascii="华文中宋" w:hAnsi="华文中宋" w:eastAsia="华文中宋" w:cs="华文中宋"/>
                <w:color w:val="000000"/>
                <w:sz w:val="24"/>
              </w:rPr>
              <w:t>2</w:t>
            </w:r>
            <w:r>
              <w:rPr>
                <w:rFonts w:hint="eastAsia" w:ascii="华文中宋" w:hAnsi="华文中宋" w:eastAsia="华文中宋" w:cs="华文中宋"/>
                <w:color w:val="000000"/>
                <w:sz w:val="24"/>
                <w:lang w:val="en-US" w:eastAsia="zh-CN"/>
              </w:rPr>
              <w:t>,</w:t>
            </w:r>
            <w:r>
              <w:rPr>
                <w:rFonts w:hint="eastAsia" w:ascii="华文中宋" w:hAnsi="华文中宋" w:eastAsia="华文中宋" w:cs="华文中宋"/>
                <w:color w:val="000000"/>
                <w:sz w:val="24"/>
              </w:rPr>
              <w:t>067</w:t>
            </w:r>
            <w:r>
              <w:rPr>
                <w:rFonts w:hint="eastAsia" w:ascii="华文中宋" w:hAnsi="华文中宋" w:eastAsia="华文中宋" w:cs="华文中宋"/>
                <w:color w:val="000000"/>
                <w:sz w:val="24"/>
                <w:lang w:val="en-US" w:eastAsia="zh-CN"/>
              </w:rPr>
              <w:t>.</w:t>
            </w:r>
            <w:r>
              <w:rPr>
                <w:rFonts w:hint="eastAsia" w:ascii="华文中宋" w:hAnsi="华文中宋" w:eastAsia="华文中宋" w:cs="华文中宋"/>
                <w:color w:val="000000"/>
                <w:sz w:val="24"/>
              </w:rPr>
              <w:t>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2040501</w:t>
            </w:r>
            <w:r>
              <w:rPr>
                <w:rFonts w:hint="eastAsia" w:ascii="宋体" w:hAnsi="宋体" w:eastAsia="宋体" w:cs="宋体"/>
                <w:color w:val="000000"/>
                <w:sz w:val="24"/>
              </w:rPr>
              <w:tab/>
            </w:r>
            <w:r>
              <w:rPr>
                <w:rFonts w:hint="eastAsia" w:ascii="宋体" w:hAnsi="宋体" w:eastAsia="宋体" w:cs="宋体"/>
                <w:color w:val="000000"/>
                <w:sz w:val="24"/>
              </w:rPr>
              <w:tab/>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行政运行</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2040504</w:t>
            </w:r>
            <w:r>
              <w:rPr>
                <w:rFonts w:hint="eastAsia" w:ascii="宋体" w:hAnsi="宋体" w:eastAsia="宋体" w:cs="宋体"/>
                <w:color w:val="000000"/>
                <w:sz w:val="24"/>
              </w:rPr>
              <w:tab/>
            </w:r>
            <w:r>
              <w:rPr>
                <w:rFonts w:hint="eastAsia" w:ascii="宋体" w:hAnsi="宋体" w:eastAsia="宋体" w:cs="宋体"/>
                <w:color w:val="000000"/>
                <w:sz w:val="24"/>
              </w:rPr>
              <w:tab/>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 xml:space="preserve">  案件审判</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1"/>
          <w:wAfter w:w="113" w:type="dxa"/>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478"/>
        <w:gridCol w:w="1605"/>
        <w:gridCol w:w="1590"/>
        <w:gridCol w:w="1605"/>
        <w:gridCol w:w="1545"/>
        <w:gridCol w:w="658"/>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478" w:type="dxa"/>
            <w:shd w:val="clear" w:color="auto" w:fill="FFFFFF"/>
            <w:vAlign w:val="center"/>
          </w:tcPr>
          <w:p>
            <w:pPr>
              <w:jc w:val="right"/>
              <w:rPr>
                <w:rFonts w:ascii="宋体" w:hAnsi="宋体" w:eastAsia="宋体" w:cs="宋体"/>
                <w:color w:val="000000"/>
                <w:sz w:val="24"/>
              </w:rPr>
            </w:pPr>
          </w:p>
        </w:tc>
        <w:tc>
          <w:tcPr>
            <w:tcW w:w="1605" w:type="dxa"/>
            <w:shd w:val="clear" w:color="auto" w:fill="FFFFFF"/>
            <w:vAlign w:val="center"/>
          </w:tcPr>
          <w:p>
            <w:pPr>
              <w:jc w:val="right"/>
              <w:rPr>
                <w:rFonts w:ascii="宋体" w:hAnsi="宋体" w:eastAsia="宋体" w:cs="宋体"/>
                <w:color w:val="000000"/>
                <w:sz w:val="24"/>
              </w:rPr>
            </w:pPr>
          </w:p>
        </w:tc>
        <w:tc>
          <w:tcPr>
            <w:tcW w:w="1590" w:type="dxa"/>
            <w:shd w:val="clear" w:color="auto" w:fill="FFFFFF"/>
            <w:vAlign w:val="center"/>
          </w:tcPr>
          <w:p>
            <w:pPr>
              <w:jc w:val="right"/>
              <w:rPr>
                <w:rFonts w:ascii="宋体" w:hAnsi="宋体" w:eastAsia="宋体" w:cs="宋体"/>
                <w:color w:val="000000"/>
                <w:sz w:val="24"/>
              </w:rPr>
            </w:pPr>
          </w:p>
        </w:tc>
        <w:tc>
          <w:tcPr>
            <w:tcW w:w="1605" w:type="dxa"/>
            <w:shd w:val="clear" w:color="auto" w:fill="FFFFFF"/>
            <w:vAlign w:val="center"/>
          </w:tcPr>
          <w:p>
            <w:pPr>
              <w:jc w:val="right"/>
              <w:rPr>
                <w:rFonts w:ascii="宋体" w:hAnsi="宋体" w:eastAsia="宋体" w:cs="宋体"/>
                <w:color w:val="000000"/>
                <w:sz w:val="24"/>
              </w:rPr>
            </w:pPr>
          </w:p>
        </w:tc>
        <w:tc>
          <w:tcPr>
            <w:tcW w:w="1545" w:type="dxa"/>
            <w:shd w:val="clear" w:color="auto" w:fill="FFFFFF"/>
            <w:vAlign w:val="center"/>
          </w:tcPr>
          <w:p>
            <w:pPr>
              <w:jc w:val="right"/>
              <w:rPr>
                <w:rFonts w:ascii="宋体" w:hAnsi="宋体" w:eastAsia="宋体" w:cs="宋体"/>
                <w:color w:val="000000"/>
                <w:sz w:val="24"/>
              </w:rPr>
            </w:pPr>
          </w:p>
        </w:tc>
        <w:tc>
          <w:tcPr>
            <w:tcW w:w="658"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78" w:type="dxa"/>
            <w:shd w:val="clear" w:color="auto" w:fill="FFFFFF"/>
            <w:vAlign w:val="center"/>
          </w:tcPr>
          <w:p>
            <w:pPr>
              <w:jc w:val="right"/>
              <w:rPr>
                <w:rFonts w:ascii="宋体" w:hAnsi="宋体" w:eastAsia="宋体" w:cs="宋体"/>
                <w:color w:val="000000"/>
                <w:sz w:val="24"/>
              </w:rPr>
            </w:pPr>
          </w:p>
        </w:tc>
        <w:tc>
          <w:tcPr>
            <w:tcW w:w="1605" w:type="dxa"/>
            <w:shd w:val="clear" w:color="auto" w:fill="FFFFFF"/>
            <w:vAlign w:val="center"/>
          </w:tcPr>
          <w:p>
            <w:pPr>
              <w:jc w:val="right"/>
              <w:rPr>
                <w:rFonts w:ascii="宋体" w:hAnsi="宋体" w:eastAsia="宋体" w:cs="宋体"/>
                <w:color w:val="000000"/>
                <w:sz w:val="24"/>
              </w:rPr>
            </w:pPr>
          </w:p>
        </w:tc>
        <w:tc>
          <w:tcPr>
            <w:tcW w:w="159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545" w:type="dxa"/>
            <w:shd w:val="clear" w:color="auto" w:fill="FFFFFF"/>
            <w:vAlign w:val="center"/>
          </w:tcPr>
          <w:p>
            <w:pPr>
              <w:jc w:val="center"/>
              <w:rPr>
                <w:rFonts w:ascii="宋体" w:hAnsi="宋体" w:eastAsia="宋体" w:cs="宋体"/>
                <w:color w:val="000000"/>
                <w:sz w:val="20"/>
                <w:szCs w:val="20"/>
              </w:rPr>
            </w:pPr>
          </w:p>
        </w:tc>
        <w:tc>
          <w:tcPr>
            <w:tcW w:w="658"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7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1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7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6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7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204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公共安全支出</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20405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法院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2040501</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行政运行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2040504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案件审判</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549"/>
        <w:gridCol w:w="315"/>
        <w:gridCol w:w="1215"/>
        <w:gridCol w:w="247"/>
        <w:gridCol w:w="1592"/>
        <w:gridCol w:w="319"/>
        <w:gridCol w:w="319"/>
        <w:gridCol w:w="156"/>
        <w:gridCol w:w="1156"/>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75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07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jc w:val="both"/>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w:t>
            </w:r>
            <w:r>
              <w:rPr>
                <w:rFonts w:hint="eastAsia" w:ascii="宋体" w:hAnsi="宋体" w:eastAsia="宋体" w:cs="宋体"/>
                <w:color w:val="000000"/>
                <w:sz w:val="22"/>
              </w:rPr>
              <w:t>067</w:t>
            </w:r>
            <w:r>
              <w:rPr>
                <w:rFonts w:hint="eastAsia" w:ascii="宋体" w:hAnsi="宋体" w:eastAsia="宋体" w:cs="宋体"/>
                <w:color w:val="000000"/>
                <w:sz w:val="22"/>
                <w:lang w:val="en-US" w:eastAsia="zh-CN"/>
              </w:rPr>
              <w:t>.</w:t>
            </w:r>
            <w:r>
              <w:rPr>
                <w:rFonts w:hint="eastAsia" w:ascii="宋体" w:hAnsi="宋体" w:eastAsia="宋体" w:cs="宋体"/>
                <w:color w:val="000000"/>
                <w:sz w:val="22"/>
              </w:rPr>
              <w:t>94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4"/>
            <w:shd w:val="clear" w:color="auto" w:fill="FFFFFF"/>
            <w:vAlign w:val="center"/>
          </w:tcPr>
          <w:p>
            <w:pPr>
              <w:rPr>
                <w:rFonts w:ascii="宋体" w:hAnsi="宋体" w:eastAsia="宋体" w:cs="宋体"/>
                <w:color w:val="000000"/>
                <w:sz w:val="20"/>
                <w:szCs w:val="20"/>
              </w:rPr>
            </w:pP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238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公共安全支出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20405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法院</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067</w:t>
            </w:r>
            <w:r>
              <w:rPr>
                <w:rFonts w:hint="eastAsia" w:ascii="宋体" w:hAnsi="宋体" w:eastAsia="宋体" w:cs="宋体"/>
                <w:color w:val="000000"/>
                <w:sz w:val="24"/>
                <w:lang w:val="en-US" w:eastAsia="zh-CN"/>
              </w:rPr>
              <w:t>.</w:t>
            </w:r>
            <w:r>
              <w:rPr>
                <w:rFonts w:hint="eastAsia" w:ascii="宋体" w:hAnsi="宋体" w:eastAsia="宋体" w:cs="宋体"/>
                <w:color w:val="000000"/>
                <w:sz w:val="24"/>
              </w:rPr>
              <w:t>94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r>
      <w:tr>
        <w:tblPrEx>
          <w:tblCellMar>
            <w:top w:w="15" w:type="dxa"/>
            <w:left w:w="15" w:type="dxa"/>
            <w:bottom w:w="15" w:type="dxa"/>
            <w:right w:w="15" w:type="dxa"/>
          </w:tblCellMar>
        </w:tblPrEx>
        <w:trPr>
          <w:gridAfter w:val="1"/>
          <w:wAfter w:w="3338" w:type="dxa"/>
          <w:trHeight w:val="509"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2040501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行政运行</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696</w:t>
            </w:r>
            <w:r>
              <w:rPr>
                <w:rFonts w:hint="eastAsia" w:ascii="宋体" w:hAnsi="宋体" w:eastAsia="宋体" w:cs="宋体"/>
                <w:color w:val="000000"/>
                <w:sz w:val="24"/>
                <w:lang w:val="en-US" w:eastAsia="zh-CN"/>
              </w:rPr>
              <w:t>.</w:t>
            </w:r>
            <w:r>
              <w:rPr>
                <w:rFonts w:hint="eastAsia" w:ascii="宋体" w:hAnsi="宋体" w:eastAsia="宋体" w:cs="宋体"/>
                <w:color w:val="000000"/>
                <w:sz w:val="24"/>
              </w:rPr>
              <w:t>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2040504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案件审判</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371</w:t>
            </w:r>
            <w:r>
              <w:rPr>
                <w:rFonts w:hint="eastAsia" w:ascii="宋体" w:hAnsi="宋体" w:eastAsia="宋体" w:cs="宋体"/>
                <w:color w:val="000000"/>
                <w:sz w:val="24"/>
                <w:lang w:val="en-US" w:eastAsia="zh-CN"/>
              </w:rPr>
              <w:t>.</w:t>
            </w:r>
            <w:r>
              <w:rPr>
                <w:rFonts w:hint="eastAsia" w:ascii="宋体" w:hAnsi="宋体" w:eastAsia="宋体" w:cs="宋体"/>
                <w:color w:val="000000"/>
                <w:sz w:val="24"/>
              </w:rPr>
              <w:t>18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087"/>
        <w:gridCol w:w="913"/>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087" w:type="dxa"/>
            <w:shd w:val="clear" w:color="auto" w:fill="FFFFFF"/>
            <w:vAlign w:val="center"/>
          </w:tcPr>
          <w:p>
            <w:pPr>
              <w:jc w:val="center"/>
              <w:rPr>
                <w:rFonts w:ascii="宋体" w:hAnsi="宋体" w:eastAsia="宋体" w:cs="宋体"/>
                <w:color w:val="000000"/>
                <w:sz w:val="20"/>
                <w:szCs w:val="20"/>
              </w:rPr>
            </w:pPr>
          </w:p>
        </w:tc>
        <w:tc>
          <w:tcPr>
            <w:tcW w:w="913"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087" w:type="dxa"/>
            <w:shd w:val="clear" w:color="auto" w:fill="auto"/>
            <w:vAlign w:val="center"/>
          </w:tcPr>
          <w:p>
            <w:pPr>
              <w:rPr>
                <w:rFonts w:ascii="宋体" w:hAnsi="宋体" w:eastAsia="宋体" w:cs="宋体"/>
                <w:color w:val="000000"/>
                <w:sz w:val="20"/>
                <w:szCs w:val="20"/>
              </w:rPr>
            </w:pPr>
          </w:p>
        </w:tc>
        <w:tc>
          <w:tcPr>
            <w:tcW w:w="913"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1,228.38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415.87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722.09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40.84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98.78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24.86</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210.65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0.65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7.29</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67.60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0.38</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23.62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41.40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77.06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125.26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18.15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55.77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47.33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1,256.04</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440.73</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注：本部门本年度无政府性基金预算财政拨款收入、支出及结转和结余情况，按要求空表列示。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注：本部门本年度无国有资本经营预算财政拨款支出情况，按要求空表列示。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356"/>
        <w:gridCol w:w="240"/>
        <w:gridCol w:w="1767"/>
      </w:tblGrid>
      <w:tr>
        <w:tblPrEx>
          <w:tblCellMar>
            <w:top w:w="15" w:type="dxa"/>
            <w:left w:w="15" w:type="dxa"/>
            <w:bottom w:w="15" w:type="dxa"/>
            <w:right w:w="15" w:type="dxa"/>
          </w:tblCellMar>
        </w:tblPrEx>
        <w:trPr>
          <w:gridAfter w:val="3"/>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939" w:type="dxa"/>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356"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68" w:type="dxa"/>
            <w:gridSpan w:val="2"/>
            <w:shd w:val="clear" w:color="auto" w:fill="FFFFFF"/>
            <w:vAlign w:val="center"/>
          </w:tcPr>
          <w:p>
            <w:pPr>
              <w:jc w:val="center"/>
              <w:rPr>
                <w:rFonts w:ascii="宋体" w:hAnsi="宋体" w:eastAsia="宋体" w:cs="宋体"/>
                <w:color w:val="000000"/>
                <w:sz w:val="20"/>
                <w:szCs w:val="20"/>
              </w:rPr>
            </w:pP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0"/>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3"/>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3"/>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3"/>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3"/>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3"/>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35.60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35.60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35.60</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29</w:t>
            </w:r>
            <w:r>
              <w:rPr>
                <w:rFonts w:hint="eastAsia" w:ascii="宋体" w:hAnsi="宋体" w:eastAsia="宋体" w:cs="宋体"/>
                <w:color w:val="000000"/>
                <w:sz w:val="22"/>
                <w:lang w:val="en-US" w:eastAsia="zh-CN"/>
              </w:rPr>
              <w:t>.</w:t>
            </w:r>
            <w:r>
              <w:rPr>
                <w:rFonts w:hint="eastAsia" w:ascii="宋体" w:hAnsi="宋体" w:eastAsia="宋体" w:cs="宋体"/>
                <w:color w:val="000000"/>
                <w:sz w:val="22"/>
              </w:rPr>
              <w:t>88</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29.88</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29</w:t>
            </w:r>
            <w:r>
              <w:rPr>
                <w:rFonts w:hint="eastAsia" w:ascii="宋体" w:hAnsi="宋体" w:eastAsia="宋体" w:cs="宋体"/>
                <w:color w:val="000000"/>
                <w:sz w:val="22"/>
                <w:lang w:val="en-US" w:eastAsia="zh-CN"/>
              </w:rPr>
              <w:t>.</w:t>
            </w:r>
            <w:r>
              <w:rPr>
                <w:rFonts w:hint="eastAsia" w:ascii="宋体" w:hAnsi="宋体" w:eastAsia="宋体" w:cs="宋体"/>
                <w:color w:val="000000"/>
                <w:sz w:val="22"/>
              </w:rPr>
              <w:t>88</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3"/>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-271145</wp:posOffset>
            </wp:positionH>
            <wp:positionV relativeFrom="margin">
              <wp:posOffset>1649095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a:stretch>
                      <a:fillRect/>
                    </a:stretch>
                  </pic:blipFill>
                  <pic:spPr>
                    <a:xfrm>
                      <a:off x="0" y="0"/>
                      <a:ext cx="660400" cy="660400"/>
                    </a:xfrm>
                    <a:prstGeom prst="rect">
                      <a:avLst/>
                    </a:prstGeom>
                  </pic:spPr>
                </pic:pic>
              </a:graphicData>
            </a:graphic>
          </wp:anchor>
        </w:drawing>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宋体" w:hAnsi="宋体" w:eastAsia="宋体" w:cs="宋体"/>
          <w:color w:val="000000"/>
          <w:sz w:val="32"/>
          <w:szCs w:val="32"/>
        </w:rPr>
        <w:t>2</w:t>
      </w:r>
      <w:r>
        <w:rPr>
          <w:rFonts w:hint="eastAsia" w:ascii="宋体" w:hAnsi="宋体" w:eastAsia="宋体" w:cs="宋体"/>
          <w:color w:val="000000"/>
          <w:sz w:val="32"/>
          <w:szCs w:val="32"/>
          <w:lang w:val="en-US" w:eastAsia="zh-CN"/>
        </w:rPr>
        <w:t>,</w:t>
      </w:r>
      <w:r>
        <w:rPr>
          <w:rFonts w:hint="eastAsia" w:ascii="宋体" w:hAnsi="宋体" w:eastAsia="宋体" w:cs="宋体"/>
          <w:color w:val="000000"/>
          <w:sz w:val="32"/>
          <w:szCs w:val="32"/>
        </w:rPr>
        <w:t>067</w:t>
      </w:r>
      <w:r>
        <w:rPr>
          <w:rFonts w:hint="eastAsia" w:ascii="宋体" w:hAnsi="宋体" w:eastAsia="宋体" w:cs="宋体"/>
          <w:color w:val="000000"/>
          <w:sz w:val="32"/>
          <w:szCs w:val="32"/>
          <w:lang w:val="en-US" w:eastAsia="zh-CN"/>
        </w:rPr>
        <w:t>.</w:t>
      </w:r>
      <w:r>
        <w:rPr>
          <w:rFonts w:hint="eastAsia" w:ascii="宋体" w:hAnsi="宋体" w:eastAsia="宋体" w:cs="宋体"/>
          <w:color w:val="000000"/>
          <w:sz w:val="32"/>
          <w:szCs w:val="32"/>
        </w:rPr>
        <w:t>94</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1,645.67</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55</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本年度无结转和结余</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firstLine="640" w:firstLineChars="200"/>
        <w:jc w:val="left"/>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本部门2022年度收入合计2067.94万元，其中：财政拨款收入2067.94万元，占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firstLine="640" w:firstLineChars="200"/>
        <w:jc w:val="left"/>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本部门2022年度支出合计2067.94万元，其中：基本支出1696.76万元，占</w:t>
      </w:r>
      <w:r>
        <w:rPr>
          <w:rFonts w:hint="eastAsia" w:ascii="仿宋_GB2312" w:hAnsi="Times New Roman" w:eastAsia="仿宋_GB2312" w:cs="DengXian-Regular"/>
          <w:sz w:val="32"/>
          <w:szCs w:val="32"/>
          <w:lang w:val="en-US" w:eastAsia="zh-CN"/>
        </w:rPr>
        <w:t>82</w:t>
      </w:r>
      <w:r>
        <w:rPr>
          <w:rFonts w:hint="eastAsia" w:ascii="仿宋_GB2312" w:hAnsi="Times New Roman" w:eastAsia="仿宋_GB2312" w:cs="DengXian-Regular"/>
          <w:sz w:val="32"/>
          <w:szCs w:val="32"/>
        </w:rPr>
        <w:t>%；项目支出371.18万元，占</w:t>
      </w:r>
      <w:r>
        <w:rPr>
          <w:rFonts w:hint="eastAsia" w:ascii="仿宋_GB2312" w:hAnsi="Times New Roman" w:eastAsia="仿宋_GB2312" w:cs="DengXian-Regular"/>
          <w:sz w:val="32"/>
          <w:szCs w:val="32"/>
          <w:lang w:val="en-US" w:eastAsia="zh-CN"/>
        </w:rPr>
        <w:t>18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本部门2022年度财政拨款本年收入2067.94万元,比2021年度减</w:t>
      </w:r>
      <w:r>
        <w:rPr>
          <w:rFonts w:hint="eastAsia" w:ascii="仿宋_GB2312" w:hAnsi="Times New Roman" w:eastAsia="仿宋_GB2312" w:cs="DengXian-Regular"/>
          <w:sz w:val="32"/>
          <w:szCs w:val="32"/>
          <w:lang w:eastAsia="zh-CN"/>
        </w:rPr>
        <w:t>少</w:t>
      </w:r>
      <w:r>
        <w:rPr>
          <w:rFonts w:hint="eastAsia" w:ascii="仿宋_GB2312" w:hAnsi="Times New Roman" w:eastAsia="仿宋_GB2312" w:cs="DengXian-Regular"/>
          <w:sz w:val="32"/>
          <w:szCs w:val="32"/>
          <w:lang w:val="en-US" w:eastAsia="zh-CN"/>
        </w:rPr>
        <w:t>534.39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严格控制开支，以支定收</w:t>
      </w:r>
      <w:r>
        <w:rPr>
          <w:rFonts w:hint="eastAsia" w:ascii="仿宋_GB2312" w:hAnsi="Times New Roman" w:eastAsia="仿宋_GB2312" w:cs="DengXian-Regular"/>
          <w:sz w:val="32"/>
          <w:szCs w:val="32"/>
        </w:rPr>
        <w:t>；本年支出2067.94万元，减少</w:t>
      </w:r>
      <w:r>
        <w:rPr>
          <w:rFonts w:hint="eastAsia" w:ascii="仿宋_GB2312" w:hAnsi="Times New Roman" w:eastAsia="仿宋_GB2312" w:cs="DengXian-Regular"/>
          <w:sz w:val="32"/>
          <w:szCs w:val="32"/>
          <w:lang w:val="en-US" w:eastAsia="zh-CN"/>
        </w:rPr>
        <w:t>11.81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严格控制各项经费开支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一般公共预算财政拨款本年收入2067.94万元，比上年减少</w:t>
      </w:r>
      <w:r>
        <w:rPr>
          <w:rFonts w:hint="eastAsia" w:ascii="仿宋_GB2312" w:hAnsi="Times New Roman" w:eastAsia="仿宋_GB2312" w:cs="DengXian-Regular"/>
          <w:sz w:val="32"/>
          <w:szCs w:val="32"/>
          <w:lang w:val="en-US" w:eastAsia="zh-CN"/>
        </w:rPr>
        <w:t>534.39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严格控制开支，以支定收</w:t>
      </w:r>
      <w:r>
        <w:rPr>
          <w:rFonts w:hint="eastAsia" w:ascii="仿宋_GB2312" w:hAnsi="Times New Roman" w:eastAsia="仿宋_GB2312" w:cs="DengXian-Regular"/>
          <w:sz w:val="32"/>
          <w:szCs w:val="32"/>
        </w:rPr>
        <w:t>；本年支出2067.94万元，比上年减少</w:t>
      </w:r>
      <w:r>
        <w:rPr>
          <w:rFonts w:hint="eastAsia" w:ascii="仿宋_GB2312" w:hAnsi="Times New Roman" w:eastAsia="仿宋_GB2312" w:cs="DengXian-Regular"/>
          <w:sz w:val="32"/>
          <w:szCs w:val="32"/>
          <w:lang w:val="en-US" w:eastAsia="zh-CN"/>
        </w:rPr>
        <w:t>11.81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严格控制各项经费开支</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2067.94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567.38</w:t>
      </w:r>
      <w:r>
        <w:rPr>
          <w:rFonts w:hint="eastAsia" w:ascii="仿宋_GB2312" w:hAnsi="Times New Roman" w:eastAsia="仿宋_GB2312" w:cs="DengXian-Regular"/>
          <w:sz w:val="32"/>
          <w:szCs w:val="32"/>
        </w:rPr>
        <w:t>万元，决算数小于预算数主要原因是主要</w:t>
      </w:r>
      <w:r>
        <w:rPr>
          <w:rFonts w:hint="eastAsia" w:ascii="仿宋_GB2312" w:hAnsi="Times New Roman" w:eastAsia="仿宋_GB2312" w:cs="DengXian-Regular"/>
          <w:color w:val="auto"/>
          <w:sz w:val="32"/>
          <w:szCs w:val="32"/>
          <w:lang w:val="en-US" w:eastAsia="zh-CN"/>
        </w:rPr>
        <w:t>是本年严格落实财经纪律，严控开支</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2067.94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567.38</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color w:val="auto"/>
          <w:sz w:val="32"/>
          <w:szCs w:val="32"/>
        </w:rPr>
        <w:t>主要</w:t>
      </w:r>
      <w:r>
        <w:rPr>
          <w:rFonts w:hint="eastAsia" w:ascii="仿宋_GB2312" w:hAnsi="Times New Roman" w:eastAsia="仿宋_GB2312" w:cs="DengXian-Regular"/>
          <w:color w:val="auto"/>
          <w:sz w:val="32"/>
          <w:szCs w:val="32"/>
          <w:lang w:val="en-US" w:eastAsia="zh-CN"/>
        </w:rPr>
        <w:t>是本年严格落实财经纪律，严控开支</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color w:val="auto"/>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567.38</w:t>
      </w:r>
      <w:r>
        <w:rPr>
          <w:rFonts w:hint="eastAsia" w:ascii="仿宋_GB2312" w:hAnsi="Times New Roman" w:eastAsia="仿宋_GB2312" w:cs="DengXian-Regular"/>
          <w:sz w:val="32"/>
          <w:szCs w:val="32"/>
        </w:rPr>
        <w:t>万元，主要是主要</w:t>
      </w:r>
      <w:r>
        <w:rPr>
          <w:rFonts w:hint="eastAsia" w:ascii="仿宋_GB2312" w:hAnsi="Times New Roman" w:eastAsia="仿宋_GB2312" w:cs="DengXian-Regular"/>
          <w:sz w:val="32"/>
          <w:szCs w:val="32"/>
          <w:lang w:val="en-US" w:eastAsia="zh-CN"/>
        </w:rPr>
        <w:t>是</w:t>
      </w:r>
      <w:r>
        <w:rPr>
          <w:rFonts w:hint="eastAsia" w:ascii="仿宋_GB2312" w:hAnsi="Times New Roman" w:eastAsia="仿宋_GB2312" w:cs="DengXian-Regular"/>
          <w:color w:val="auto"/>
          <w:sz w:val="32"/>
          <w:szCs w:val="32"/>
          <w:lang w:val="en-US" w:eastAsia="zh-CN"/>
        </w:rPr>
        <w:t>本年严格落实财经纪律，严控开支</w:t>
      </w:r>
      <w:r>
        <w:rPr>
          <w:rFonts w:hint="eastAsia" w:ascii="仿宋_GB2312" w:hAnsi="Times New Roman" w:eastAsia="仿宋_GB2312" w:cs="DengXian-Regular"/>
          <w:color w:val="auto"/>
          <w:sz w:val="32"/>
          <w:szCs w:val="32"/>
        </w:rPr>
        <w:t>；支出完成年初预算</w:t>
      </w:r>
      <w:r>
        <w:rPr>
          <w:rFonts w:hint="eastAsia" w:ascii="仿宋_GB2312" w:hAnsi="Times New Roman" w:eastAsia="仿宋_GB2312" w:cs="DengXian-Regular"/>
          <w:color w:val="auto"/>
          <w:sz w:val="32"/>
          <w:szCs w:val="32"/>
          <w:lang w:val="en-US" w:eastAsia="zh-CN"/>
        </w:rPr>
        <w:t>78</w:t>
      </w:r>
      <w:r>
        <w:rPr>
          <w:rFonts w:hint="eastAsia" w:ascii="仿宋_GB2312" w:hAnsi="Times New Roman" w:eastAsia="仿宋_GB2312" w:cs="DengXian-Regular"/>
          <w:color w:val="auto"/>
          <w:sz w:val="32"/>
          <w:szCs w:val="32"/>
        </w:rPr>
        <w:t>%，比年初预算减少</w:t>
      </w:r>
      <w:r>
        <w:rPr>
          <w:rFonts w:hint="eastAsia" w:ascii="仿宋_GB2312" w:hAnsi="Times New Roman" w:eastAsia="仿宋_GB2312" w:cs="DengXian-Regular"/>
          <w:color w:val="auto"/>
          <w:sz w:val="32"/>
          <w:szCs w:val="32"/>
          <w:lang w:val="en-US" w:eastAsia="zh-CN"/>
        </w:rPr>
        <w:t>567.38</w:t>
      </w:r>
      <w:r>
        <w:rPr>
          <w:rFonts w:hint="eastAsia" w:ascii="仿宋_GB2312" w:hAnsi="Times New Roman" w:eastAsia="仿宋_GB2312" w:cs="DengXian-Regular"/>
          <w:color w:val="auto"/>
          <w:sz w:val="32"/>
          <w:szCs w:val="32"/>
        </w:rPr>
        <w:t>万元，主要是</w:t>
      </w:r>
      <w:r>
        <w:rPr>
          <w:rFonts w:hint="eastAsia" w:ascii="仿宋_GB2312" w:hAnsi="Times New Roman" w:eastAsia="仿宋_GB2312" w:cs="DengXian-Regular"/>
          <w:color w:val="auto"/>
          <w:sz w:val="32"/>
          <w:szCs w:val="32"/>
          <w:lang w:val="en-US" w:eastAsia="zh-CN"/>
        </w:rPr>
        <w:t>本年严格落实财经纪律，严控开支</w:t>
      </w:r>
      <w:r>
        <w:rPr>
          <w:rFonts w:hint="eastAsia" w:ascii="仿宋_GB2312" w:hAnsi="Times New Roman" w:eastAsia="仿宋_GB2312" w:cs="DengXian-Regular"/>
          <w:color w:val="auto"/>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2022年度财政拨款支出2067.94万元，主要用于以下方面</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公共安全类（类）支出2067.94万元，占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人员经费，日常公用经费</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2022年度财政拨款基本支出1696.76万元，其中：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人员经费1256.04万元，主要包括基本工资722.09</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、津贴补贴98.78</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、绩效工资210.65</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、机关事业单位基本养老保险缴费67.6</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、职工基本医疗保险缴费28.57</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、住房公积金23.62</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、其他工资福利支出77.06</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、抚恤金23.34</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、生活补助4.32</w:t>
      </w:r>
      <w:r>
        <w:rPr>
          <w:rFonts w:hint="eastAsia" w:ascii="仿宋_GB2312" w:hAnsi="Times New Roman" w:eastAsia="仿宋_GB2312" w:cs="DengXian-Regular"/>
          <w:sz w:val="32"/>
          <w:szCs w:val="32"/>
          <w:lang w:eastAsia="zh-CN"/>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440.73万元，主要包括办公费40.84</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、印刷费9.63</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、咨询费1</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、水费0.65</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、电费17.38</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、邮电费4.13</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、物业管理费9.41</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、差旅费7.1</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、维修（护）费41.4</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、租赁费0.58</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、专用材料费0.3</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、被装购置费8.51</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、劳务费125.26</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、委托业务费2.07</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、工会经费18.15</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、福利费55.77</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、公务用车运行维护费3.29</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、其他交通费用47.33</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、其他商品和服务支出23.07</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、办公设备购置7.29</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、专用设备购置0.38</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、大型修缮15</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、其他资本性支出2.19</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b w:val="0"/>
          <w:bCs w:val="0"/>
          <w:color w:val="auto"/>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35.6</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29.88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5.72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严格控制预算，控制公务用车运行维护费</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lang w:val="en-US" w:eastAsia="zh-CN"/>
        </w:rPr>
        <w:t>44.28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59</w:t>
      </w:r>
      <w:r>
        <w:rPr>
          <w:rFonts w:hint="eastAsia" w:ascii="仿宋_GB2312" w:hAnsi="Times New Roman" w:eastAsia="仿宋_GB2312" w:cs="DengXian-Regular"/>
          <w:sz w:val="32"/>
          <w:szCs w:val="32"/>
        </w:rPr>
        <w:t>%，主要</w:t>
      </w:r>
      <w:r>
        <w:rPr>
          <w:rFonts w:hint="eastAsia" w:ascii="仿宋_GB2312" w:hAnsi="Times New Roman" w:eastAsia="仿宋_GB2312" w:cs="DengXian-Regular"/>
          <w:b w:val="0"/>
          <w:bCs w:val="0"/>
          <w:color w:val="auto"/>
          <w:sz w:val="32"/>
          <w:szCs w:val="32"/>
        </w:rPr>
        <w:t>是</w:t>
      </w:r>
      <w:r>
        <w:rPr>
          <w:rFonts w:hint="eastAsia" w:ascii="仿宋_GB2312" w:hAnsi="Times New Roman" w:eastAsia="仿宋_GB2312" w:cs="DengXian-Regular"/>
          <w:b w:val="0"/>
          <w:bCs w:val="0"/>
          <w:color w:val="auto"/>
          <w:sz w:val="32"/>
          <w:szCs w:val="32"/>
          <w:lang w:val="en-US" w:eastAsia="zh-CN"/>
        </w:rPr>
        <w:t>2021年采购一辆19.57万元执法执勤用车，且因疫情原因，部分</w:t>
      </w:r>
      <w:r>
        <w:rPr>
          <w:rFonts w:hint="eastAsia" w:ascii="仿宋_GB2312" w:hAnsi="Times New Roman" w:eastAsia="仿宋_GB2312" w:cs="DengXian-Regular"/>
          <w:color w:val="auto"/>
          <w:sz w:val="32"/>
          <w:szCs w:val="32"/>
          <w:lang w:eastAsia="zh-CN"/>
        </w:rPr>
        <w:t>公务用车运行维护费于</w:t>
      </w:r>
      <w:r>
        <w:rPr>
          <w:rFonts w:hint="eastAsia" w:ascii="仿宋_GB2312" w:hAnsi="Times New Roman" w:eastAsia="仿宋_GB2312" w:cs="DengXian-Regular"/>
          <w:color w:val="auto"/>
          <w:sz w:val="32"/>
          <w:szCs w:val="32"/>
          <w:lang w:val="en-US" w:eastAsia="zh-CN"/>
        </w:rPr>
        <w:t>2023年年初支出</w:t>
      </w:r>
      <w:r>
        <w:rPr>
          <w:rFonts w:hint="eastAsia" w:ascii="仿宋_GB2312" w:hAnsi="Times New Roman" w:eastAsia="仿宋_GB2312" w:cs="DengXian-Regular"/>
          <w:b w:val="0"/>
          <w:bCs w:val="0"/>
          <w:color w:val="auto"/>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年度无本单位组织的出国（境）团组。</w:t>
      </w:r>
    </w:p>
    <w:p>
      <w:pPr>
        <w:adjustRightInd w:val="0"/>
        <w:snapToGrid w:val="0"/>
        <w:spacing w:line="580" w:lineRule="exact"/>
        <w:ind w:firstLine="643" w:firstLineChars="200"/>
        <w:rPr>
          <w:rFonts w:hint="eastAsia" w:ascii="仿宋_GB2312" w:hAnsi="Times New Roman" w:eastAsia="仿宋_GB2312" w:cs="DengXian-Regular"/>
          <w:color w:val="FF0000"/>
          <w:sz w:val="32"/>
          <w:szCs w:val="32"/>
          <w:lang w:val="en-US" w:eastAsia="zh-CN"/>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35.6</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29.88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5.72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w:t>
      </w:r>
      <w:r>
        <w:rPr>
          <w:rFonts w:hint="eastAsia" w:ascii="仿宋_GB2312" w:hAnsi="Times New Roman" w:eastAsia="仿宋_GB2312" w:cs="DengXian-Regular"/>
          <w:color w:val="auto"/>
          <w:sz w:val="32"/>
          <w:szCs w:val="32"/>
        </w:rPr>
        <w:t>是</w:t>
      </w:r>
      <w:r>
        <w:rPr>
          <w:rFonts w:hint="eastAsia" w:ascii="仿宋_GB2312" w:hAnsi="Times New Roman" w:eastAsia="仿宋_GB2312" w:cs="DengXian-Regular"/>
          <w:color w:val="auto"/>
          <w:sz w:val="32"/>
          <w:szCs w:val="32"/>
          <w:lang w:eastAsia="zh-CN"/>
        </w:rPr>
        <w:t>严格控制预算</w:t>
      </w:r>
      <w:r>
        <w:rPr>
          <w:rFonts w:hint="eastAsia" w:ascii="仿宋_GB2312" w:hAnsi="Times New Roman" w:eastAsia="仿宋_GB2312" w:cs="DengXian-Regular"/>
          <w:color w:val="auto"/>
          <w:sz w:val="32"/>
          <w:szCs w:val="32"/>
        </w:rPr>
        <w:t>；较上年减少</w:t>
      </w:r>
      <w:r>
        <w:rPr>
          <w:rFonts w:hint="eastAsia" w:ascii="仿宋_GB2312" w:hAnsi="Times New Roman" w:eastAsia="仿宋_GB2312" w:cs="DengXian-Regular"/>
          <w:color w:val="auto"/>
          <w:sz w:val="32"/>
          <w:szCs w:val="32"/>
          <w:lang w:val="en-US" w:eastAsia="zh-CN"/>
        </w:rPr>
        <w:t>44.28</w:t>
      </w:r>
      <w:r>
        <w:rPr>
          <w:rFonts w:hint="eastAsia" w:ascii="仿宋_GB2312" w:hAnsi="Times New Roman" w:eastAsia="仿宋_GB2312" w:cs="DengXian-Regular"/>
          <w:color w:val="auto"/>
          <w:sz w:val="32"/>
          <w:szCs w:val="32"/>
        </w:rPr>
        <w:t>万元，降低</w:t>
      </w:r>
      <w:r>
        <w:rPr>
          <w:rFonts w:hint="eastAsia" w:ascii="仿宋_GB2312" w:hAnsi="Times New Roman" w:eastAsia="仿宋_GB2312" w:cs="DengXian-Regular"/>
          <w:color w:val="auto"/>
          <w:sz w:val="32"/>
          <w:szCs w:val="32"/>
          <w:lang w:val="en-US" w:eastAsia="zh-CN"/>
        </w:rPr>
        <w:t>59</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lang w:eastAsia="zh-CN"/>
        </w:rPr>
        <w:t>，</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val="en-US" w:eastAsia="zh-CN"/>
        </w:rPr>
        <w:t>2021年采购一辆19.57万元执法执勤用车，且因疫情原因，部分公务用车运行维护费于2023年年初支出。</w:t>
      </w:r>
    </w:p>
    <w:p>
      <w:pPr>
        <w:adjustRightInd w:val="0"/>
        <w:snapToGrid w:val="0"/>
        <w:spacing w:line="580" w:lineRule="exact"/>
        <w:ind w:firstLine="640" w:firstLineChars="200"/>
        <w:rPr>
          <w:rFonts w:ascii="仿宋_GB2312" w:hAnsi="Times New Roman" w:eastAsia="仿宋_GB2312" w:cs="DengXian-Bold"/>
          <w:b/>
          <w:bCs/>
          <w:sz w:val="32"/>
          <w:szCs w:val="32"/>
        </w:rPr>
      </w:pP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19.57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eastAsia="zh-CN"/>
        </w:rPr>
        <w:t>今年无采购计划。</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公务用车运行维护费支出29.88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5.72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w:t>
      </w:r>
      <w:r>
        <w:rPr>
          <w:rFonts w:hint="eastAsia" w:ascii="仿宋_GB2312" w:hAnsi="Times New Roman" w:eastAsia="仿宋_GB2312" w:cs="DengXian-Regular"/>
          <w:color w:val="auto"/>
          <w:sz w:val="32"/>
          <w:szCs w:val="32"/>
        </w:rPr>
        <w:t>是</w:t>
      </w:r>
      <w:r>
        <w:rPr>
          <w:rFonts w:hint="eastAsia" w:ascii="仿宋_GB2312" w:hAnsi="Times New Roman" w:eastAsia="仿宋_GB2312" w:cs="DengXian-Regular"/>
          <w:color w:val="auto"/>
          <w:sz w:val="32"/>
          <w:szCs w:val="32"/>
          <w:lang w:eastAsia="zh-CN"/>
        </w:rPr>
        <w:t>严格控制预算</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44.28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auto"/>
          <w:sz w:val="32"/>
          <w:szCs w:val="32"/>
          <w:lang w:val="en-US" w:eastAsia="zh-CN"/>
        </w:rPr>
        <w:t>2021年采购一辆19.57万元执法执勤用车，且因疫情原因，部分公务用车运行维护费于2023年年初支出。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color w:val="auto"/>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440.73</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129.12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29</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color w:val="auto"/>
          <w:sz w:val="32"/>
          <w:szCs w:val="32"/>
          <w:lang w:eastAsia="zh-CN"/>
        </w:rPr>
        <w:t>严格控制我院各项开支</w:t>
      </w:r>
      <w:r>
        <w:rPr>
          <w:rFonts w:hint="eastAsia" w:ascii="仿宋_GB2312" w:hAnsi="Times New Roman" w:eastAsia="仿宋_GB2312" w:cs="DengXian-Regular"/>
          <w:color w:val="auto"/>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16.695</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16.695</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286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组织对“冀财政法【2021】62号关于提前下达2022年中央政法纪检监察转移支付资金业务经费”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132</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“冀财政法【2021】62号关于提前下达2022年中央政法纪检监察转移支付资金业务经费”项目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2"/>
        </w:numPr>
        <w:spacing w:line="5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绩效目标分解下达情况</w:t>
      </w:r>
    </w:p>
    <w:p>
      <w:pPr>
        <w:numPr>
          <w:ilvl w:val="0"/>
          <w:numId w:val="0"/>
        </w:numPr>
        <w:spacing w:line="580" w:lineRule="exact"/>
        <w:ind w:left="391" w:leftChars="186"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冀财政法【</w:t>
      </w:r>
      <w:r>
        <w:rPr>
          <w:rFonts w:hint="eastAsia" w:ascii="仿宋" w:hAnsi="仿宋" w:eastAsia="仿宋" w:cs="仿宋"/>
          <w:bCs/>
          <w:sz w:val="28"/>
          <w:szCs w:val="28"/>
          <w:lang w:val="en-US" w:eastAsia="zh-CN"/>
        </w:rPr>
        <w:t>2021】62号关于提前下达2022年中央政法纪检监察转移支付资金业务经费132万元。</w:t>
      </w:r>
    </w:p>
    <w:p>
      <w:pPr>
        <w:numPr>
          <w:ilvl w:val="0"/>
          <w:numId w:val="2"/>
        </w:numPr>
        <w:spacing w:line="5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绩效目标完成情况分析</w:t>
      </w:r>
    </w:p>
    <w:p>
      <w:pPr>
        <w:numPr>
          <w:ilvl w:val="0"/>
          <w:numId w:val="0"/>
        </w:numPr>
        <w:spacing w:line="580" w:lineRule="exact"/>
        <w:ind w:leftChars="200" w:firstLine="560" w:firstLineChars="200"/>
        <w:rPr>
          <w:rFonts w:hint="eastAsia" w:ascii="仿宋" w:hAnsi="仿宋" w:eastAsia="仿宋" w:cs="仿宋"/>
          <w:bCs/>
          <w:sz w:val="28"/>
          <w:szCs w:val="28"/>
        </w:rPr>
      </w:pPr>
      <w:r>
        <w:rPr>
          <w:rFonts w:hint="eastAsia" w:ascii="仿宋" w:hAnsi="仿宋" w:eastAsia="仿宋" w:cs="仿宋"/>
          <w:sz w:val="28"/>
          <w:szCs w:val="28"/>
        </w:rPr>
        <w:t>提高我院办案办公效率，保障我院工作正常进行。我院全年受理案</w:t>
      </w:r>
      <w:r>
        <w:rPr>
          <w:rFonts w:hint="eastAsia" w:ascii="仿宋" w:hAnsi="仿宋" w:eastAsia="仿宋" w:cs="仿宋"/>
          <w:sz w:val="28"/>
          <w:szCs w:val="28"/>
          <w:lang w:eastAsia="zh-CN"/>
        </w:rPr>
        <w:t>件</w:t>
      </w:r>
      <w:r>
        <w:rPr>
          <w:rFonts w:hint="eastAsia" w:ascii="仿宋" w:hAnsi="仿宋" w:eastAsia="仿宋" w:cs="仿宋"/>
          <w:color w:val="auto"/>
          <w:sz w:val="28"/>
          <w:szCs w:val="28"/>
        </w:rPr>
        <w:t>数量</w:t>
      </w:r>
      <w:r>
        <w:rPr>
          <w:rFonts w:hint="eastAsia" w:ascii="仿宋" w:hAnsi="仿宋" w:eastAsia="仿宋" w:cs="仿宋"/>
          <w:color w:val="auto"/>
          <w:sz w:val="28"/>
          <w:szCs w:val="28"/>
          <w:lang w:val="en-US" w:eastAsia="zh-CN"/>
        </w:rPr>
        <w:t>6611件</w:t>
      </w:r>
      <w:r>
        <w:rPr>
          <w:rFonts w:hint="eastAsia" w:ascii="仿宋" w:hAnsi="仿宋" w:eastAsia="仿宋" w:cs="仿宋"/>
          <w:color w:val="auto"/>
          <w:sz w:val="28"/>
          <w:szCs w:val="28"/>
        </w:rPr>
        <w:t>，结案数量</w:t>
      </w:r>
      <w:r>
        <w:rPr>
          <w:rFonts w:hint="eastAsia" w:ascii="仿宋" w:hAnsi="仿宋" w:eastAsia="仿宋" w:cs="仿宋"/>
          <w:color w:val="auto"/>
          <w:sz w:val="28"/>
          <w:szCs w:val="28"/>
          <w:lang w:val="en-US" w:eastAsia="zh-CN"/>
        </w:rPr>
        <w:t>6433件</w:t>
      </w:r>
      <w:r>
        <w:rPr>
          <w:rFonts w:hint="eastAsia" w:ascii="仿宋" w:hAnsi="仿宋" w:eastAsia="仿宋" w:cs="仿宋"/>
          <w:color w:val="auto"/>
          <w:sz w:val="28"/>
          <w:szCs w:val="28"/>
        </w:rPr>
        <w:t>，</w:t>
      </w:r>
      <w:r>
        <w:rPr>
          <w:rFonts w:hint="eastAsia" w:ascii="仿宋" w:hAnsi="仿宋" w:eastAsia="仿宋" w:cs="仿宋"/>
          <w:sz w:val="28"/>
          <w:szCs w:val="28"/>
        </w:rPr>
        <w:t>所需的</w:t>
      </w:r>
      <w:r>
        <w:rPr>
          <w:rFonts w:hint="eastAsia" w:ascii="仿宋" w:hAnsi="仿宋" w:eastAsia="仿宋" w:cs="仿宋"/>
          <w:sz w:val="28"/>
          <w:szCs w:val="28"/>
          <w:lang w:eastAsia="zh-CN"/>
        </w:rPr>
        <w:t>差旅费、其他交通</w:t>
      </w:r>
      <w:r>
        <w:rPr>
          <w:rFonts w:hint="eastAsia" w:ascii="仿宋" w:hAnsi="仿宋" w:eastAsia="仿宋" w:cs="仿宋"/>
          <w:sz w:val="28"/>
          <w:szCs w:val="28"/>
        </w:rPr>
        <w:t>费用等，达到了预想效果。</w:t>
      </w:r>
    </w:p>
    <w:p>
      <w:pPr>
        <w:numPr>
          <w:ilvl w:val="0"/>
          <w:numId w:val="0"/>
        </w:numPr>
        <w:spacing w:line="580" w:lineRule="exact"/>
        <w:ind w:firstLine="1120" w:firstLineChars="400"/>
        <w:outlineLvl w:val="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资金到位情况分析</w:t>
      </w:r>
    </w:p>
    <w:p>
      <w:pPr>
        <w:numPr>
          <w:ilvl w:val="0"/>
          <w:numId w:val="0"/>
        </w:numPr>
        <w:spacing w:line="580" w:lineRule="exact"/>
        <w:ind w:left="781" w:leftChars="372"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rPr>
        <w:t>项目预算安排情况：项目预算安排总额</w:t>
      </w:r>
      <w:r>
        <w:rPr>
          <w:rFonts w:hint="eastAsia" w:ascii="仿宋" w:hAnsi="仿宋" w:eastAsia="仿宋" w:cs="仿宋"/>
          <w:sz w:val="28"/>
          <w:szCs w:val="28"/>
          <w:lang w:val="en-US" w:eastAsia="zh-CN"/>
        </w:rPr>
        <w:t>132</w:t>
      </w:r>
      <w:r>
        <w:rPr>
          <w:rFonts w:hint="eastAsia" w:ascii="仿宋" w:hAnsi="仿宋" w:eastAsia="仿宋" w:cs="仿宋"/>
          <w:sz w:val="28"/>
          <w:szCs w:val="28"/>
        </w:rPr>
        <w:t>万元，</w:t>
      </w:r>
      <w:r>
        <w:rPr>
          <w:rFonts w:hint="eastAsia" w:ascii="仿宋" w:hAnsi="仿宋" w:eastAsia="仿宋" w:cs="仿宋"/>
          <w:sz w:val="28"/>
          <w:szCs w:val="28"/>
          <w:lang w:eastAsia="zh-CN"/>
        </w:rPr>
        <w:t>中央政法</w:t>
      </w:r>
      <w:r>
        <w:rPr>
          <w:rFonts w:hint="eastAsia" w:ascii="仿宋" w:hAnsi="仿宋" w:eastAsia="仿宋" w:cs="仿宋"/>
          <w:sz w:val="28"/>
          <w:szCs w:val="28"/>
        </w:rPr>
        <w:t>财政安排</w:t>
      </w:r>
      <w:r>
        <w:rPr>
          <w:rFonts w:hint="eastAsia" w:ascii="仿宋" w:hAnsi="仿宋" w:eastAsia="仿宋" w:cs="仿宋"/>
          <w:sz w:val="28"/>
          <w:szCs w:val="28"/>
          <w:lang w:val="en-US" w:eastAsia="zh-CN"/>
        </w:rPr>
        <w:t>132万元。</w:t>
      </w:r>
    </w:p>
    <w:p>
      <w:pPr>
        <w:numPr>
          <w:ilvl w:val="0"/>
          <w:numId w:val="0"/>
        </w:numPr>
        <w:spacing w:line="580" w:lineRule="exact"/>
        <w:ind w:left="391" w:leftChars="186" w:firstLine="560" w:firstLineChars="200"/>
        <w:outlineLvl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项目库中申报的科目编码及名称:</w:t>
      </w:r>
      <w:r>
        <w:rPr>
          <w:rFonts w:hint="eastAsia" w:ascii="仿宋" w:hAnsi="仿宋" w:eastAsia="仿宋" w:cs="仿宋"/>
          <w:sz w:val="28"/>
          <w:szCs w:val="28"/>
          <w:lang w:val="en-US" w:eastAsia="zh-CN"/>
        </w:rPr>
        <w:t>30239其他交通费用50万元、30211差旅费10万元、30207邮电费20万元、30216培训费5万元、30213维修（护）费7万元、30299其他商品和服务20万元、30202印刷费20万元。</w:t>
      </w:r>
    </w:p>
    <w:p>
      <w:pPr>
        <w:ind w:left="391" w:leftChars="186" w:firstLine="560" w:firstLineChars="200"/>
        <w:rPr>
          <w:rFonts w:hint="eastAsia" w:ascii="仿宋" w:hAnsi="仿宋" w:eastAsia="仿宋" w:cs="仿宋"/>
          <w:b w:val="0"/>
          <w:bCs w:val="0"/>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实际支出形成的政府预算支出经济分类科目编码及名称:因</w:t>
      </w:r>
      <w:r>
        <w:rPr>
          <w:rFonts w:hint="eastAsia" w:ascii="仿宋" w:hAnsi="仿宋" w:eastAsia="仿宋" w:cs="仿宋"/>
          <w:color w:val="auto"/>
          <w:sz w:val="28"/>
          <w:szCs w:val="28"/>
          <w:lang w:val="en-US" w:eastAsia="zh-CN"/>
        </w:rPr>
        <w:t>2021</w:t>
      </w:r>
      <w:r>
        <w:rPr>
          <w:rFonts w:hint="eastAsia" w:ascii="仿宋" w:hAnsi="仿宋" w:eastAsia="仿宋" w:cs="仿宋"/>
          <w:color w:val="auto"/>
          <w:sz w:val="28"/>
          <w:szCs w:val="28"/>
        </w:rPr>
        <w:t>年业务办案经费未使用完，所以使用资金时有部分使用的是</w:t>
      </w:r>
      <w:r>
        <w:rPr>
          <w:rFonts w:hint="eastAsia" w:ascii="仿宋" w:hAnsi="仿宋" w:eastAsia="仿宋" w:cs="仿宋"/>
          <w:color w:val="auto"/>
          <w:sz w:val="28"/>
          <w:szCs w:val="28"/>
          <w:lang w:val="en-US" w:eastAsia="zh-CN"/>
        </w:rPr>
        <w:t>2021</w:t>
      </w:r>
      <w:r>
        <w:rPr>
          <w:rFonts w:hint="eastAsia" w:ascii="仿宋" w:hAnsi="仿宋" w:eastAsia="仿宋" w:cs="仿宋"/>
          <w:color w:val="auto"/>
          <w:sz w:val="28"/>
          <w:szCs w:val="28"/>
        </w:rPr>
        <w:t>年款项。业务办案经费用于</w:t>
      </w:r>
      <w:r>
        <w:rPr>
          <w:rFonts w:hint="eastAsia" w:ascii="仿宋" w:hAnsi="仿宋" w:eastAsia="仿宋" w:cs="仿宋"/>
          <w:color w:val="auto"/>
          <w:sz w:val="28"/>
          <w:szCs w:val="28"/>
          <w:lang w:eastAsia="zh-CN"/>
        </w:rPr>
        <w:t>邮电费、差旅费</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维修（护）费、</w:t>
      </w:r>
      <w:r>
        <w:rPr>
          <w:rFonts w:hint="eastAsia" w:ascii="仿宋" w:hAnsi="仿宋" w:eastAsia="仿宋" w:cs="仿宋"/>
          <w:color w:val="auto"/>
          <w:sz w:val="28"/>
          <w:szCs w:val="28"/>
        </w:rPr>
        <w:t>陪审员费用等开支。</w:t>
      </w:r>
    </w:p>
    <w:p>
      <w:pPr>
        <w:numPr>
          <w:ilvl w:val="0"/>
          <w:numId w:val="0"/>
        </w:numPr>
        <w:spacing w:line="580" w:lineRule="exact"/>
        <w:ind w:firstLine="560" w:firstLineChars="200"/>
        <w:outlineLvl w:val="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总体绩效目标完成情况分析</w:t>
      </w:r>
    </w:p>
    <w:p>
      <w:pPr>
        <w:numPr>
          <w:ilvl w:val="0"/>
          <w:numId w:val="0"/>
        </w:numPr>
        <w:spacing w:line="580" w:lineRule="exact"/>
        <w:ind w:leftChars="200"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我院</w:t>
      </w:r>
      <w:r>
        <w:rPr>
          <w:rFonts w:hint="eastAsia" w:ascii="仿宋" w:hAnsi="仿宋" w:eastAsia="仿宋" w:cs="仿宋"/>
          <w:b w:val="0"/>
          <w:bCs w:val="0"/>
          <w:sz w:val="28"/>
          <w:szCs w:val="28"/>
          <w:lang w:eastAsia="zh-CN"/>
        </w:rPr>
        <w:t>认真贯彻各级相关文件精神，认真开展预算绩效管理和绩效运行相关工作，不断提高绩效管理工作的质量和水平。收入、支出全部纳入本单位财务部门统一核算，严格遵循先有预算、后有支出的原则。</w:t>
      </w:r>
      <w:r>
        <w:rPr>
          <w:rFonts w:hint="eastAsia" w:ascii="仿宋" w:hAnsi="仿宋" w:eastAsia="仿宋" w:cs="仿宋"/>
          <w:b w:val="0"/>
          <w:bCs w:val="0"/>
          <w:sz w:val="28"/>
          <w:szCs w:val="28"/>
        </w:rPr>
        <w:t>全年受理案件数</w:t>
      </w:r>
      <w:r>
        <w:rPr>
          <w:rFonts w:hint="eastAsia" w:ascii="仿宋" w:hAnsi="仿宋" w:eastAsia="仿宋" w:cs="仿宋"/>
          <w:b w:val="0"/>
          <w:bCs w:val="0"/>
          <w:color w:val="auto"/>
          <w:sz w:val="28"/>
          <w:szCs w:val="28"/>
        </w:rPr>
        <w:t>量</w:t>
      </w:r>
      <w:r>
        <w:rPr>
          <w:rFonts w:hint="eastAsia" w:ascii="仿宋" w:hAnsi="仿宋" w:eastAsia="仿宋" w:cs="仿宋"/>
          <w:b w:val="0"/>
          <w:bCs w:val="0"/>
          <w:color w:val="auto"/>
          <w:sz w:val="28"/>
          <w:szCs w:val="28"/>
          <w:lang w:val="en-US" w:eastAsia="zh-CN"/>
        </w:rPr>
        <w:t>6611件</w:t>
      </w:r>
      <w:r>
        <w:rPr>
          <w:rFonts w:hint="eastAsia" w:ascii="仿宋" w:hAnsi="仿宋" w:eastAsia="仿宋" w:cs="仿宋"/>
          <w:b w:val="0"/>
          <w:bCs w:val="0"/>
          <w:color w:val="auto"/>
          <w:sz w:val="28"/>
          <w:szCs w:val="28"/>
        </w:rPr>
        <w:t>，结案数量</w:t>
      </w:r>
      <w:r>
        <w:rPr>
          <w:rFonts w:hint="eastAsia" w:ascii="仿宋" w:hAnsi="仿宋" w:eastAsia="仿宋" w:cs="仿宋"/>
          <w:b w:val="0"/>
          <w:bCs w:val="0"/>
          <w:color w:val="auto"/>
          <w:sz w:val="28"/>
          <w:szCs w:val="28"/>
          <w:lang w:val="en-US" w:eastAsia="zh-CN"/>
        </w:rPr>
        <w:t>6433件</w:t>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结案率</w:t>
      </w:r>
      <w:r>
        <w:rPr>
          <w:rFonts w:hint="eastAsia" w:ascii="仿宋" w:hAnsi="仿宋" w:eastAsia="仿宋" w:cs="仿宋"/>
          <w:b w:val="0"/>
          <w:bCs w:val="0"/>
          <w:sz w:val="28"/>
          <w:szCs w:val="28"/>
          <w:lang w:val="en-US" w:eastAsia="zh-CN"/>
        </w:rPr>
        <w:t>97.3%。</w:t>
      </w:r>
      <w:r>
        <w:rPr>
          <w:rFonts w:hint="eastAsia" w:ascii="仿宋" w:hAnsi="仿宋" w:eastAsia="仿宋" w:cs="仿宋"/>
          <w:sz w:val="28"/>
          <w:szCs w:val="28"/>
        </w:rPr>
        <w:t>所需的</w:t>
      </w:r>
      <w:r>
        <w:rPr>
          <w:rFonts w:hint="eastAsia" w:ascii="仿宋" w:hAnsi="仿宋" w:eastAsia="仿宋" w:cs="仿宋"/>
          <w:sz w:val="28"/>
          <w:szCs w:val="28"/>
          <w:lang w:eastAsia="zh-CN"/>
        </w:rPr>
        <w:t>差旅费、其他交通</w:t>
      </w:r>
      <w:r>
        <w:rPr>
          <w:rFonts w:hint="eastAsia" w:ascii="仿宋" w:hAnsi="仿宋" w:eastAsia="仿宋" w:cs="仿宋"/>
          <w:sz w:val="28"/>
          <w:szCs w:val="28"/>
        </w:rPr>
        <w:t>费用等，达到了预想效果。</w:t>
      </w:r>
    </w:p>
    <w:p>
      <w:pPr>
        <w:numPr>
          <w:ilvl w:val="0"/>
          <w:numId w:val="0"/>
        </w:numPr>
        <w:spacing w:line="580" w:lineRule="exact"/>
        <w:ind w:firstLine="562" w:firstLineChars="200"/>
        <w:outlineLvl w:val="0"/>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绩效指标完成情况分析。</w:t>
      </w:r>
    </w:p>
    <w:p>
      <w:pPr>
        <w:ind w:firstLine="840" w:firstLineChars="300"/>
        <w:rPr>
          <w:rFonts w:hint="eastAsia" w:ascii="仿宋" w:hAnsi="仿宋" w:eastAsia="仿宋" w:cs="仿宋"/>
          <w:color w:val="auto"/>
          <w:sz w:val="28"/>
          <w:szCs w:val="28"/>
        </w:rPr>
      </w:pPr>
      <w:r>
        <w:rPr>
          <w:rFonts w:hint="eastAsia" w:ascii="仿宋" w:hAnsi="仿宋" w:eastAsia="仿宋" w:cs="仿宋"/>
          <w:color w:val="auto"/>
          <w:sz w:val="28"/>
          <w:szCs w:val="28"/>
        </w:rPr>
        <w:t>资金到位情况分析</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项目预算安排情况：项目预算安排总额</w:t>
      </w:r>
      <w:r>
        <w:rPr>
          <w:rFonts w:hint="eastAsia" w:ascii="仿宋" w:hAnsi="仿宋" w:eastAsia="仿宋" w:cs="仿宋"/>
          <w:color w:val="auto"/>
          <w:sz w:val="28"/>
          <w:szCs w:val="28"/>
          <w:lang w:val="en-US" w:eastAsia="zh-CN"/>
        </w:rPr>
        <w:t>132</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中央</w:t>
      </w:r>
      <w:r>
        <w:rPr>
          <w:rFonts w:hint="eastAsia" w:ascii="仿宋" w:hAnsi="仿宋" w:eastAsia="仿宋" w:cs="仿宋"/>
          <w:color w:val="auto"/>
          <w:sz w:val="28"/>
          <w:szCs w:val="28"/>
        </w:rPr>
        <w:t>财政安排</w:t>
      </w:r>
      <w:r>
        <w:rPr>
          <w:rFonts w:hint="eastAsia" w:ascii="仿宋" w:hAnsi="仿宋" w:eastAsia="仿宋" w:cs="仿宋"/>
          <w:color w:val="auto"/>
          <w:sz w:val="28"/>
          <w:szCs w:val="28"/>
          <w:lang w:val="en-US" w:eastAsia="zh-CN"/>
        </w:rPr>
        <w:t>132</w:t>
      </w:r>
      <w:r>
        <w:rPr>
          <w:rFonts w:hint="eastAsia" w:ascii="仿宋" w:hAnsi="仿宋" w:eastAsia="仿宋" w:cs="仿宋"/>
          <w:color w:val="auto"/>
          <w:sz w:val="28"/>
          <w:szCs w:val="28"/>
        </w:rPr>
        <w:t>万元。财政拨款总额</w:t>
      </w:r>
      <w:r>
        <w:rPr>
          <w:rFonts w:hint="eastAsia" w:ascii="仿宋" w:hAnsi="仿宋" w:eastAsia="仿宋" w:cs="仿宋"/>
          <w:color w:val="auto"/>
          <w:sz w:val="28"/>
          <w:szCs w:val="28"/>
          <w:lang w:val="en-US" w:eastAsia="zh-CN"/>
        </w:rPr>
        <w:t>132</w:t>
      </w:r>
      <w:r>
        <w:rPr>
          <w:rFonts w:hint="eastAsia" w:ascii="仿宋" w:hAnsi="仿宋" w:eastAsia="仿宋" w:cs="仿宋"/>
          <w:color w:val="auto"/>
          <w:sz w:val="28"/>
          <w:szCs w:val="28"/>
        </w:rPr>
        <w:t>万元。资金到位率100％。</w:t>
      </w:r>
    </w:p>
    <w:p>
      <w:pPr>
        <w:ind w:firstLine="840" w:firstLineChars="300"/>
        <w:rPr>
          <w:rFonts w:hint="eastAsia" w:ascii="仿宋" w:hAnsi="仿宋" w:eastAsia="仿宋" w:cs="仿宋"/>
          <w:b/>
          <w:bCs/>
          <w:sz w:val="28"/>
          <w:szCs w:val="28"/>
        </w:rPr>
      </w:pPr>
      <w:r>
        <w:rPr>
          <w:rFonts w:hint="eastAsia" w:ascii="仿宋" w:hAnsi="仿宋" w:eastAsia="仿宋" w:cs="仿宋"/>
          <w:color w:val="auto"/>
          <w:sz w:val="28"/>
          <w:szCs w:val="28"/>
        </w:rPr>
        <w:t>资金执行情况分析</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项目实际支出总额</w:t>
      </w:r>
      <w:r>
        <w:rPr>
          <w:rFonts w:hint="eastAsia" w:ascii="仿宋" w:hAnsi="仿宋" w:eastAsia="仿宋" w:cs="仿宋"/>
          <w:color w:val="auto"/>
          <w:sz w:val="28"/>
          <w:szCs w:val="28"/>
          <w:lang w:val="en-US" w:eastAsia="zh-CN"/>
        </w:rPr>
        <w:t>3.43</w:t>
      </w:r>
      <w:r>
        <w:rPr>
          <w:rFonts w:hint="eastAsia" w:ascii="仿宋" w:hAnsi="仿宋" w:eastAsia="仿宋" w:cs="仿宋"/>
          <w:color w:val="auto"/>
          <w:sz w:val="28"/>
          <w:szCs w:val="28"/>
        </w:rPr>
        <w:t>万元。按照上级的要求，成安县人民法院为公平公正执法，提高审判执行办案效率，加强法院建设，</w:t>
      </w:r>
      <w:r>
        <w:rPr>
          <w:rFonts w:hint="eastAsia" w:ascii="仿宋" w:hAnsi="仿宋" w:eastAsia="仿宋" w:cs="仿宋"/>
          <w:color w:val="auto"/>
          <w:sz w:val="28"/>
          <w:szCs w:val="28"/>
          <w:lang w:eastAsia="zh-CN"/>
        </w:rPr>
        <w:t>用于业务经费</w:t>
      </w:r>
      <w:r>
        <w:rPr>
          <w:rFonts w:hint="eastAsia" w:ascii="仿宋" w:hAnsi="仿宋" w:eastAsia="仿宋" w:cs="仿宋"/>
          <w:color w:val="auto"/>
          <w:sz w:val="28"/>
          <w:szCs w:val="28"/>
          <w:lang w:val="en-US" w:eastAsia="zh-CN"/>
        </w:rPr>
        <w:t>3.43万元。</w:t>
      </w:r>
      <w:r>
        <w:rPr>
          <w:rFonts w:hint="eastAsia" w:ascii="仿宋" w:hAnsi="仿宋" w:eastAsia="仿宋" w:cs="仿宋"/>
          <w:color w:val="auto"/>
          <w:sz w:val="28"/>
          <w:szCs w:val="28"/>
        </w:rPr>
        <w:t>资金使用率不高原因分析：因</w:t>
      </w:r>
      <w:r>
        <w:rPr>
          <w:rFonts w:hint="eastAsia" w:ascii="仿宋" w:hAnsi="仿宋" w:eastAsia="仿宋" w:cs="仿宋"/>
          <w:color w:val="auto"/>
          <w:sz w:val="28"/>
          <w:szCs w:val="28"/>
          <w:lang w:val="en-US" w:eastAsia="zh-CN"/>
        </w:rPr>
        <w:t>2021</w:t>
      </w:r>
      <w:r>
        <w:rPr>
          <w:rFonts w:hint="eastAsia" w:ascii="仿宋" w:hAnsi="仿宋" w:eastAsia="仿宋" w:cs="仿宋"/>
          <w:color w:val="auto"/>
          <w:sz w:val="28"/>
          <w:szCs w:val="28"/>
        </w:rPr>
        <w:t>年业务办案经费未全部使用完，所以使用资金时有部分使用的是</w:t>
      </w:r>
      <w:r>
        <w:rPr>
          <w:rFonts w:hint="eastAsia" w:ascii="仿宋" w:hAnsi="仿宋" w:eastAsia="仿宋" w:cs="仿宋"/>
          <w:color w:val="auto"/>
          <w:sz w:val="28"/>
          <w:szCs w:val="28"/>
          <w:lang w:val="en-US" w:eastAsia="zh-CN"/>
        </w:rPr>
        <w:t>2021</w:t>
      </w:r>
      <w:r>
        <w:rPr>
          <w:rFonts w:hint="eastAsia" w:ascii="仿宋" w:hAnsi="仿宋" w:eastAsia="仿宋" w:cs="仿宋"/>
          <w:color w:val="auto"/>
          <w:sz w:val="28"/>
          <w:szCs w:val="28"/>
        </w:rPr>
        <w:t>年业务办案经费。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满意度指标抽样调查的开展情况</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2022</w:t>
      </w:r>
      <w:r>
        <w:rPr>
          <w:rFonts w:hint="eastAsia" w:ascii="仿宋" w:hAnsi="仿宋" w:eastAsia="仿宋" w:cs="仿宋"/>
          <w:sz w:val="28"/>
          <w:szCs w:val="28"/>
        </w:rPr>
        <w:t>年年底，我院通过对当事人及周边群众发放情况调查表的形式对我院</w:t>
      </w:r>
      <w:r>
        <w:rPr>
          <w:rFonts w:hint="eastAsia" w:ascii="仿宋" w:hAnsi="仿宋" w:eastAsia="仿宋" w:cs="仿宋"/>
          <w:sz w:val="28"/>
          <w:szCs w:val="28"/>
          <w:lang w:val="en-US" w:eastAsia="zh-CN"/>
        </w:rPr>
        <w:t>2022</w:t>
      </w:r>
      <w:r>
        <w:rPr>
          <w:rFonts w:hint="eastAsia" w:ascii="仿宋" w:hAnsi="仿宋" w:eastAsia="仿宋" w:cs="仿宋"/>
          <w:sz w:val="28"/>
          <w:szCs w:val="28"/>
        </w:rPr>
        <w:t>年财政项目的社会效益和满意度进行了随机抽样调查。当事人及周边群众对此次的调查给予积极配合发放出去的情况调查表全部回收，有效调查表达</w:t>
      </w:r>
      <w:r>
        <w:rPr>
          <w:rFonts w:hint="eastAsia" w:ascii="仿宋" w:hAnsi="仿宋" w:eastAsia="仿宋" w:cs="仿宋"/>
          <w:sz w:val="28"/>
          <w:szCs w:val="28"/>
          <w:lang w:val="en-US" w:eastAsia="zh-CN"/>
        </w:rPr>
        <w:t>95</w:t>
      </w:r>
      <w:r>
        <w:rPr>
          <w:rFonts w:hint="eastAsia" w:ascii="仿宋" w:hAnsi="仿宋" w:eastAsia="仿宋" w:cs="仿宋"/>
          <w:sz w:val="28"/>
          <w:szCs w:val="28"/>
        </w:rPr>
        <w:t>％。</w:t>
      </w:r>
    </w:p>
    <w:p>
      <w:pPr>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三、偏离绩效目标的原因和下一步改进措施。</w:t>
      </w:r>
    </w:p>
    <w:p>
      <w:pPr>
        <w:ind w:firstLine="560" w:firstLineChars="200"/>
        <w:jc w:val="both"/>
        <w:rPr>
          <w:rFonts w:hint="eastAsia" w:ascii="仿宋_GB2312" w:hAnsi="仿宋_GB2312" w:eastAsia="仿宋_GB2312" w:cs="仿宋_GB2312"/>
          <w:b/>
          <w:bCs/>
          <w:sz w:val="32"/>
          <w:szCs w:val="32"/>
        </w:rPr>
      </w:pPr>
      <w:r>
        <w:rPr>
          <w:rFonts w:hint="eastAsia" w:ascii="仿宋" w:hAnsi="仿宋" w:eastAsia="仿宋" w:cs="仿宋"/>
          <w:color w:val="auto"/>
          <w:sz w:val="28"/>
          <w:szCs w:val="28"/>
        </w:rPr>
        <w:t>通过这次绩效自评工作，</w:t>
      </w:r>
      <w:r>
        <w:rPr>
          <w:rFonts w:hint="eastAsia" w:ascii="仿宋" w:hAnsi="仿宋" w:eastAsia="仿宋" w:cs="仿宋"/>
          <w:color w:val="auto"/>
          <w:sz w:val="28"/>
          <w:szCs w:val="28"/>
          <w:lang w:eastAsia="zh-CN"/>
        </w:rPr>
        <w:t>我院全面分析偏离绩效目标原因及改进情况，首先</w:t>
      </w:r>
      <w:r>
        <w:rPr>
          <w:rFonts w:hint="eastAsia" w:ascii="仿宋" w:hAnsi="仿宋" w:eastAsia="仿宋" w:cs="仿宋"/>
          <w:i w:val="0"/>
          <w:iCs w:val="0"/>
          <w:caps w:val="0"/>
          <w:color w:val="444444"/>
          <w:spacing w:val="0"/>
          <w:sz w:val="28"/>
          <w:szCs w:val="28"/>
          <w:shd w:val="clear" w:color="auto" w:fill="FFFFFF"/>
        </w:rPr>
        <w:t>健全经费使用管理制度建设。修订完善业务经费支出范围文件，拓宽专项资金适用范围，属于法院正常办案开支都应列入专项资金开支范围，提高资金使用效率。</w:t>
      </w:r>
      <w:r>
        <w:rPr>
          <w:rFonts w:hint="eastAsia" w:ascii="仿宋" w:hAnsi="仿宋" w:eastAsia="仿宋" w:cs="仿宋"/>
          <w:i w:val="0"/>
          <w:iCs w:val="0"/>
          <w:caps w:val="0"/>
          <w:color w:val="444444"/>
          <w:spacing w:val="0"/>
          <w:sz w:val="28"/>
          <w:szCs w:val="28"/>
          <w:shd w:val="clear" w:color="auto" w:fill="FFFFFF"/>
          <w:lang w:eastAsia="zh-CN"/>
        </w:rPr>
        <w:t>其次建立绩效问责机制，从根本上改变</w:t>
      </w:r>
      <w:r>
        <w:rPr>
          <w:rFonts w:hint="eastAsia" w:ascii="仿宋" w:hAnsi="仿宋" w:eastAsia="仿宋" w:cs="仿宋"/>
          <w:i w:val="0"/>
          <w:iCs w:val="0"/>
          <w:caps w:val="0"/>
          <w:color w:val="333333"/>
          <w:spacing w:val="0"/>
          <w:sz w:val="28"/>
          <w:szCs w:val="28"/>
          <w:shd w:val="clear" w:color="auto" w:fill="FFFFFF"/>
        </w:rPr>
        <w:t>“重分配、轻管理”的观念</w:t>
      </w:r>
      <w:r>
        <w:rPr>
          <w:rFonts w:hint="eastAsia" w:ascii="仿宋" w:hAnsi="仿宋" w:eastAsia="仿宋" w:cs="仿宋"/>
          <w:i w:val="0"/>
          <w:iCs w:val="0"/>
          <w:caps w:val="0"/>
          <w:color w:val="333333"/>
          <w:spacing w:val="0"/>
          <w:sz w:val="28"/>
          <w:szCs w:val="28"/>
          <w:shd w:val="clear" w:color="auto" w:fill="FFFFFF"/>
          <w:lang w:eastAsia="zh-CN"/>
        </w:rPr>
        <w:t>。从而使</w:t>
      </w:r>
      <w:r>
        <w:rPr>
          <w:rFonts w:hint="eastAsia" w:ascii="仿宋" w:hAnsi="仿宋" w:eastAsia="仿宋" w:cs="仿宋"/>
          <w:color w:val="auto"/>
          <w:sz w:val="28"/>
          <w:szCs w:val="28"/>
        </w:rPr>
        <w:t>我们更加了解了财政资金的使用情况，对财政资金的使用率和分配情况有了进一步的认知，提高了相关人员对财政资金使用工作的责任心，为以后的工作提供了明确的方向。</w:t>
      </w:r>
    </w:p>
    <w:p>
      <w:pPr>
        <w:numPr>
          <w:ilvl w:val="0"/>
          <w:numId w:val="3"/>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宋体" w:eastAsia="仿宋_GB2312" w:cs="宋体"/>
          <w:b/>
          <w:bCs/>
          <w:color w:val="000000"/>
          <w:kern w:val="0"/>
          <w:sz w:val="32"/>
          <w:szCs w:val="32"/>
        </w:rPr>
        <w:t>部门</w:t>
      </w:r>
      <w:r>
        <w:rPr>
          <w:rFonts w:hint="eastAsia" w:ascii="仿宋_GB2312" w:hAnsi="仿宋_GB2312" w:eastAsia="仿宋_GB2312" w:cs="仿宋_GB2312"/>
          <w:b/>
          <w:bCs/>
          <w:sz w:val="32"/>
          <w:szCs w:val="32"/>
        </w:rPr>
        <w:t>评价项目绩效评价结果</w:t>
      </w:r>
    </w:p>
    <w:p>
      <w:pPr>
        <w:ind w:firstLine="560" w:firstLineChars="200"/>
        <w:jc w:val="both"/>
        <w:rPr>
          <w:rFonts w:hint="eastAsia" w:ascii="仿宋" w:hAnsi="仿宋" w:eastAsia="仿宋" w:cs="仿宋"/>
          <w:i w:val="0"/>
          <w:iCs w:val="0"/>
          <w:caps w:val="0"/>
          <w:color w:val="333333"/>
          <w:spacing w:val="0"/>
          <w:sz w:val="28"/>
          <w:szCs w:val="28"/>
          <w:shd w:val="clear" w:color="auto" w:fill="FFFFFF"/>
          <w:lang w:eastAsia="zh-CN"/>
        </w:rPr>
      </w:pPr>
      <w:r>
        <w:rPr>
          <w:rFonts w:hint="eastAsia" w:ascii="仿宋" w:hAnsi="仿宋" w:eastAsia="仿宋" w:cs="仿宋"/>
          <w:i w:val="0"/>
          <w:iCs w:val="0"/>
          <w:caps w:val="0"/>
          <w:color w:val="333333"/>
          <w:spacing w:val="0"/>
          <w:sz w:val="28"/>
          <w:szCs w:val="28"/>
          <w:shd w:val="clear" w:color="auto" w:fill="FFFFFF"/>
          <w:lang w:eastAsia="zh-CN"/>
        </w:rPr>
        <w:t>2022年度无部门重点评价项目。</w:t>
      </w:r>
    </w:p>
    <w:p>
      <w:pPr>
        <w:numPr>
          <w:ilvl w:val="0"/>
          <w:numId w:val="4"/>
        </w:numPr>
        <w:adjustRightInd w:val="0"/>
        <w:snapToGrid w:val="0"/>
        <w:spacing w:line="580" w:lineRule="exact"/>
        <w:ind w:firstLine="640" w:firstLineChars="200"/>
        <w:rPr>
          <w:rFonts w:hint="eastAsia" w:ascii="黑体" w:hAnsi="Calibri" w:eastAsia="黑体" w:cs="Times New Roman"/>
          <w:sz w:val="32"/>
          <w:szCs w:val="32"/>
        </w:rPr>
      </w:pPr>
      <w:r>
        <w:rPr>
          <w:rFonts w:hint="eastAsia" w:ascii="黑体" w:hAnsi="Calibri" w:eastAsia="黑体" w:cs="Times New Roman"/>
          <w:sz w:val="32"/>
          <w:szCs w:val="32"/>
        </w:rPr>
        <w:t>其他需要说明的情况</w:t>
      </w:r>
      <w:r>
        <w:rPr>
          <w:rFonts w:hint="eastAsia" w:ascii="黑体" w:hAnsi="Calibri" w:eastAsia="黑体" w:cs="Times New Roman"/>
          <w:sz w:val="32"/>
          <w:szCs w:val="32"/>
          <w:lang w:val="en-US" w:eastAsia="zh-CN"/>
        </w:rPr>
        <w:t xml:space="preserve"> </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1. 本部门 202</w:t>
      </w:r>
      <w:r>
        <w:rPr>
          <w:rFonts w:hint="eastAsia" w:ascii="仿宋" w:hAnsi="仿宋" w:eastAsia="仿宋" w:cs="仿宋"/>
          <w:color w:val="000000"/>
          <w:kern w:val="0"/>
          <w:sz w:val="31"/>
          <w:szCs w:val="31"/>
          <w:lang w:val="en-US" w:eastAsia="zh-CN" w:bidi="ar"/>
        </w:rPr>
        <w:t>2</w:t>
      </w:r>
      <w:r>
        <w:rPr>
          <w:rFonts w:ascii="仿宋" w:hAnsi="仿宋" w:eastAsia="仿宋" w:cs="仿宋"/>
          <w:color w:val="000000"/>
          <w:kern w:val="0"/>
          <w:sz w:val="31"/>
          <w:szCs w:val="31"/>
          <w:lang w:val="en-US" w:eastAsia="zh-CN" w:bidi="ar"/>
        </w:rPr>
        <w:t xml:space="preserve"> 年度政府性基金预算财政拨款收入支出决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算表和国有资本经营预算财政拨款支出决算表无收支及结转结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余情况，故 07 表和 08 表以空表列示。</w:t>
      </w:r>
      <w:bookmarkStart w:id="0" w:name="_GoBack"/>
      <w:bookmarkEnd w:id="0"/>
    </w:p>
    <w:p>
      <w:pPr>
        <w:adjustRightInd w:val="0"/>
        <w:snapToGrid w:val="0"/>
        <w:spacing w:line="580" w:lineRule="exact"/>
        <w:ind w:firstLine="640" w:firstLineChars="200"/>
        <w:rPr>
          <w:rFonts w:hint="eastAsia" w:ascii="仿宋_GB2312" w:hAnsi="宋体" w:eastAsia="仿宋_GB2312" w:cs="ArialUnicodeMS"/>
          <w:sz w:val="32"/>
          <w:szCs w:val="32"/>
          <w:lang w:eastAsia="zh-CN"/>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r>
        <w:rPr>
          <w:rFonts w:hint="eastAsia" w:ascii="仿宋_GB2312" w:hAnsi="Times New Roman" w:eastAsia="仿宋_GB2312" w:cs="DengXian-Regular"/>
          <w:sz w:val="32"/>
          <w:szCs w:val="32"/>
          <w:lang w:eastAsia="zh-CN"/>
        </w:rPr>
        <w:t>。</w:t>
      </w: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2687320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p>
    <w:p>
      <w:pPr>
        <w:widowControl/>
        <w:ind w:firstLine="2640" w:firstLineChars="600"/>
        <w:jc w:val="both"/>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1D341"/>
    <w:multiLevelType w:val="singleLevel"/>
    <w:tmpl w:val="2901D341"/>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4B0E110E"/>
    <w:multiLevelType w:val="singleLevel"/>
    <w:tmpl w:val="4B0E110E"/>
    <w:lvl w:ilvl="0" w:tentative="0">
      <w:start w:val="3"/>
      <w:numFmt w:val="chineseCounting"/>
      <w:suff w:val="nothing"/>
      <w:lvlText w:val="（%1）"/>
      <w:lvlJc w:val="left"/>
      <w:rPr>
        <w:rFonts w:hint="eastAsia"/>
      </w:r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5">
    <w:nsid w:val="774A99D7"/>
    <w:multiLevelType w:val="singleLevel"/>
    <w:tmpl w:val="774A99D7"/>
    <w:lvl w:ilvl="0" w:tentative="0">
      <w:start w:val="10"/>
      <w:numFmt w:val="chineseCounting"/>
      <w:suff w:val="nothing"/>
      <w:lvlText w:val="%1、"/>
      <w:lvlJc w:val="left"/>
      <w:rPr>
        <w:rFonts w:hint="eastAsia"/>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DUsImhkaWQiOiI3N2Q2OTQzZGIzNGQ4Yjc3M2EwODM4Y2QxOGE1OTZhOSIsInVzZXJDb3VudCI6Mjl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7C6D0A"/>
    <w:rsid w:val="018E53BB"/>
    <w:rsid w:val="01B752BF"/>
    <w:rsid w:val="0236335D"/>
    <w:rsid w:val="02F2691F"/>
    <w:rsid w:val="03F14497"/>
    <w:rsid w:val="05273E55"/>
    <w:rsid w:val="06EB1AB6"/>
    <w:rsid w:val="075C73C2"/>
    <w:rsid w:val="077A174C"/>
    <w:rsid w:val="099D6B31"/>
    <w:rsid w:val="09FD66D9"/>
    <w:rsid w:val="0C676F35"/>
    <w:rsid w:val="0CAA6E21"/>
    <w:rsid w:val="0D841B7B"/>
    <w:rsid w:val="0E12634A"/>
    <w:rsid w:val="0EAF071F"/>
    <w:rsid w:val="10B242CF"/>
    <w:rsid w:val="10E52823"/>
    <w:rsid w:val="11F4604E"/>
    <w:rsid w:val="11F8418B"/>
    <w:rsid w:val="136D16FB"/>
    <w:rsid w:val="13AA21BF"/>
    <w:rsid w:val="1866621D"/>
    <w:rsid w:val="18FC6C57"/>
    <w:rsid w:val="191257C1"/>
    <w:rsid w:val="1A3D2C72"/>
    <w:rsid w:val="1C16002F"/>
    <w:rsid w:val="1C2F2E9F"/>
    <w:rsid w:val="1C856F63"/>
    <w:rsid w:val="1D1B344A"/>
    <w:rsid w:val="1F876510"/>
    <w:rsid w:val="1FE521F3"/>
    <w:rsid w:val="20D72FCC"/>
    <w:rsid w:val="216937C4"/>
    <w:rsid w:val="237D4995"/>
    <w:rsid w:val="24A41E8A"/>
    <w:rsid w:val="24A8438A"/>
    <w:rsid w:val="25285481"/>
    <w:rsid w:val="25315EDA"/>
    <w:rsid w:val="255319AC"/>
    <w:rsid w:val="26F060CC"/>
    <w:rsid w:val="27A71E0B"/>
    <w:rsid w:val="298605CB"/>
    <w:rsid w:val="2A5613B4"/>
    <w:rsid w:val="2B2767A0"/>
    <w:rsid w:val="2B38144E"/>
    <w:rsid w:val="2CEF036C"/>
    <w:rsid w:val="2FF856F9"/>
    <w:rsid w:val="30E87D95"/>
    <w:rsid w:val="3103697D"/>
    <w:rsid w:val="317E7BC0"/>
    <w:rsid w:val="32A31C4C"/>
    <w:rsid w:val="32B53CA7"/>
    <w:rsid w:val="33953AD8"/>
    <w:rsid w:val="33AA5EC5"/>
    <w:rsid w:val="33CD2241"/>
    <w:rsid w:val="34967CFD"/>
    <w:rsid w:val="35B73DF2"/>
    <w:rsid w:val="39C2416B"/>
    <w:rsid w:val="39F01A68"/>
    <w:rsid w:val="3B744E3E"/>
    <w:rsid w:val="3D8C5F4C"/>
    <w:rsid w:val="3DC91A1B"/>
    <w:rsid w:val="3F235BB1"/>
    <w:rsid w:val="3F663581"/>
    <w:rsid w:val="4078283E"/>
    <w:rsid w:val="41032081"/>
    <w:rsid w:val="426D00FA"/>
    <w:rsid w:val="42A44BF6"/>
    <w:rsid w:val="4571549B"/>
    <w:rsid w:val="471274FD"/>
    <w:rsid w:val="476D294A"/>
    <w:rsid w:val="48F80C36"/>
    <w:rsid w:val="49717ADD"/>
    <w:rsid w:val="49D722FD"/>
    <w:rsid w:val="4A51609B"/>
    <w:rsid w:val="4B49722A"/>
    <w:rsid w:val="4C194D3B"/>
    <w:rsid w:val="4D304C6C"/>
    <w:rsid w:val="4F2A6A41"/>
    <w:rsid w:val="4F6463E1"/>
    <w:rsid w:val="500373A2"/>
    <w:rsid w:val="507C6383"/>
    <w:rsid w:val="53AD746D"/>
    <w:rsid w:val="561769D4"/>
    <w:rsid w:val="56E0560F"/>
    <w:rsid w:val="57661B06"/>
    <w:rsid w:val="57725A42"/>
    <w:rsid w:val="58B77EC9"/>
    <w:rsid w:val="58D12B2F"/>
    <w:rsid w:val="58D844B0"/>
    <w:rsid w:val="5A9D3EE7"/>
    <w:rsid w:val="5DF93EFB"/>
    <w:rsid w:val="5F4A1A8C"/>
    <w:rsid w:val="5FE5356E"/>
    <w:rsid w:val="60075621"/>
    <w:rsid w:val="602001C2"/>
    <w:rsid w:val="60CE32E1"/>
    <w:rsid w:val="624520A2"/>
    <w:rsid w:val="64C00985"/>
    <w:rsid w:val="65225D26"/>
    <w:rsid w:val="65DB5CBA"/>
    <w:rsid w:val="674E6C15"/>
    <w:rsid w:val="67636EEB"/>
    <w:rsid w:val="67A840C2"/>
    <w:rsid w:val="686349C9"/>
    <w:rsid w:val="697609B2"/>
    <w:rsid w:val="69F4671F"/>
    <w:rsid w:val="6BA53F12"/>
    <w:rsid w:val="6CBF282C"/>
    <w:rsid w:val="6E250FD9"/>
    <w:rsid w:val="6FA67EF8"/>
    <w:rsid w:val="70B50652"/>
    <w:rsid w:val="73335BEE"/>
    <w:rsid w:val="734B3BFA"/>
    <w:rsid w:val="73753308"/>
    <w:rsid w:val="74BC2F20"/>
    <w:rsid w:val="74D52C89"/>
    <w:rsid w:val="75377F70"/>
    <w:rsid w:val="785449E8"/>
    <w:rsid w:val="79442C5B"/>
    <w:rsid w:val="79A7307E"/>
    <w:rsid w:val="7AB12572"/>
    <w:rsid w:val="7BB011B5"/>
    <w:rsid w:val="7BD61B65"/>
    <w:rsid w:val="7C2A2F43"/>
    <w:rsid w:val="7EAD450C"/>
    <w:rsid w:val="7EB10D93"/>
    <w:rsid w:val="7F0A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5</TotalTime>
  <ScaleCrop>false</ScaleCrop>
  <LinksUpToDate>false</LinksUpToDate>
  <CharactersWithSpaces>11927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NG锴</cp:lastModifiedBy>
  <cp:lastPrinted>2023-08-04T01:00:00Z</cp:lastPrinted>
  <dcterms:modified xsi:type="dcterms:W3CDTF">2023-12-07T09:13:42Z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1515CEFC20754C3380B382230295B456</vt:lpwstr>
  </property>
</Properties>
</file>