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3"/>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821</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成安县文化广电和旅游局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821</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成安县文化广电和旅游局</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5"/>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成安县文化广电和旅游局</w:t>
      </w:r>
    </w:p>
    <w:p>
      <w:pPr>
        <w:snapToGrid w:val="0"/>
        <w:jc w:val="center"/>
        <w:rPr>
          <w:rFonts w:ascii="黑体" w:hAnsi="黑体" w:eastAsia="黑体" w:cs="黑体"/>
          <w:sz w:val="56"/>
          <w:szCs w:val="72"/>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both"/>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一）贯彻执行党和国家文化、广播电视、网络视听节目和旅游工作方针政策和法律法规。研究拟订全市文化、广播电视、网络视听节目和旅游政策措施，起草全市文化、广播电视、网络视听节目服务管理和旅游地方性法规、政府规章草案。</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（二）拟订全市文化事业、文化产业、广播电视领域和旅游业发展规划并组织实施，推进文化、广播电视和旅游融合发展，推进文化、广播电视和旅游体制机制改革。</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三）管理和组织全市性重大文化、广播电视和旅游活动，组织实施全市公共服务重大工程。指导全市重点文化和旅游设施建设，组织邯郸文化和旅游整体形象推广，促进对外合作和国际市场推广；制定全市旅游市场开发营销战略并组织实施，指导、组织推进全域旅游。扶助老少边贫地区广播电视建设和发展。</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四）负责全市文化、广播电视和旅游事业发展。推动全市文化、广播电视和旅游公共服务体系建设，深入实施文化惠民工程，统筹推进全市文化、广播电视和旅游服务标准化、均等化。负责全市文化、广播电视和旅游统计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（五）统筹规划全市文化产业、广播电视产业和旅游产业。组织实施文化和旅游资源普查、挖掘、保护和开发利用工作，促进文化产业、广播电视产业和旅游产业发展。</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（六）指导、推进全市文化、广播电视和旅游科技创新发展，推进文化、广播电视和旅游行业信息化、标准化建设。</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（七）指导、管理全市文艺事业。指导艺术创作生产，扶持体现社会主义核心价值观、具有导向性代表性示范性的文艺作品，推动全市各门类艺术、各艺术品种发展。指导全市电视剧行业发展和电视剧创作生产。</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（八）组织协调文化遗产的管理和保护，指导和管理文物、博物馆事业，组织指导文物的保护抢救、考古发掘和开发利用工作。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（九）负责全市非物质文化遗产保护，推动非物质文化遗产的保护、传承、普及、弘扬和振兴。</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（十）指导全市文化、广播电视和旅游市场发展。对文化、广播电视和旅游市场经营进行行业监管，推进全市文化、广播电视和旅游行业信用体系建设，依法规范文化、广播电视和旅游市场。</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273"/>
        <w:gridCol w:w="2657"/>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27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65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273" w:type="dxa"/>
            <w:vAlign w:val="top"/>
          </w:tcPr>
          <w:p>
            <w:pPr>
              <w:spacing w:line="560" w:lineRule="exact"/>
              <w:rPr>
                <w:rFonts w:ascii="仿宋_GB2312" w:hAnsi="Calibri" w:eastAsia="仿宋_GB2312" w:cs="ArialUnicodeMS"/>
                <w:kern w:val="0"/>
                <w:sz w:val="28"/>
                <w:szCs w:val="28"/>
              </w:rPr>
            </w:pPr>
            <w:r>
              <w:rPr>
                <w:rFonts w:hint="eastAsia" w:ascii="仿宋_GB2312" w:hAnsi="Calibri" w:eastAsia="仿宋_GB2312" w:cs="Arial Black"/>
                <w:kern w:val="0"/>
                <w:sz w:val="28"/>
                <w:szCs w:val="28"/>
                <w:lang w:val="en-US" w:eastAsia="zh-CN"/>
              </w:rPr>
              <w:t>成安县文化广电和旅游局</w:t>
            </w:r>
            <w:r>
              <w:rPr>
                <w:rFonts w:hint="eastAsia" w:ascii="仿宋_GB2312" w:hAnsi="Calibri" w:eastAsia="仿宋_GB2312" w:cs="ArialUnicodeMS"/>
                <w:kern w:val="0"/>
                <w:sz w:val="28"/>
                <w:szCs w:val="28"/>
              </w:rPr>
              <w:t>(本级)</w:t>
            </w:r>
          </w:p>
        </w:tc>
        <w:tc>
          <w:tcPr>
            <w:tcW w:w="2657"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我部门无二级预算单位，因此，成安县文化广电和旅游局2022年度部门决算即成安县文化广电和旅游局本级2022年度决算。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192"/>
        <w:gridCol w:w="640"/>
        <w:gridCol w:w="185"/>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部门：成安县文化广电和旅游局</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56"/>
              </w:tabs>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526.44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16.43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b/>
                <w:color w:val="000000"/>
                <w:sz w:val="22"/>
                <w:lang w:val="en-US" w:eastAsia="zh-CN"/>
              </w:rPr>
            </w:pPr>
            <w:r>
              <w:rPr>
                <w:rFonts w:hint="eastAsia" w:ascii="宋体" w:hAnsi="宋体" w:eastAsia="宋体" w:cs="宋体"/>
                <w:color w:val="000000"/>
                <w:sz w:val="22"/>
                <w:lang w:val="en-US" w:eastAsia="zh-CN"/>
              </w:rPr>
              <w:t>10.5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b/>
                <w:color w:val="000000"/>
                <w:sz w:val="22"/>
                <w:lang w:val="en-US" w:eastAsia="zh-CN"/>
              </w:rPr>
            </w:pPr>
            <w:r>
              <w:rPr>
                <w:rFonts w:hint="eastAsia" w:ascii="宋体" w:hAnsi="宋体" w:eastAsia="宋体" w:cs="宋体"/>
                <w:color w:val="000000"/>
                <w:sz w:val="22"/>
                <w:lang w:val="en-US" w:eastAsia="zh-CN"/>
              </w:rPr>
              <w:t>12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val="0"/>
                <w:bCs w:val="0"/>
                <w:color w:val="000000"/>
                <w:kern w:val="0"/>
                <w:sz w:val="22"/>
                <w:lang w:bidi="ar"/>
              </w:rPr>
            </w:pPr>
            <w:r>
              <w:rPr>
                <w:rFonts w:hint="eastAsia"/>
                <w:b w:val="0"/>
                <w:bCs w:val="0"/>
              </w:rPr>
              <w:t>58</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val="0"/>
                <w:bCs w:val="0"/>
                <w:color w:val="000000"/>
                <w:sz w:val="22"/>
                <w:lang w:val="en-US" w:eastAsia="zh-CN"/>
              </w:rPr>
            </w:pPr>
            <w:r>
              <w:rPr>
                <w:rFonts w:hint="eastAsia" w:ascii="宋体" w:hAnsi="宋体" w:eastAsia="宋体" w:cs="宋体"/>
                <w:b w:val="0"/>
                <w:bCs w:val="0"/>
                <w:color w:val="000000"/>
                <w:sz w:val="22"/>
                <w:lang w:val="en-US" w:eastAsia="zh-CN"/>
              </w:rPr>
              <w:t>565.37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556"/>
        <w:gridCol w:w="2889"/>
        <w:gridCol w:w="1019"/>
        <w:gridCol w:w="1050"/>
        <w:gridCol w:w="931"/>
        <w:gridCol w:w="1081"/>
        <w:gridCol w:w="80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56" w:type="dxa"/>
            <w:shd w:val="clear" w:color="auto" w:fill="FFFFFF"/>
            <w:vAlign w:val="center"/>
          </w:tcPr>
          <w:p>
            <w:pPr>
              <w:jc w:val="right"/>
              <w:rPr>
                <w:rFonts w:ascii="宋体" w:hAnsi="宋体" w:eastAsia="宋体" w:cs="宋体"/>
                <w:color w:val="000000"/>
                <w:sz w:val="24"/>
              </w:rPr>
            </w:pPr>
          </w:p>
        </w:tc>
        <w:tc>
          <w:tcPr>
            <w:tcW w:w="2889" w:type="dxa"/>
            <w:shd w:val="clear" w:color="auto" w:fill="FFFFFF"/>
            <w:vAlign w:val="center"/>
          </w:tcPr>
          <w:p>
            <w:pPr>
              <w:jc w:val="right"/>
              <w:rPr>
                <w:rFonts w:ascii="宋体" w:hAnsi="宋体" w:eastAsia="宋体" w:cs="宋体"/>
                <w:color w:val="000000"/>
                <w:sz w:val="24"/>
              </w:rPr>
            </w:pPr>
          </w:p>
        </w:tc>
        <w:tc>
          <w:tcPr>
            <w:tcW w:w="1019" w:type="dxa"/>
            <w:shd w:val="clear" w:color="auto" w:fill="FFFFFF"/>
            <w:vAlign w:val="center"/>
          </w:tcPr>
          <w:p>
            <w:pPr>
              <w:jc w:val="right"/>
              <w:rPr>
                <w:rFonts w:ascii="宋体" w:hAnsi="宋体" w:eastAsia="宋体" w:cs="宋体"/>
                <w:color w:val="000000"/>
                <w:sz w:val="24"/>
              </w:rPr>
            </w:pPr>
          </w:p>
        </w:tc>
        <w:tc>
          <w:tcPr>
            <w:tcW w:w="1050" w:type="dxa"/>
            <w:shd w:val="clear" w:color="auto" w:fill="FFFFFF"/>
            <w:vAlign w:val="center"/>
          </w:tcPr>
          <w:p>
            <w:pPr>
              <w:jc w:val="right"/>
              <w:rPr>
                <w:rFonts w:ascii="宋体" w:hAnsi="宋体" w:eastAsia="宋体" w:cs="宋体"/>
                <w:color w:val="000000"/>
                <w:sz w:val="24"/>
              </w:rPr>
            </w:pPr>
          </w:p>
        </w:tc>
        <w:tc>
          <w:tcPr>
            <w:tcW w:w="931" w:type="dxa"/>
            <w:shd w:val="clear" w:color="auto" w:fill="FFFFFF"/>
            <w:vAlign w:val="center"/>
          </w:tcPr>
          <w:p>
            <w:pPr>
              <w:jc w:val="right"/>
              <w:rPr>
                <w:rFonts w:ascii="宋体" w:hAnsi="宋体" w:eastAsia="宋体" w:cs="宋体"/>
                <w:color w:val="000000"/>
                <w:sz w:val="24"/>
              </w:rPr>
            </w:pPr>
          </w:p>
        </w:tc>
        <w:tc>
          <w:tcPr>
            <w:tcW w:w="1081" w:type="dxa"/>
            <w:shd w:val="clear" w:color="auto" w:fill="FFFFFF"/>
            <w:vAlign w:val="center"/>
          </w:tcPr>
          <w:p>
            <w:pPr>
              <w:jc w:val="right"/>
              <w:rPr>
                <w:rFonts w:ascii="宋体" w:hAnsi="宋体" w:eastAsia="宋体" w:cs="宋体"/>
                <w:color w:val="000000"/>
                <w:sz w:val="24"/>
              </w:rPr>
            </w:pPr>
          </w:p>
        </w:tc>
        <w:tc>
          <w:tcPr>
            <w:tcW w:w="80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4000" w:type="dxa"/>
            <w:gridSpan w:val="3"/>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lang w:bidi="ar"/>
              </w:rPr>
              <w:t>部门：成安县文化广电和旅游局</w:t>
            </w:r>
          </w:p>
        </w:tc>
        <w:tc>
          <w:tcPr>
            <w:tcW w:w="1019" w:type="dxa"/>
            <w:shd w:val="clear" w:color="auto" w:fill="FFFFFF"/>
            <w:vAlign w:val="center"/>
          </w:tcPr>
          <w:p>
            <w:pPr>
              <w:jc w:val="right"/>
              <w:rPr>
                <w:rFonts w:ascii="宋体" w:hAnsi="宋体" w:eastAsia="宋体" w:cs="宋体"/>
                <w:color w:val="000000"/>
                <w:sz w:val="24"/>
              </w:rPr>
            </w:pPr>
          </w:p>
        </w:tc>
        <w:tc>
          <w:tcPr>
            <w:tcW w:w="105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931" w:type="dxa"/>
            <w:shd w:val="clear" w:color="auto" w:fill="FFFFFF"/>
            <w:vAlign w:val="center"/>
          </w:tcPr>
          <w:p>
            <w:pPr>
              <w:jc w:val="center"/>
              <w:rPr>
                <w:rFonts w:ascii="宋体" w:hAnsi="宋体" w:eastAsia="宋体" w:cs="宋体"/>
                <w:color w:val="000000"/>
                <w:sz w:val="20"/>
                <w:szCs w:val="20"/>
              </w:rPr>
            </w:pPr>
          </w:p>
        </w:tc>
        <w:tc>
          <w:tcPr>
            <w:tcW w:w="1081" w:type="dxa"/>
            <w:shd w:val="clear" w:color="auto" w:fill="FFFFFF"/>
            <w:vAlign w:val="center"/>
          </w:tcPr>
          <w:p>
            <w:pPr>
              <w:jc w:val="right"/>
              <w:rPr>
                <w:rFonts w:ascii="宋体" w:hAnsi="宋体" w:eastAsia="宋体" w:cs="宋体"/>
                <w:color w:val="000000"/>
                <w:sz w:val="24"/>
              </w:rPr>
            </w:pPr>
          </w:p>
        </w:tc>
        <w:tc>
          <w:tcPr>
            <w:tcW w:w="80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4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1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8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8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4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4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565.37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565.37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526.44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526.44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文化和旅游</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349.06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349.06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2070101</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171.83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171.83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2070105</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15.82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2070109</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8.25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2070199</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153.16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20702</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文物</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12.88</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2070204</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12.88</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20799</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164.50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2079999</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164.50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16.43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15.76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15.76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11.87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11.87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3.89</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0.67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0.67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10.50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10.50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10.50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395"/>
        <w:gridCol w:w="2780"/>
        <w:gridCol w:w="1037"/>
        <w:gridCol w:w="1131"/>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395" w:type="dxa"/>
            <w:shd w:val="clear" w:color="auto" w:fill="FFFFFF"/>
            <w:vAlign w:val="center"/>
          </w:tcPr>
          <w:p>
            <w:pPr>
              <w:jc w:val="right"/>
              <w:rPr>
                <w:rFonts w:ascii="宋体" w:hAnsi="宋体" w:eastAsia="宋体" w:cs="宋体"/>
                <w:color w:val="000000"/>
                <w:sz w:val="24"/>
              </w:rPr>
            </w:pPr>
          </w:p>
        </w:tc>
        <w:tc>
          <w:tcPr>
            <w:tcW w:w="2780" w:type="dxa"/>
            <w:shd w:val="clear" w:color="auto" w:fill="FFFFFF"/>
            <w:vAlign w:val="center"/>
          </w:tcPr>
          <w:p>
            <w:pPr>
              <w:jc w:val="right"/>
              <w:rPr>
                <w:rFonts w:ascii="宋体" w:hAnsi="宋体" w:eastAsia="宋体" w:cs="宋体"/>
                <w:color w:val="000000"/>
                <w:sz w:val="24"/>
              </w:rPr>
            </w:pPr>
          </w:p>
        </w:tc>
        <w:tc>
          <w:tcPr>
            <w:tcW w:w="1037" w:type="dxa"/>
            <w:shd w:val="clear" w:color="auto" w:fill="FFFFFF"/>
            <w:vAlign w:val="center"/>
          </w:tcPr>
          <w:p>
            <w:pPr>
              <w:jc w:val="right"/>
              <w:rPr>
                <w:rFonts w:ascii="宋体" w:hAnsi="宋体" w:eastAsia="宋体" w:cs="宋体"/>
                <w:color w:val="000000"/>
                <w:sz w:val="24"/>
              </w:rPr>
            </w:pPr>
          </w:p>
        </w:tc>
        <w:tc>
          <w:tcPr>
            <w:tcW w:w="1131"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3846" w:type="dxa"/>
            <w:gridSpan w:val="3"/>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lang w:bidi="ar"/>
              </w:rPr>
              <w:t>部门：成安县文化广电和旅游局</w:t>
            </w:r>
          </w:p>
        </w:tc>
        <w:tc>
          <w:tcPr>
            <w:tcW w:w="103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131"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8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0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8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8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565.37</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242.73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322.64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526.44</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203.80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322.64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文化和旅游</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349.06</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190.81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158.25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2070101</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171.83</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171.83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2070105</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15.82</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2070109</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8.25</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8.25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2070199</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153.16</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3.16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20702</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文物</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2070204</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20799</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164.50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2079999</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164.50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15.76</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11.87</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11.87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3.89</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2101201</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0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735"/>
        <w:gridCol w:w="579"/>
        <w:gridCol w:w="2178"/>
        <w:gridCol w:w="208"/>
        <w:gridCol w:w="57"/>
        <w:gridCol w:w="948"/>
        <w:gridCol w:w="1015"/>
        <w:gridCol w:w="156"/>
        <w:gridCol w:w="947"/>
        <w:gridCol w:w="1315"/>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lang w:bidi="ar"/>
                    </w:rPr>
                    <w:t>部门：成安县文化广电和旅游局</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4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40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526.44</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526.44</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16.43</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16.43</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10.50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10.50</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27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2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1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565.37</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2"/>
            <w:shd w:val="clear" w:color="auto" w:fill="FFFFFF"/>
            <w:vAlign w:val="center"/>
          </w:tcPr>
          <w:p>
            <w:pPr>
              <w:rPr>
                <w:rFonts w:ascii="宋体" w:hAnsi="宋体" w:eastAsia="宋体" w:cs="宋体"/>
                <w:color w:val="000000"/>
                <w:sz w:val="20"/>
                <w:szCs w:val="20"/>
              </w:rPr>
            </w:pP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部门：成安县文化广电和旅游局</w:t>
            </w:r>
            <w:r>
              <w:rPr>
                <w:rFonts w:hint="eastAsia" w:ascii="宋体" w:hAnsi="宋体" w:eastAsia="宋体" w:cs="宋体"/>
                <w:color w:val="000000"/>
                <w:sz w:val="20"/>
                <w:szCs w:val="20"/>
              </w:rPr>
              <w:t xml:space="preserve">             </w:t>
            </w:r>
          </w:p>
        </w:tc>
        <w:tc>
          <w:tcPr>
            <w:tcW w:w="2386"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565.37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242.73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322.64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526.44</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203.80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322.64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文化和旅游</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349.06</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190.81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158.25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171.83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171.83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15.82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15.82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2070109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8.25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8.25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2070199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153.16</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3.16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文物</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2070204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12.88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164.50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164.39</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2079999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164.50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164.39</w:t>
            </w:r>
          </w:p>
        </w:tc>
      </w:tr>
      <w:tr>
        <w:tblPrEx>
          <w:tblCellMar>
            <w:top w:w="15" w:type="dxa"/>
            <w:left w:w="15" w:type="dxa"/>
            <w:bottom w:w="15" w:type="dxa"/>
            <w:right w:w="15" w:type="dxa"/>
          </w:tblCellMar>
        </w:tblPrEx>
        <w:trPr>
          <w:gridAfter w:val="1"/>
          <w:wAfter w:w="3338" w:type="dxa"/>
          <w:trHeight w:val="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16.43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15.76</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11.87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11.87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0.67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10.50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4305" w:type="dxa"/>
            <w:gridSpan w:val="4"/>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部门：成安县文化广电和旅游局</w:t>
            </w: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205.14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36.48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142.81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10.18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14.15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6.01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2.50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7.20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11.61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1.63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3.82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10.50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0.63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0.90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1.11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0.67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0.10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0.71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0.37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8.06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206.25</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36.48</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部门：成安县文化广电和旅游局</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5"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注：本部门本年度无相关收入（或支出、收支及结转结余等）情况，按要求空表列示。</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部门：成安县文化广电和旅游局</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注：本部门本年度无相关收入（或支出、收支及结转结余等）情况，按要求空表列示。</w:t>
            </w:r>
            <w:r>
              <w:rPr>
                <w:b/>
              </w:rPr>
              <w:br w:type="page"/>
            </w:r>
          </w:p>
          <w:p>
            <w:pPr>
              <w:widowControl/>
              <w:jc w:val="lef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部门：成安县文化广电和旅游局</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0.71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0.71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0.71</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0.71</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0.71</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sz w:val="22"/>
                <w:lang w:val="en-US" w:eastAsia="zh-CN"/>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0.71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bookmarkStart w:id="0" w:name="_GoBack"/>
      <w:bookmarkEnd w:id="0"/>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196.22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113万元</w:t>
      </w:r>
      <w:r>
        <w:rPr>
          <w:rFonts w:hint="eastAsia" w:ascii="仿宋_GB2312" w:hAnsi="Times New Roman" w:eastAsia="仿宋_GB2312" w:cs="DengXian-Regular"/>
          <w:sz w:val="32"/>
          <w:szCs w:val="32"/>
        </w:rPr>
        <w:t>，下降</w:t>
      </w:r>
      <w:r>
        <w:rPr>
          <w:rFonts w:hint="eastAsia" w:ascii="仿宋_GB2312" w:hAnsi="Times New Roman" w:eastAsia="仿宋_GB2312" w:cs="DengXian-Regular"/>
          <w:sz w:val="32"/>
          <w:szCs w:val="32"/>
          <w:lang w:val="en-US" w:eastAsia="zh-CN"/>
        </w:rPr>
        <w:t>26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17%</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精简支出，减少不必要的支出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default" w:ascii="仿宋_GB2312" w:hAnsi="Times New Roman" w:eastAsia="仿宋_GB2312" w:cs="DengXian-Regular"/>
          <w:sz w:val="32"/>
          <w:szCs w:val="32"/>
          <w:highlight w:val="yellow"/>
          <w:lang w:val="en-US"/>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242.73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42.9</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322.64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57.1%。</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196.22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各项设施完善，用于基础设施建设的收入减少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113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不必要的支出减少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万元，比上年增减少</w:t>
      </w:r>
      <w:r>
        <w:rPr>
          <w:rFonts w:hint="eastAsia" w:ascii="仿宋_GB2312" w:hAnsi="Times New Roman" w:eastAsia="仿宋_GB2312" w:cs="DengXian-Regular"/>
          <w:sz w:val="32"/>
          <w:szCs w:val="32"/>
          <w:lang w:val="en-US" w:eastAsia="zh-CN"/>
        </w:rPr>
        <w:t>196.22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各项设施完善，用于基础设施建设的收入减少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113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不必要的支出减少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136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150.14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文化旅游体育与传媒收入增加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119.19</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文化旅游体育与传媒支出增加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136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150.14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文化旅游体育与传媒收入增加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127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119.19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文化旅游体育与传媒支出增加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3.国有资本经营预算财政拨款本年收入完成年初预算x%，比年初预算增加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565.37</w:t>
      </w:r>
      <w:r>
        <w:rPr>
          <w:rFonts w:hint="eastAsia" w:ascii="仿宋_GB2312" w:hAnsi="Times New Roman" w:eastAsia="仿宋_GB2312" w:cs="DengXian-Regular"/>
          <w:sz w:val="32"/>
          <w:szCs w:val="32"/>
        </w:rPr>
        <w:t>万元，主要用于以下方面：</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文化旅游体育与传媒支出</w:t>
      </w:r>
      <w:r>
        <w:rPr>
          <w:rFonts w:hint="eastAsia" w:ascii="仿宋_GB2312" w:hAnsi="Times New Roman" w:eastAsia="仿宋_GB2312" w:cs="DengXian-Regular"/>
          <w:sz w:val="32"/>
          <w:szCs w:val="32"/>
          <w:lang w:val="en-US" w:eastAsia="zh-CN"/>
        </w:rPr>
        <w:t>526.44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机关行政运行、文化宣传活动、文化用品配备</w:t>
      </w:r>
      <w:r>
        <w:rPr>
          <w:rFonts w:hint="eastAsia" w:ascii="仿宋_GB2312" w:hAnsi="Times New Roman" w:eastAsia="仿宋_GB2312" w:cs="DengXian-Regular"/>
          <w:sz w:val="32"/>
          <w:szCs w:val="32"/>
        </w:rPr>
        <w:t>等支出；</w:t>
      </w:r>
      <w:r>
        <w:rPr>
          <w:rFonts w:hint="eastAsia" w:ascii="仿宋_GB2312" w:hAnsi="Times New Roman" w:eastAsia="仿宋_GB2312" w:cs="DengXian-Regular"/>
          <w:sz w:val="32"/>
          <w:szCs w:val="32"/>
          <w:lang w:eastAsia="zh-CN"/>
        </w:rPr>
        <w:t>社会保障和就业</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16.43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2.9</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缴纳养老保险、职业年金</w:t>
      </w:r>
      <w:r>
        <w:rPr>
          <w:rFonts w:hint="eastAsia" w:ascii="仿宋_GB2312" w:hAnsi="Times New Roman" w:eastAsia="仿宋_GB2312" w:cs="DengXian-Regular"/>
          <w:sz w:val="32"/>
          <w:szCs w:val="32"/>
        </w:rPr>
        <w:t>等支出；</w:t>
      </w:r>
      <w:r>
        <w:rPr>
          <w:rFonts w:hint="eastAsia" w:ascii="仿宋_GB2312" w:hAnsi="Times New Roman" w:eastAsia="仿宋_GB2312" w:cs="DengXian-Regular"/>
          <w:sz w:val="32"/>
          <w:szCs w:val="32"/>
          <w:lang w:eastAsia="zh-CN"/>
        </w:rPr>
        <w:t>卫生健康</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10.5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1.8</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缴纳医疗保险</w:t>
      </w:r>
      <w:r>
        <w:rPr>
          <w:rFonts w:hint="eastAsia" w:ascii="仿宋_GB2312" w:hAnsi="Times New Roman" w:eastAsia="仿宋_GB2312" w:cs="DengXian-Regular"/>
          <w:sz w:val="32"/>
          <w:szCs w:val="32"/>
        </w:rPr>
        <w:t>等支出；</w:t>
      </w:r>
      <w:r>
        <w:rPr>
          <w:rFonts w:hint="eastAsia" w:ascii="仿宋_GB2312" w:hAnsi="Times New Roman" w:eastAsia="仿宋_GB2312" w:cs="DengXian-Regular"/>
          <w:sz w:val="32"/>
          <w:szCs w:val="32"/>
          <w:lang w:eastAsia="zh-CN"/>
        </w:rPr>
        <w:t>住房保障</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12</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2.3</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缴纳住房公积金</w:t>
      </w:r>
      <w:r>
        <w:rPr>
          <w:rFonts w:hint="eastAsia" w:ascii="仿宋_GB2312" w:hAnsi="Times New Roman" w:eastAsia="仿宋_GB2312" w:cs="DengXian-Regular"/>
          <w:sz w:val="32"/>
          <w:szCs w:val="32"/>
        </w:rPr>
        <w:t>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242.73</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205.14</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36.48</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0.71</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0.71</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%；较2021年度决算减少</w:t>
      </w:r>
      <w:r>
        <w:rPr>
          <w:rFonts w:hint="eastAsia" w:ascii="仿宋_GB2312" w:hAnsi="Times New Roman" w:eastAsia="仿宋_GB2312" w:cs="DengXian-Regular"/>
          <w:sz w:val="32"/>
          <w:szCs w:val="32"/>
          <w:lang w:val="en-US" w:eastAsia="zh-CN"/>
        </w:rPr>
        <w:t>0.94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用于公车维修的费用减少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0.71</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0.71</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0.94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用于公车维修的费用减少</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0.71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0.94</w:t>
      </w:r>
      <w:r>
        <w:rPr>
          <w:rFonts w:hint="eastAsia" w:ascii="仿宋_GB2312" w:hAnsi="Times New Roman" w:eastAsia="仿宋_GB2312" w:cs="DengXian-Regular"/>
          <w:sz w:val="32"/>
          <w:szCs w:val="32"/>
        </w:rPr>
        <w:t>万元，降</w:t>
      </w:r>
      <w:r>
        <w:rPr>
          <w:rFonts w:hint="eastAsia" w:ascii="仿宋_GB2312" w:hAnsi="Times New Roman" w:eastAsia="仿宋_GB2312" w:cs="DengXian-Regular"/>
          <w:sz w:val="32"/>
          <w:szCs w:val="32"/>
          <w:lang w:val="en-US" w:eastAsia="zh-CN"/>
        </w:rPr>
        <w:t>57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用于公车维修的费用减少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171.83</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79.61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单位活动增加，用于机关运行的经费随之增加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b w:val="0"/>
          <w:bCs w:val="0"/>
          <w:sz w:val="32"/>
          <w:szCs w:val="32"/>
        </w:rPr>
      </w:pPr>
      <w:r>
        <w:rPr>
          <w:rFonts w:hint="eastAsia" w:ascii="仿宋_GB2312" w:hAnsi="Times New Roman" w:eastAsia="仿宋_GB2312" w:cs="DengXian-Regular"/>
          <w:b w:val="0"/>
          <w:bCs w:val="0"/>
          <w:sz w:val="32"/>
          <w:szCs w:val="32"/>
        </w:rPr>
        <w:t>本部门2022年度政府采购支出总额</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万元，从采购类型来看，</w:t>
      </w:r>
      <w:r>
        <w:rPr>
          <w:rFonts w:ascii="仿宋_GB2312" w:hAnsi="仿宋_GB2312" w:eastAsia="仿宋_GB2312" w:cs="仿宋_GB2312"/>
          <w:b w:val="0"/>
          <w:bCs w:val="0"/>
          <w:color w:val="000000"/>
          <w:kern w:val="0"/>
          <w:sz w:val="32"/>
          <w:szCs w:val="32"/>
          <w:lang w:bidi="ar"/>
        </w:rPr>
        <w:t>政府采购货物支出</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万元、政府采购工程支出</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 xml:space="preserve">万元、政府采购服务支出 </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万元。授予中小企业合同金</w:t>
      </w:r>
      <w:r>
        <w:rPr>
          <w:rFonts w:hint="eastAsia" w:ascii="仿宋_GB2312" w:hAnsi="仿宋_GB2312" w:eastAsia="仿宋_GB2312" w:cs="仿宋_GB2312"/>
          <w:b w:val="0"/>
          <w:bCs w:val="0"/>
          <w:color w:val="000000"/>
          <w:kern w:val="0"/>
          <w:sz w:val="32"/>
          <w:szCs w:val="32"/>
          <w:lang w:eastAsia="zh-CN" w:bidi="ar"/>
        </w:rPr>
        <w:t>额</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万元，占政府采购支出总额的</w:t>
      </w:r>
      <w:r>
        <w:rPr>
          <w:rFonts w:hint="eastAsia" w:ascii="仿宋_GB2312" w:hAnsi="仿宋_GB2312" w:eastAsia="仿宋_GB2312" w:cs="仿宋_GB2312"/>
          <w:b w:val="0"/>
          <w:bCs w:val="0"/>
          <w:color w:val="000000"/>
          <w:kern w:val="0"/>
          <w:sz w:val="32"/>
          <w:szCs w:val="32"/>
          <w:lang w:val="en-US" w:eastAsia="zh-CN" w:bidi="ar"/>
        </w:rPr>
        <w:t>0</w:t>
      </w:r>
      <w:r>
        <w:rPr>
          <w:rFonts w:hint="eastAsia" w:ascii="仿宋_GB2312" w:hAnsi="仿宋_GB2312" w:eastAsia="仿宋_GB2312" w:cs="仿宋_GB2312"/>
          <w:b w:val="0"/>
          <w:bCs w:val="0"/>
          <w:color w:val="000000"/>
          <w:kern w:val="0"/>
          <w:sz w:val="32"/>
          <w:szCs w:val="32"/>
          <w:lang w:bidi="ar"/>
        </w:rPr>
        <w:t>%，</w:t>
      </w:r>
      <w:r>
        <w:rPr>
          <w:rFonts w:ascii="仿宋_GB2312" w:hAnsi="仿宋_GB2312" w:eastAsia="仿宋_GB2312" w:cs="仿宋_GB2312"/>
          <w:b w:val="0"/>
          <w:bCs w:val="0"/>
          <w:color w:val="000000"/>
          <w:kern w:val="0"/>
          <w:sz w:val="32"/>
          <w:szCs w:val="32"/>
          <w:lang w:bidi="ar"/>
        </w:rPr>
        <w:t>其中授予小微企业合同金额</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 xml:space="preserve">万元，占政府采购支出总额的 </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161.98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28.65</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 w:hAnsi="仿宋" w:eastAsia="仿宋" w:cs="仿宋"/>
          <w:sz w:val="32"/>
          <w:szCs w:val="32"/>
          <w:lang w:eastAsia="zh-CN"/>
        </w:rPr>
        <w:t>“综合文化服务中心”配备文化用品项目及“综合文化服务中心”定制加厚铜牌</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lang w:eastAsia="zh-CN"/>
        </w:rPr>
        <w:t>“综合文化服务中心”配备文化用品项目及“综合文化服务中心”定制加厚铜牌</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lang w:eastAsia="zh-CN"/>
        </w:rPr>
        <w:t>综合文化服务中心”配备文化用品项目及“综合文化服务中心”定制加厚铜牌</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161.98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161.98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。项目绩效目标完成情况：通过项目实施，完成了年初设定的各项绩效目标，完成</w:t>
      </w:r>
      <w:r>
        <w:rPr>
          <w:rFonts w:hint="eastAsia" w:ascii="仿宋_GB2312" w:hAnsi="仿宋_GB2312" w:eastAsia="仿宋_GB2312" w:cs="仿宋_GB2312"/>
          <w:sz w:val="32"/>
          <w:szCs w:val="32"/>
          <w:lang w:eastAsia="zh-CN"/>
        </w:rPr>
        <w:t>文化站、乡村文化室建设</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文化用品配备</w:t>
      </w:r>
      <w:r>
        <w:rPr>
          <w:rFonts w:hint="eastAsia" w:ascii="仿宋_GB2312" w:hAnsi="仿宋_GB2312" w:eastAsia="仿宋_GB2312" w:cs="仿宋_GB2312"/>
          <w:sz w:val="32"/>
          <w:szCs w:val="32"/>
        </w:rPr>
        <w:t>等。未发现问题。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lang w:eastAsia="zh-CN"/>
        </w:rPr>
        <w:t>综合文化服务中心”配备文化用品项目及“综合文化服务中心”定制加厚铜牌</w:t>
      </w:r>
      <w:r>
        <w:rPr>
          <w:rFonts w:hint="eastAsia" w:ascii="仿宋_GB2312" w:hAnsi="仿宋_GB2312" w:eastAsia="仿宋_GB2312" w:cs="仿宋_GB2312"/>
          <w:sz w:val="32"/>
          <w:szCs w:val="32"/>
        </w:rPr>
        <w:t>项目绩效自评综述。</w:t>
      </w:r>
    </w:p>
    <w:p>
      <w:pPr>
        <w:numPr>
          <w:ilvl w:val="0"/>
          <w:numId w:val="0"/>
        </w:numPr>
        <w:tabs>
          <w:tab w:val="left" w:pos="708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项目决策科学，依据充分；项目管理较为规范，项目完成效</w:t>
      </w:r>
    </w:p>
    <w:p>
      <w:pPr>
        <w:numPr>
          <w:ilvl w:val="0"/>
          <w:numId w:val="0"/>
        </w:numPr>
        <w:tabs>
          <w:tab w:val="left" w:pos="7080"/>
        </w:tabs>
        <w:spacing w:line="560" w:lineRule="exact"/>
        <w:rPr>
          <w:rFonts w:ascii="仿宋_GB2312" w:hAnsi="仿宋_GB2312" w:eastAsia="仿宋_GB2312" w:cs="仿宋_GB2312"/>
          <w:sz w:val="32"/>
          <w:szCs w:val="32"/>
        </w:rPr>
      </w:pPr>
      <w:r>
        <w:rPr>
          <w:rFonts w:hint="eastAsia" w:ascii="仿宋" w:hAnsi="仿宋" w:eastAsia="仿宋" w:cs="仿宋"/>
          <w:kern w:val="2"/>
          <w:sz w:val="32"/>
          <w:szCs w:val="32"/>
          <w:lang w:val="en-US" w:eastAsia="zh-CN" w:bidi="ar-SA"/>
        </w:rPr>
        <w:t>果好；项目实施后达到了预期目的，满足了群众的精神文化需求。</w:t>
      </w:r>
    </w:p>
    <w:tbl>
      <w:tblPr>
        <w:tblStyle w:val="6"/>
        <w:tblpPr w:leftFromText="180" w:rightFromText="180" w:vertAnchor="text" w:horzAnchor="page" w:tblpX="756" w:tblpY="698"/>
        <w:tblOverlap w:val="never"/>
        <w:tblW w:w="106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
        <w:gridCol w:w="671"/>
        <w:gridCol w:w="243"/>
        <w:gridCol w:w="688"/>
        <w:gridCol w:w="1325"/>
        <w:gridCol w:w="1596"/>
        <w:gridCol w:w="650"/>
        <w:gridCol w:w="964"/>
        <w:gridCol w:w="657"/>
        <w:gridCol w:w="884"/>
        <w:gridCol w:w="775"/>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3"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黑体_GBK" w:hAnsi="方正黑体_GBK" w:eastAsia="方正黑体_GBK" w:cs="方正黑体_GBK"/>
                <w:i w:val="0"/>
                <w:iCs w:val="0"/>
                <w:color w:val="000000"/>
                <w:sz w:val="28"/>
                <w:szCs w:val="28"/>
                <w:u w:val="none"/>
              </w:rPr>
            </w:pPr>
          </w:p>
        </w:tc>
        <w:tc>
          <w:tcPr>
            <w:tcW w:w="914" w:type="dxa"/>
            <w:gridSpan w:val="2"/>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2013" w:type="dxa"/>
            <w:gridSpan w:val="2"/>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5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614"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4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10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0626"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2022年度公共文化服务体系建设</w:t>
            </w:r>
            <w:r>
              <w:rPr>
                <w:rFonts w:hint="eastAsia" w:ascii="宋体" w:hAnsi="宋体" w:eastAsia="宋体" w:cs="宋体"/>
                <w:i w:val="0"/>
                <w:iCs w:val="0"/>
                <w:color w:val="000000"/>
                <w:kern w:val="0"/>
                <w:sz w:val="32"/>
                <w:szCs w:val="32"/>
                <w:u w:val="none"/>
                <w:lang w:val="en-US" w:eastAsia="zh-CN" w:bidi="ar"/>
              </w:rPr>
              <w:br w:type="textWrapping"/>
            </w:r>
            <w:r>
              <w:rPr>
                <w:rFonts w:hint="eastAsia" w:ascii="宋体" w:hAnsi="宋体" w:eastAsia="宋体" w:cs="宋体"/>
                <w:i w:val="0"/>
                <w:iCs w:val="0"/>
                <w:color w:val="000000"/>
                <w:kern w:val="0"/>
                <w:sz w:val="32"/>
                <w:szCs w:val="32"/>
                <w:u w:val="none"/>
                <w:lang w:val="en-US" w:eastAsia="zh-CN" w:bidi="ar"/>
              </w:rPr>
              <w:t>专项资金（项目）绩效目标自评表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26" w:type="dxa"/>
            <w:gridSpan w:val="13"/>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default" w:ascii="方正仿宋_GBK" w:hAnsi="方正仿宋_GBK" w:eastAsia="方正仿宋_GBK" w:cs="方正仿宋_GBK"/>
                <w:i w:val="0"/>
                <w:iCs w:val="0"/>
                <w:color w:val="000000"/>
                <w:kern w:val="0"/>
                <w:sz w:val="24"/>
                <w:szCs w:val="24"/>
                <w:u w:val="none"/>
                <w:lang w:val="en-US" w:eastAsia="zh-CN" w:bidi="ar"/>
              </w:rPr>
              <w:t>（</w:t>
            </w:r>
            <w:r>
              <w:rPr>
                <w:rStyle w:val="18"/>
                <w:rFonts w:eastAsia="方正仿宋_GBK"/>
                <w:lang w:val="en-US" w:eastAsia="zh-CN" w:bidi="ar"/>
              </w:rPr>
              <w:t>2022</w:t>
            </w:r>
            <w:r>
              <w:rPr>
                <w:rStyle w:val="19"/>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转移支付（项目）名称</w:t>
            </w:r>
          </w:p>
        </w:tc>
        <w:tc>
          <w:tcPr>
            <w:tcW w:w="886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河北省财政厅关于提前下达2022年中央补助地方公共文化服务体系建设专项资金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中央主管部门</w:t>
            </w:r>
          </w:p>
        </w:tc>
        <w:tc>
          <w:tcPr>
            <w:tcW w:w="886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地方主管部门</w:t>
            </w:r>
          </w:p>
        </w:tc>
        <w:tc>
          <w:tcPr>
            <w:tcW w:w="3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邯郸市文化广电和旅游局</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资金使用单位</w:t>
            </w:r>
          </w:p>
        </w:tc>
        <w:tc>
          <w:tcPr>
            <w:tcW w:w="36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成安县文化广电和旅游局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5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资金投入情况</w:t>
            </w:r>
            <w:r>
              <w:rPr>
                <w:rFonts w:hint="default" w:ascii="方正黑体_GBK" w:hAnsi="方正黑体_GBK" w:eastAsia="方正黑体_GBK" w:cs="方正黑体_GBK"/>
                <w:i w:val="0"/>
                <w:iCs w:val="0"/>
                <w:color w:val="000000"/>
                <w:kern w:val="0"/>
                <w:sz w:val="20"/>
                <w:szCs w:val="20"/>
                <w:u w:val="none"/>
                <w:lang w:val="en-US" w:eastAsia="zh-CN" w:bidi="ar"/>
              </w:rPr>
              <w:br w:type="textWrapping"/>
            </w:r>
            <w:r>
              <w:rPr>
                <w:rFonts w:hint="default" w:ascii="方正黑体_GBK" w:hAnsi="方正黑体_GBK" w:eastAsia="方正黑体_GBK" w:cs="方正黑体_GBK"/>
                <w:i w:val="0"/>
                <w:iCs w:val="0"/>
                <w:color w:val="000000"/>
                <w:kern w:val="0"/>
                <w:sz w:val="20"/>
                <w:szCs w:val="20"/>
                <w:u w:val="none"/>
                <w:lang w:val="en-US" w:eastAsia="zh-CN" w:bidi="ar"/>
              </w:rPr>
              <w:t>（万元）</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b/>
                <w:bCs/>
                <w:i w:val="0"/>
                <w:iCs w:val="0"/>
                <w:color w:val="000000"/>
                <w:sz w:val="20"/>
                <w:szCs w:val="20"/>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全年预算数（A）</w:t>
            </w:r>
          </w:p>
        </w:tc>
        <w:tc>
          <w:tcPr>
            <w:tcW w:w="3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全年执行数（B）</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预算执行率</w:t>
            </w:r>
            <w:r>
              <w:rPr>
                <w:rFonts w:hint="default" w:ascii="方正仿宋_GBK" w:hAnsi="方正仿宋_GBK" w:eastAsia="方正仿宋_GBK" w:cs="方正仿宋_GBK"/>
                <w:b/>
                <w:bCs/>
                <w:i w:val="0"/>
                <w:iCs w:val="0"/>
                <w:color w:val="000000"/>
                <w:kern w:val="0"/>
                <w:sz w:val="20"/>
                <w:szCs w:val="20"/>
                <w:u w:val="none"/>
                <w:lang w:val="en-US" w:eastAsia="zh-CN" w:bidi="ar"/>
              </w:rPr>
              <w:br w:type="textWrapping"/>
            </w:r>
            <w:r>
              <w:rPr>
                <w:rFonts w:hint="default" w:ascii="方正仿宋_GBK" w:hAnsi="方正仿宋_GBK" w:eastAsia="方正仿宋_GBK" w:cs="方正仿宋_GBK"/>
                <w:b/>
                <w:bCs/>
                <w:i w:val="0"/>
                <w:iCs w:val="0"/>
                <w:color w:val="000000"/>
                <w:kern w:val="0"/>
                <w:sz w:val="20"/>
                <w:szCs w:val="20"/>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年度资金总额：</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214.56</w:t>
            </w:r>
          </w:p>
        </w:tc>
        <w:tc>
          <w:tcPr>
            <w:tcW w:w="3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214.56</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20"/>
                <w:lang w:val="en-US" w:eastAsia="zh-CN" w:bidi="ar"/>
              </w:rPr>
              <w:t>其中：中央资金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214.56</w:t>
            </w:r>
          </w:p>
        </w:tc>
        <w:tc>
          <w:tcPr>
            <w:tcW w:w="3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214.56</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资金使用情况</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项目名称</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项目用途</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项目预算数</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项目执行数</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项目执行率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购置体育器材（冀财教【2021】138号）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为成安县</w:t>
            </w:r>
            <w:r>
              <w:rPr>
                <w:rStyle w:val="21"/>
                <w:rFonts w:eastAsia="宋体"/>
                <w:lang w:val="en-US" w:eastAsia="zh-CN" w:bidi="ar"/>
              </w:rPr>
              <w:t>12</w:t>
            </w:r>
            <w:r>
              <w:rPr>
                <w:rStyle w:val="22"/>
                <w:lang w:val="en-US" w:eastAsia="zh-CN" w:bidi="ar"/>
              </w:rPr>
              <w:t>个美丽乡村购置</w:t>
            </w:r>
            <w:r>
              <w:rPr>
                <w:rStyle w:val="21"/>
                <w:rFonts w:eastAsia="宋体"/>
                <w:lang w:val="en-US" w:eastAsia="zh-CN" w:bidi="ar"/>
              </w:rPr>
              <w:t>24</w:t>
            </w:r>
            <w:r>
              <w:rPr>
                <w:rStyle w:val="22"/>
                <w:lang w:val="en-US" w:eastAsia="zh-CN" w:bidi="ar"/>
              </w:rPr>
              <w:t>万元体育器材用于文化广场建设</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制作“综合文化服务中心”标识牌（冀财教【2021】138号）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为成安县</w:t>
            </w:r>
            <w:r>
              <w:rPr>
                <w:rStyle w:val="21"/>
                <w:rFonts w:eastAsia="宋体"/>
                <w:lang w:val="en-US" w:eastAsia="zh-CN" w:bidi="ar"/>
              </w:rPr>
              <w:t>239</w:t>
            </w:r>
            <w:r>
              <w:rPr>
                <w:rStyle w:val="22"/>
                <w:lang w:val="en-US" w:eastAsia="zh-CN" w:bidi="ar"/>
              </w:rPr>
              <w:t>个行政村和</w:t>
            </w:r>
            <w:r>
              <w:rPr>
                <w:rStyle w:val="21"/>
                <w:rFonts w:eastAsia="宋体"/>
                <w:lang w:val="en-US" w:eastAsia="zh-CN" w:bidi="ar"/>
              </w:rPr>
              <w:t>9</w:t>
            </w:r>
            <w:r>
              <w:rPr>
                <w:rStyle w:val="22"/>
                <w:lang w:val="en-US" w:eastAsia="zh-CN" w:bidi="ar"/>
              </w:rPr>
              <w:t>个社区制作综合文化服务中心标识牌</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2.48</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2.48</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成安县“综合文化服务中心“配备文化用品采购项目（冀财教【2021】138号  冀财教【2022】81号）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为成安县239个行政村和9个社区配备文化用品</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135.5</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135.5</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划拨成安县宣传部（冀财教【2021】138号）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用于农家书屋建设和农村电影放映</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52.58</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52.58</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3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合</w:t>
            </w:r>
            <w:r>
              <w:rPr>
                <w:rStyle w:val="23"/>
                <w:lang w:val="en-US" w:eastAsia="zh-CN" w:bidi="ar"/>
              </w:rPr>
              <w:t xml:space="preserve">  </w:t>
            </w:r>
            <w:r>
              <w:rPr>
                <w:rStyle w:val="20"/>
                <w:lang w:val="en-US" w:eastAsia="zh-CN" w:bidi="ar"/>
              </w:rPr>
              <w:t>计</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214.56</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214.56</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资金管理情况</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0"/>
                <w:szCs w:val="20"/>
                <w:u w:val="none"/>
              </w:rPr>
            </w:pP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情况说明</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分配科学性</w:t>
            </w: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严格按照转移制度管理制度以及资金管理办法规定的范围和标准分配资金</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下达及时性</w:t>
            </w: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拨付合规性</w:t>
            </w: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使用规范性</w:t>
            </w: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执行准确性</w:t>
            </w: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预算绩效管理情况</w:t>
            </w: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7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支出责任履行情况</w:t>
            </w:r>
          </w:p>
        </w:tc>
        <w:tc>
          <w:tcPr>
            <w:tcW w:w="47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0"/>
                <w:szCs w:val="20"/>
                <w:u w:val="none"/>
              </w:rPr>
            </w:pPr>
            <w:r>
              <w:rPr>
                <w:rFonts w:hint="default" w:ascii="方正黑体_GBK" w:hAnsi="方正黑体_GBK" w:eastAsia="方正黑体_GBK" w:cs="方正黑体_GBK"/>
                <w:i w:val="0"/>
                <w:iCs w:val="0"/>
                <w:color w:val="000000"/>
                <w:kern w:val="0"/>
                <w:sz w:val="20"/>
                <w:szCs w:val="20"/>
                <w:u w:val="none"/>
                <w:lang w:val="en-US" w:eastAsia="zh-CN" w:bidi="ar"/>
              </w:rPr>
              <w:t>总体目标完成情况</w:t>
            </w:r>
          </w:p>
        </w:tc>
        <w:tc>
          <w:tcPr>
            <w:tcW w:w="51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总体目标</w:t>
            </w:r>
          </w:p>
        </w:tc>
        <w:tc>
          <w:tcPr>
            <w:tcW w:w="46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0"/>
                <w:szCs w:val="20"/>
                <w:u w:val="none"/>
              </w:rPr>
            </w:pPr>
            <w:r>
              <w:rPr>
                <w:rFonts w:hint="default" w:ascii="方正仿宋_GBK" w:hAnsi="方正仿宋_GBK" w:eastAsia="方正仿宋_GBK" w:cs="方正仿宋_GBK"/>
                <w:b/>
                <w:bCs/>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20"/>
                <w:szCs w:val="20"/>
                <w:u w:val="none"/>
              </w:rPr>
            </w:pPr>
          </w:p>
        </w:tc>
        <w:tc>
          <w:tcPr>
            <w:tcW w:w="51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为成安县村（社区）综合文化服务中心配备文化用品，农家书屋配备图书、报刊和电子报刊，保证乡村电影放映场次</w:t>
            </w:r>
          </w:p>
        </w:tc>
        <w:tc>
          <w:tcPr>
            <w:tcW w:w="46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为成安县村（社区）综合文化服务中心配备文化用品，农家书屋配备图书、报刊和电子报刊，保证乡村电影放映场次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绩效指标</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24"/>
                <w:lang w:val="en-US" w:eastAsia="zh-CN" w:bidi="ar"/>
              </w:rPr>
              <w:t>一级</w:t>
            </w:r>
            <w:r>
              <w:rPr>
                <w:rStyle w:val="24"/>
                <w:lang w:val="en-US" w:eastAsia="zh-CN" w:bidi="ar"/>
              </w:rPr>
              <w:br w:type="textWrapping"/>
            </w:r>
            <w:r>
              <w:rPr>
                <w:rStyle w:val="24"/>
                <w:lang w:val="en-US" w:eastAsia="zh-CN" w:bidi="ar"/>
              </w:rPr>
              <w:t>指标</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24"/>
                <w:lang w:val="en-US" w:eastAsia="zh-CN" w:bidi="ar"/>
              </w:rPr>
              <w:t>二级指标</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4"/>
                <w:szCs w:val="24"/>
                <w:u w:val="none"/>
              </w:rPr>
            </w:pPr>
            <w:r>
              <w:rPr>
                <w:rFonts w:hint="default" w:ascii="方正仿宋_GBK" w:hAnsi="方正仿宋_GBK" w:eastAsia="方正仿宋_GBK" w:cs="方正仿宋_GBK"/>
                <w:b/>
                <w:bCs/>
                <w:i w:val="0"/>
                <w:iCs w:val="0"/>
                <w:color w:val="000000"/>
                <w:kern w:val="0"/>
                <w:sz w:val="24"/>
                <w:szCs w:val="24"/>
                <w:u w:val="none"/>
                <w:lang w:val="en-US" w:eastAsia="zh-CN" w:bidi="ar"/>
              </w:rPr>
              <w:t>三级指标</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24"/>
                <w:lang w:val="en-US" w:eastAsia="zh-CN" w:bidi="ar"/>
              </w:rPr>
              <w:t>指标值</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24"/>
                <w:lang w:val="en-US" w:eastAsia="zh-CN" w:bidi="ar"/>
              </w:rPr>
              <w:t>全年实际完成值</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24"/>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25"/>
                <w:lang w:val="en-US" w:eastAsia="zh-CN" w:bidi="ar"/>
              </w:rPr>
              <w:t>产</w:t>
            </w:r>
            <w:r>
              <w:rPr>
                <w:rStyle w:val="25"/>
                <w:lang w:val="en-US" w:eastAsia="zh-CN" w:bidi="ar"/>
              </w:rPr>
              <w:br w:type="textWrapping"/>
            </w:r>
            <w:r>
              <w:rPr>
                <w:rStyle w:val="25"/>
                <w:lang w:val="en-US" w:eastAsia="zh-CN" w:bidi="ar"/>
              </w:rPr>
              <w:t>出</w:t>
            </w:r>
            <w:r>
              <w:rPr>
                <w:rStyle w:val="25"/>
                <w:lang w:val="en-US" w:eastAsia="zh-CN" w:bidi="ar"/>
              </w:rPr>
              <w:br w:type="textWrapping"/>
            </w:r>
            <w:r>
              <w:rPr>
                <w:rStyle w:val="25"/>
                <w:lang w:val="en-US" w:eastAsia="zh-CN" w:bidi="ar"/>
              </w:rPr>
              <w:t>指</w:t>
            </w:r>
            <w:r>
              <w:rPr>
                <w:rStyle w:val="25"/>
                <w:lang w:val="en-US" w:eastAsia="zh-CN" w:bidi="ar"/>
              </w:rPr>
              <w:br w:type="textWrapping"/>
            </w:r>
            <w:r>
              <w:rPr>
                <w:rStyle w:val="25"/>
                <w:lang w:val="en-US" w:eastAsia="zh-CN" w:bidi="ar"/>
              </w:rPr>
              <w:t>标</w:t>
            </w:r>
          </w:p>
        </w:tc>
        <w:tc>
          <w:tcPr>
            <w:tcW w:w="9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rPr>
            </w:pPr>
            <w:r>
              <w:rPr>
                <w:rFonts w:hint="default" w:ascii="方正仿宋_GBK" w:hAnsi="方正仿宋_GBK" w:eastAsia="方正仿宋_GBK" w:cs="方正仿宋_GBK"/>
                <w:i w:val="0"/>
                <w:iCs w:val="0"/>
                <w:color w:val="000000"/>
                <w:kern w:val="0"/>
                <w:sz w:val="24"/>
                <w:szCs w:val="24"/>
                <w:u w:val="none"/>
                <w:lang w:val="en-US" w:eastAsia="zh-CN" w:bidi="ar"/>
              </w:rPr>
              <w:t>数量指标</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平均每村电影放映场次</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每月1场</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r>
              <w:rPr>
                <w:rFonts w:hint="default" w:ascii="Times New Roman" w:hAnsi="Times New Roman" w:eastAsia="宋体" w:cs="Times New Roman"/>
                <w:i w:val="0"/>
                <w:iCs w:val="0"/>
                <w:color w:val="000000"/>
                <w:kern w:val="0"/>
                <w:sz w:val="24"/>
                <w:szCs w:val="24"/>
                <w:u w:val="none"/>
                <w:lang w:val="en-US" w:eastAsia="zh-CN" w:bidi="ar"/>
              </w:rPr>
              <w:t>1</w:t>
            </w:r>
            <w:r>
              <w:rPr>
                <w:rStyle w:val="26"/>
                <w:lang w:val="en-US" w:eastAsia="zh-CN" w:bidi="ar"/>
              </w:rPr>
              <w:t>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平均每个农家书屋更新图书种类</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≥60种</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83</w:t>
            </w:r>
            <w:r>
              <w:rPr>
                <w:rStyle w:val="26"/>
                <w:lang w:val="en-US" w:eastAsia="zh-CN" w:bidi="ar"/>
              </w:rPr>
              <w:t>种</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平均每个农家书屋开展阅读活动数量</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≥4场</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r>
              <w:rPr>
                <w:rStyle w:val="26"/>
                <w:lang w:val="en-US" w:eastAsia="zh-CN" w:bidi="ar"/>
              </w:rPr>
              <w:t>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24"/>
                <w:szCs w:val="24"/>
                <w:u w:val="none"/>
              </w:rPr>
            </w:pP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每万人接受公共文化设施服务次数</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3.4万次</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Style w:val="26"/>
                <w:lang w:val="en-US" w:eastAsia="zh-CN" w:bidi="ar"/>
              </w:rPr>
              <w:t>万次</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7"/>
                <w:lang w:val="en-US" w:eastAsia="zh-CN" w:bidi="ar"/>
              </w:rPr>
              <w:t>质量指标</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2022年农家书屋重点出版物推荐目录列入的品种和数量比例</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≥70%</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公共图书馆（室）、文化馆（站）、行政村（社区）综合文化服务中心、农家书屋等免费提供借阅服务</w:t>
            </w:r>
          </w:p>
        </w:tc>
        <w:tc>
          <w:tcPr>
            <w:tcW w:w="162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100%</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restart"/>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7"/>
                <w:lang w:val="en-US" w:eastAsia="zh-CN" w:bidi="ar"/>
              </w:rPr>
              <w:t>社会效益</w:t>
            </w:r>
            <w:r>
              <w:rPr>
                <w:rStyle w:val="27"/>
                <w:lang w:val="en-US" w:eastAsia="zh-CN" w:bidi="ar"/>
              </w:rPr>
              <w:br w:type="textWrapping"/>
            </w:r>
            <w:r>
              <w:rPr>
                <w:rStyle w:val="27"/>
                <w:lang w:val="en-US" w:eastAsia="zh-CN" w:bidi="ar"/>
              </w:rPr>
              <w:t>指标</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群众文化活动参加人次增长率</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≥3%</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国民综合阅读率</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≥75%</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持续提升基层公共文化设施和人才队伍建设水平，为公共文化服务体系的可持续发展提供必要的阵地保障和运行保障</w:t>
            </w:r>
          </w:p>
        </w:tc>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≥75%</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24"/>
                <w:szCs w:val="24"/>
                <w:u w:val="none"/>
              </w:rPr>
            </w:pP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25"/>
                <w:lang w:val="en-US" w:eastAsia="zh-CN" w:bidi="ar"/>
              </w:rPr>
              <w:t>满意度指标</w:t>
            </w:r>
          </w:p>
        </w:tc>
        <w:tc>
          <w:tcPr>
            <w:tcW w:w="93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27"/>
                <w:lang w:val="en-US" w:eastAsia="zh-CN" w:bidi="ar"/>
              </w:rPr>
              <w:t>服务对象</w:t>
            </w:r>
            <w:r>
              <w:rPr>
                <w:rStyle w:val="27"/>
                <w:lang w:val="en-US" w:eastAsia="zh-CN" w:bidi="ar"/>
              </w:rPr>
              <w:br w:type="textWrapping"/>
            </w:r>
            <w:r>
              <w:rPr>
                <w:rStyle w:val="27"/>
                <w:lang w:val="en-US" w:eastAsia="zh-CN" w:bidi="ar"/>
              </w:rPr>
              <w:t>满意度指标</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群众对国家基本公共文化服务满意度</w:t>
            </w:r>
          </w:p>
        </w:tc>
        <w:tc>
          <w:tcPr>
            <w:tcW w:w="162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kern w:val="0"/>
                <w:sz w:val="20"/>
                <w:szCs w:val="20"/>
                <w:u w:val="none"/>
                <w:lang w:val="en-US" w:eastAsia="zh-CN" w:bidi="ar"/>
              </w:rPr>
              <w:t>≥90%</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说明</w:t>
            </w:r>
          </w:p>
        </w:tc>
        <w:tc>
          <w:tcPr>
            <w:tcW w:w="978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4"/>
                <w:szCs w:val="24"/>
                <w:u w:val="none"/>
              </w:rPr>
            </w:pPr>
            <w:r>
              <w:rPr>
                <w:rFonts w:hint="default" w:ascii="方正仿宋_GBK" w:hAnsi="方正仿宋_GBK" w:eastAsia="方正仿宋_GBK" w:cs="方正仿宋_GBK"/>
                <w:i w:val="0"/>
                <w:iCs w:val="0"/>
                <w:color w:val="000000"/>
                <w:kern w:val="0"/>
                <w:sz w:val="24"/>
                <w:szCs w:val="24"/>
                <w:u w:val="none"/>
                <w:lang w:val="en-US" w:eastAsia="zh-CN" w:bidi="ar"/>
              </w:rPr>
              <w:t>无。</w:t>
            </w:r>
          </w:p>
        </w:tc>
      </w:tr>
    </w:tbl>
    <w:p>
      <w:pPr>
        <w:numPr>
          <w:ilvl w:val="0"/>
          <w:numId w:val="0"/>
        </w:numPr>
        <w:tabs>
          <w:tab w:val="left" w:pos="7080"/>
        </w:tabs>
        <w:spacing w:line="560" w:lineRule="exact"/>
        <w:ind w:firstLine="640" w:firstLineChars="200"/>
        <w:rPr>
          <w:rFonts w:hint="eastAsia" w:ascii="仿宋" w:hAnsi="仿宋" w:eastAsia="仿宋" w:cs="仿宋"/>
          <w:kern w:val="2"/>
          <w:sz w:val="32"/>
          <w:szCs w:val="32"/>
          <w:lang w:val="en-US" w:eastAsia="zh-CN" w:bidi="ar-SA"/>
        </w:rPr>
      </w:pPr>
    </w:p>
    <w:p>
      <w:pPr>
        <w:adjustRightInd w:val="0"/>
        <w:snapToGrid w:val="0"/>
        <w:spacing w:line="580" w:lineRule="exact"/>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Times New Roman" w:eastAsia="仿宋_GB2312" w:cs="Wingdings"/>
          <w:sz w:val="32"/>
          <w:szCs w:val="32"/>
        </w:rPr>
        <w:t>成安县文化广电和旅游局</w:t>
      </w:r>
      <w:r>
        <w:rPr>
          <w:rFonts w:hint="eastAsia" w:ascii="仿宋_GB2312" w:hAnsi="仿宋_GB2312" w:eastAsia="仿宋_GB2312" w:cs="仿宋_GB2312"/>
          <w:sz w:val="32"/>
          <w:szCs w:val="32"/>
        </w:rPr>
        <w:t>2020年度未发生政府性基金预算、国有资金经营预算收支及结转结余情况，故政府性基金预算、国有资金经营预算等表以空表列示。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DgsImhkaWQiOiJmMTFhYjRiNmM5NGI4NDZjMDc2NWFmNjYyOGM4ZjVmMiIsInVzZXJDb3VudCI6NH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4C492F"/>
    <w:rsid w:val="02F2691F"/>
    <w:rsid w:val="03597303"/>
    <w:rsid w:val="05273E55"/>
    <w:rsid w:val="06EB1AB6"/>
    <w:rsid w:val="08144EEC"/>
    <w:rsid w:val="085028C9"/>
    <w:rsid w:val="08DC4C5E"/>
    <w:rsid w:val="099D6B31"/>
    <w:rsid w:val="09FD66D9"/>
    <w:rsid w:val="0AFE1C0C"/>
    <w:rsid w:val="0CFD51A3"/>
    <w:rsid w:val="0EA60012"/>
    <w:rsid w:val="0ED03827"/>
    <w:rsid w:val="105C2CF8"/>
    <w:rsid w:val="10B242CF"/>
    <w:rsid w:val="118122A3"/>
    <w:rsid w:val="11F4604E"/>
    <w:rsid w:val="136D16FB"/>
    <w:rsid w:val="13857617"/>
    <w:rsid w:val="13AA21BF"/>
    <w:rsid w:val="13D80718"/>
    <w:rsid w:val="14B26AA0"/>
    <w:rsid w:val="14F47D6F"/>
    <w:rsid w:val="16C86822"/>
    <w:rsid w:val="1A3D2C72"/>
    <w:rsid w:val="1B777CBB"/>
    <w:rsid w:val="1CE93473"/>
    <w:rsid w:val="1E294D6F"/>
    <w:rsid w:val="216937C4"/>
    <w:rsid w:val="27CB6172"/>
    <w:rsid w:val="298605CB"/>
    <w:rsid w:val="2AF54300"/>
    <w:rsid w:val="2CEF036C"/>
    <w:rsid w:val="2DE57862"/>
    <w:rsid w:val="2ED34BCB"/>
    <w:rsid w:val="32A31C4C"/>
    <w:rsid w:val="32B53CA7"/>
    <w:rsid w:val="32B85E18"/>
    <w:rsid w:val="335D09F3"/>
    <w:rsid w:val="33CD2241"/>
    <w:rsid w:val="34967CFD"/>
    <w:rsid w:val="38206066"/>
    <w:rsid w:val="39C2416B"/>
    <w:rsid w:val="3A0A0D7C"/>
    <w:rsid w:val="3B744E3E"/>
    <w:rsid w:val="3B9C6C07"/>
    <w:rsid w:val="3C526A0A"/>
    <w:rsid w:val="3C771400"/>
    <w:rsid w:val="3DC91A1B"/>
    <w:rsid w:val="3F235BB1"/>
    <w:rsid w:val="3F663581"/>
    <w:rsid w:val="40AB4C9D"/>
    <w:rsid w:val="41E8374F"/>
    <w:rsid w:val="42313785"/>
    <w:rsid w:val="42A44BF6"/>
    <w:rsid w:val="431C6D74"/>
    <w:rsid w:val="4571549B"/>
    <w:rsid w:val="471274FD"/>
    <w:rsid w:val="49717ADD"/>
    <w:rsid w:val="499332DD"/>
    <w:rsid w:val="4A1F52FD"/>
    <w:rsid w:val="4A51609B"/>
    <w:rsid w:val="4C194D3B"/>
    <w:rsid w:val="4C1E06B7"/>
    <w:rsid w:val="4D304C6C"/>
    <w:rsid w:val="4D8575A9"/>
    <w:rsid w:val="4F2A6A41"/>
    <w:rsid w:val="500373A2"/>
    <w:rsid w:val="507C6383"/>
    <w:rsid w:val="53AD746D"/>
    <w:rsid w:val="53D56505"/>
    <w:rsid w:val="549125C2"/>
    <w:rsid w:val="56156687"/>
    <w:rsid w:val="561769D4"/>
    <w:rsid w:val="58D844B0"/>
    <w:rsid w:val="5E7F79B1"/>
    <w:rsid w:val="5F4A1A8C"/>
    <w:rsid w:val="60075621"/>
    <w:rsid w:val="602001C2"/>
    <w:rsid w:val="60CE32E1"/>
    <w:rsid w:val="6106379C"/>
    <w:rsid w:val="61623355"/>
    <w:rsid w:val="64C00985"/>
    <w:rsid w:val="65225D26"/>
    <w:rsid w:val="65D42C8C"/>
    <w:rsid w:val="65DB5CBA"/>
    <w:rsid w:val="674E6C15"/>
    <w:rsid w:val="67636EEB"/>
    <w:rsid w:val="68B00491"/>
    <w:rsid w:val="697609B2"/>
    <w:rsid w:val="69F4671F"/>
    <w:rsid w:val="6BA53F12"/>
    <w:rsid w:val="6CB37AC6"/>
    <w:rsid w:val="6CBF282C"/>
    <w:rsid w:val="6D610C89"/>
    <w:rsid w:val="6D8D7674"/>
    <w:rsid w:val="706922F1"/>
    <w:rsid w:val="725D3437"/>
    <w:rsid w:val="73335BEE"/>
    <w:rsid w:val="734B3BFA"/>
    <w:rsid w:val="73753308"/>
    <w:rsid w:val="77701517"/>
    <w:rsid w:val="77B5319C"/>
    <w:rsid w:val="78EB6DBB"/>
    <w:rsid w:val="78FA44FD"/>
    <w:rsid w:val="79442C5B"/>
    <w:rsid w:val="796D40A2"/>
    <w:rsid w:val="79DA711C"/>
    <w:rsid w:val="7BB011B5"/>
    <w:rsid w:val="7BFC178F"/>
    <w:rsid w:val="7C2A2F43"/>
    <w:rsid w:val="7C7D2A53"/>
    <w:rsid w:val="7D84389F"/>
    <w:rsid w:val="7DE97981"/>
    <w:rsid w:val="7EAD450C"/>
    <w:rsid w:val="7F39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character" w:customStyle="1" w:styleId="18">
    <w:name w:val="font291"/>
    <w:basedOn w:val="8"/>
    <w:qFormat/>
    <w:uiPriority w:val="0"/>
    <w:rPr>
      <w:rFonts w:hint="default" w:ascii="Times New Roman" w:hAnsi="Times New Roman" w:cs="Times New Roman"/>
      <w:color w:val="000000"/>
      <w:sz w:val="24"/>
      <w:szCs w:val="24"/>
      <w:u w:val="none"/>
    </w:rPr>
  </w:style>
  <w:style w:type="character" w:customStyle="1" w:styleId="19">
    <w:name w:val="font81"/>
    <w:basedOn w:val="8"/>
    <w:uiPriority w:val="0"/>
    <w:rPr>
      <w:rFonts w:hint="default" w:ascii="方正仿宋_GBK" w:hAnsi="方正仿宋_GBK" w:eastAsia="方正仿宋_GBK" w:cs="方正仿宋_GBK"/>
      <w:color w:val="000000"/>
      <w:sz w:val="24"/>
      <w:szCs w:val="24"/>
      <w:u w:val="none"/>
    </w:rPr>
  </w:style>
  <w:style w:type="character" w:customStyle="1" w:styleId="20">
    <w:name w:val="font161"/>
    <w:basedOn w:val="8"/>
    <w:uiPriority w:val="0"/>
    <w:rPr>
      <w:rFonts w:hint="default" w:ascii="方正仿宋_GBK" w:hAnsi="方正仿宋_GBK" w:eastAsia="方正仿宋_GBK" w:cs="方正仿宋_GBK"/>
      <w:color w:val="000000"/>
      <w:sz w:val="20"/>
      <w:szCs w:val="20"/>
      <w:u w:val="none"/>
    </w:rPr>
  </w:style>
  <w:style w:type="character" w:customStyle="1" w:styleId="21">
    <w:name w:val="font121"/>
    <w:basedOn w:val="8"/>
    <w:qFormat/>
    <w:uiPriority w:val="0"/>
    <w:rPr>
      <w:rFonts w:hint="default" w:ascii="Times New Roman" w:hAnsi="Times New Roman" w:cs="Times New Roman"/>
      <w:color w:val="000000"/>
      <w:sz w:val="20"/>
      <w:szCs w:val="20"/>
      <w:u w:val="none"/>
    </w:rPr>
  </w:style>
  <w:style w:type="character" w:customStyle="1" w:styleId="22">
    <w:name w:val="font21"/>
    <w:basedOn w:val="8"/>
    <w:qFormat/>
    <w:uiPriority w:val="0"/>
    <w:rPr>
      <w:rFonts w:hint="eastAsia" w:ascii="宋体" w:hAnsi="宋体" w:eastAsia="宋体" w:cs="宋体"/>
      <w:color w:val="000000"/>
      <w:sz w:val="20"/>
      <w:szCs w:val="20"/>
      <w:u w:val="none"/>
    </w:rPr>
  </w:style>
  <w:style w:type="character" w:customStyle="1" w:styleId="23">
    <w:name w:val="font301"/>
    <w:basedOn w:val="8"/>
    <w:qFormat/>
    <w:uiPriority w:val="0"/>
    <w:rPr>
      <w:rFonts w:ascii="Microsoft YaHei UI" w:hAnsi="Microsoft YaHei UI" w:eastAsia="Microsoft YaHei UI" w:cs="Microsoft YaHei UI"/>
      <w:color w:val="000000"/>
      <w:sz w:val="20"/>
      <w:szCs w:val="20"/>
      <w:u w:val="none"/>
    </w:rPr>
  </w:style>
  <w:style w:type="character" w:customStyle="1" w:styleId="24">
    <w:name w:val="font191"/>
    <w:basedOn w:val="8"/>
    <w:uiPriority w:val="0"/>
    <w:rPr>
      <w:rFonts w:hint="default" w:ascii="方正仿宋_GBK" w:hAnsi="方正仿宋_GBK" w:eastAsia="方正仿宋_GBK" w:cs="方正仿宋_GBK"/>
      <w:b/>
      <w:bCs/>
      <w:color w:val="000000"/>
      <w:sz w:val="24"/>
      <w:szCs w:val="24"/>
      <w:u w:val="none"/>
    </w:rPr>
  </w:style>
  <w:style w:type="character" w:customStyle="1" w:styleId="25">
    <w:name w:val="font312"/>
    <w:basedOn w:val="8"/>
    <w:uiPriority w:val="0"/>
    <w:rPr>
      <w:rFonts w:hint="default" w:ascii="方正仿宋_GBK" w:hAnsi="方正仿宋_GBK" w:eastAsia="方正仿宋_GBK" w:cs="方正仿宋_GBK"/>
      <w:b/>
      <w:bCs/>
      <w:color w:val="000000"/>
      <w:sz w:val="24"/>
      <w:szCs w:val="24"/>
      <w:u w:val="none"/>
    </w:rPr>
  </w:style>
  <w:style w:type="character" w:customStyle="1" w:styleId="26">
    <w:name w:val="font231"/>
    <w:basedOn w:val="8"/>
    <w:uiPriority w:val="0"/>
    <w:rPr>
      <w:rFonts w:hint="eastAsia" w:ascii="宋体" w:hAnsi="宋体" w:eastAsia="宋体" w:cs="宋体"/>
      <w:color w:val="000000"/>
      <w:sz w:val="24"/>
      <w:szCs w:val="24"/>
      <w:u w:val="none"/>
    </w:rPr>
  </w:style>
  <w:style w:type="character" w:customStyle="1" w:styleId="27">
    <w:name w:val="font212"/>
    <w:basedOn w:val="8"/>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35</Pages>
  <Words>10543</Words>
  <Characters>13819</Characters>
  <Lines>84</Lines>
  <Paragraphs>23</Paragraphs>
  <TotalTime>0</TotalTime>
  <ScaleCrop>false</ScaleCrop>
  <LinksUpToDate>false</LinksUpToDate>
  <CharactersWithSpaces>14286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2023-08-04T01:00:00Z</cp:lastPrinted>
  <dcterms:modified xsi:type="dcterms:W3CDTF">2023-12-28T07:10:52Z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1515CEFC20754C3380B382230295B456</vt:lpwstr>
  </property>
</Properties>
</file>