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6406515</wp:posOffset>
                </wp:positionV>
                <wp:extent cx="6487795"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87795" cy="1066800"/>
                        </a:xfrm>
                        <a:prstGeom prst="rect">
                          <a:avLst/>
                        </a:prstGeom>
                        <a:noFill/>
                        <a:ln w="9525">
                          <a:noFill/>
                          <a:miter lim="800000"/>
                        </a:ln>
                      </wps:spPr>
                      <wps:txb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：565</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：中共成安县委网络安全和信息化委员会办公室</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5.95pt;margin-top:504.45pt;height:84pt;width:510.85pt;z-index:251662336;mso-width-relative:page;mso-height-relative:page;" filled="f" stroked="f" coordsize="21600,21600" o:gfxdata="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dgsqjZAAAADQEAAA8AAAAAAAAAAQAgAAAAIgAAAGRycy9kb3ducmV2LnhtbFBLAQIUABQAAAAI&#10;AIdO4kCHoY4WJQIAACoEAAAOAAAAAAAAAAEAIAAAACgBAABkcnMvZTJvRG9jLnhtbFBLBQYAAAAA&#10;BgAGAFkBAAC/BQAAAAA=&#10;">
                <v:fill on="f" focussize="0,0"/>
                <v:stroke on="f" miterlimit="8" joinstyle="miter"/>
                <v:imagedata o:title=""/>
                <o:lock v:ext="edit"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：565</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：中共成安县委网络安全和信息化委员会办公室</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534035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391160</wp:posOffset>
            </wp:positionH>
            <wp:positionV relativeFrom="margin">
              <wp:posOffset>2694940</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负责处理县委网络安全和信息化委员会日常事务工作。协调督促有关方面落实委员会的决定事项、工作部署和要求，组织开展对涉及我县政治、经济、文化、社会、生态及军事等各个领域的网络安全和信息化重大问题研究，向委员会提出工作建议。</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二）组织研究起草我县网络安全和信息化发展战略宏观规划和重大政策。统筹推进我县网络安全和信息化法治、标准建设，根据职责权限负责相关法规、规章等的实施和监督检查，根据职责权限推动落实网络安全和信息化领域国家标准并监督实施；依法完善与信息化相关的统计调査制度。</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三）统筹协调全县网络安全保障体系和可信体系建设。牵头协调有关部门制定相关行业网络安全规划及保障评价指标体系，协调信息安全保护工作；指导推进全县党政军部门、重点行业网络安全保障和信息化工作；统筹推进网络安全和信息化军民融合深度发展；协调推进网络强县建设，推动全县公共服务和社会治理信息化；指导全县网络安全信息共享和通报。</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（四）督促落实我县涉及政治、经济、文化、社会、生态及军事等各个领域网络安全和信息化重大事项；负责协调处理网络安全和信息化重大突发事件与有关应急工作。</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五）负责全县互联网信息内容管理。统筹协调组织互联网宣传管理和舆论引导工作，组织开展网上评论，指导推动网络评论队伍建设，维护互联网意识形态安全；负责互联网信息内容监督管理执法，组织开展网络舆论生态治理，依法指导和管理本县落地网站及县内新媒体新应用，会同有关部门处置和封堵网上有害信息，依照相关法律和规定查处违法违规行为和网站。</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（六）负责指导协调全县网络舆情工作。收集、分析、研判、报送和处置网络與情信息。</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七）推动全县网络阵地建设和重点新闻网站规划建设,指导协调网络游戏、网络视听、网络出版等相关业务，推动移动互联网发展，会同有关部门推动传统媒体与新兴媒体融合发展；负责全县网站转载新闻稿源的管理。</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（八）推动全县网络社会工作和网络文化、网络文明建设；发展、联系、服务网络社会组织，指导互联网行业自律推进网站党建工作。</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九）落实互联网信息网络行业安全审查的有关政策。依法负责全县网络新闻业务和新闻舆论及社会动员功能业务的审核及日常监管；指导全县有关部门督促电信运营企业、接入服务企业等做好基础管理工作；统筹协调全县移动互联网管理。</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（十）协调推进全县信息网络行业自主创新和发展，统筹协调全县重要信息资源的开发利用与共享。协调金融监管部门建立全县网络金融信息发布、传播监管制度及工作机制。</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十一）组织拟订网络安全和信息化干部人才队伍发展规划，组织开展网信系统干部教育培训和人才队伍建设，规划指导全县互联网新闻信息服务从业人员教育培训和考评工作，组织开展网络媒介素养教育。组织开展相关领域的交流与合作。</w:t>
      </w:r>
    </w:p>
    <w:p>
      <w:pPr>
        <w:widowControl/>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（十二）指导、检査、推动各乡镇和有关部门网络安全和信息化工作。</w:t>
      </w:r>
    </w:p>
    <w:p>
      <w:pPr>
        <w:widowControl/>
        <w:spacing w:line="580" w:lineRule="exact"/>
        <w:ind w:firstLine="640" w:firstLineChars="200"/>
        <w:rPr>
          <w:rFonts w:ascii="仿宋_GB2312" w:hAnsi="Calibri" w:eastAsia="仿宋_GB2312" w:cs="ArialUnicodeMS"/>
          <w:kern w:val="0"/>
          <w:sz w:val="32"/>
          <w:szCs w:val="32"/>
          <w:highlight w:val="yellow"/>
        </w:rPr>
      </w:pPr>
      <w:r>
        <w:rPr>
          <w:rFonts w:hint="eastAsia" w:ascii="仿宋_GB2312" w:hAnsi="Calibri" w:eastAsia="仿宋_GB2312" w:cs="Arial Black"/>
          <w:kern w:val="0"/>
          <w:sz w:val="32"/>
          <w:szCs w:val="32"/>
        </w:rPr>
        <w:t>（十三）完成上级网信部门和县委、县政府及县委网络安全和信息化委员会、县委宣传部交办的其他任务。</w:t>
      </w:r>
    </w:p>
    <w:p>
      <w:pPr>
        <w:widowControl/>
        <w:spacing w:line="580" w:lineRule="exact"/>
        <w:rPr>
          <w:rFonts w:ascii="仿宋_GB2312" w:hAnsi="Calibri" w:eastAsia="仿宋_GB2312" w:cs="ArialUnicodeMS"/>
          <w:kern w:val="0"/>
          <w:sz w:val="32"/>
          <w:szCs w:val="32"/>
          <w:highlight w:val="yellow"/>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 Black"/>
                <w:kern w:val="0"/>
                <w:sz w:val="28"/>
                <w:szCs w:val="28"/>
              </w:rPr>
              <w:t>中共成安县委网络安全和信息化委员会办公室</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我部门无二级预算单位，因此，中共成安县委网络安全和信息化委员会办公室2022年度部门决算即中共成安县委网络安全和信息化委员会办公室本级2022年度决算。</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330835</wp:posOffset>
            </wp:positionH>
            <wp:positionV relativeFrom="margin">
              <wp:posOffset>3594735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435"/>
        <w:gridCol w:w="757"/>
        <w:gridCol w:w="843"/>
        <w:gridCol w:w="2588"/>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gridSpan w:val="2"/>
            <w:shd w:val="clear" w:color="auto" w:fill="FFFFFF"/>
            <w:vAlign w:val="center"/>
          </w:tcPr>
          <w:p>
            <w:pPr>
              <w:jc w:val="right"/>
              <w:rPr>
                <w:rFonts w:ascii="宋体" w:hAnsi="宋体" w:eastAsia="宋体" w:cs="宋体"/>
                <w:color w:val="000000"/>
                <w:sz w:val="24"/>
              </w:rPr>
            </w:pPr>
          </w:p>
        </w:tc>
        <w:tc>
          <w:tcPr>
            <w:tcW w:w="6808" w:type="dxa"/>
            <w:gridSpan w:val="6"/>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860" w:type="dxa"/>
            <w:gridSpan w:val="5"/>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部门：中共成安县委网络安全和信息化委员会办公室</w:t>
            </w:r>
          </w:p>
        </w:tc>
        <w:tc>
          <w:tcPr>
            <w:tcW w:w="1600" w:type="dxa"/>
            <w:gridSpan w:val="2"/>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5965"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161.18</w:t>
            </w: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132.28</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15.43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r>
              <w:rPr>
                <w:rFonts w:hint="eastAsia" w:ascii="宋体" w:hAnsi="宋体" w:eastAsia="宋体" w:cs="宋体"/>
                <w:b w:val="0"/>
                <w:bCs/>
                <w:color w:val="000000"/>
                <w:sz w:val="22"/>
              </w:rPr>
              <w:t>5.65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r>
              <w:rPr>
                <w:rFonts w:hint="eastAsia" w:ascii="宋体" w:hAnsi="宋体" w:eastAsia="宋体" w:cs="宋体"/>
                <w:b w:val="0"/>
                <w:bCs/>
                <w:color w:val="000000"/>
                <w:sz w:val="22"/>
              </w:rPr>
              <w:t>7.82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161.18</w:t>
            </w: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rPr>
              <w:t>161.18</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161.18</w:t>
            </w:r>
          </w:p>
        </w:tc>
        <w:tc>
          <w:tcPr>
            <w:tcW w:w="3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161.18</w:t>
            </w:r>
          </w:p>
        </w:tc>
      </w:tr>
      <w:tr>
        <w:tblPrEx>
          <w:tblCellMar>
            <w:top w:w="15" w:type="dxa"/>
            <w:left w:w="15" w:type="dxa"/>
            <w:bottom w:w="15" w:type="dxa"/>
            <w:right w:w="15" w:type="dxa"/>
          </w:tblCellMar>
        </w:tblPrEx>
        <w:trPr>
          <w:trHeight w:val="1020" w:hRule="atLeast"/>
        </w:trPr>
        <w:tc>
          <w:tcPr>
            <w:tcW w:w="16797"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338"/>
        <w:gridCol w:w="2533"/>
        <w:gridCol w:w="11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338" w:type="dxa"/>
            <w:shd w:val="clear" w:color="auto" w:fill="FFFFFF"/>
            <w:vAlign w:val="center"/>
          </w:tcPr>
          <w:p>
            <w:pPr>
              <w:jc w:val="right"/>
              <w:rPr>
                <w:rFonts w:ascii="宋体" w:hAnsi="宋体" w:eastAsia="宋体" w:cs="宋体"/>
                <w:color w:val="000000"/>
                <w:sz w:val="24"/>
              </w:rPr>
            </w:pPr>
          </w:p>
        </w:tc>
        <w:tc>
          <w:tcPr>
            <w:tcW w:w="2533" w:type="dxa"/>
            <w:shd w:val="clear" w:color="auto" w:fill="FFFFFF"/>
            <w:vAlign w:val="center"/>
          </w:tcPr>
          <w:p>
            <w:pPr>
              <w:jc w:val="right"/>
              <w:rPr>
                <w:rFonts w:ascii="宋体" w:hAnsi="宋体" w:eastAsia="宋体" w:cs="宋体"/>
                <w:color w:val="000000"/>
                <w:sz w:val="24"/>
              </w:rPr>
            </w:pPr>
          </w:p>
        </w:tc>
        <w:tc>
          <w:tcPr>
            <w:tcW w:w="11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4561" w:type="dxa"/>
            <w:gridSpan w:val="4"/>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kern w:val="0"/>
                <w:sz w:val="20"/>
                <w:szCs w:val="20"/>
                <w:lang w:bidi="ar"/>
              </w:rPr>
              <w:t>部门：中共成安县委网络安全和信息化委员会办公室</w:t>
            </w:r>
          </w:p>
        </w:tc>
        <w:tc>
          <w:tcPr>
            <w:tcW w:w="2160"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4"/>
                <w:szCs w:val="24"/>
              </w:rPr>
              <w:t>2022年度</w:t>
            </w: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4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89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5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5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4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34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161.18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161.18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一般公共服务支出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132.28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132.28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20137</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网信事务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华文中宋" w:hAnsi="华文中宋" w:eastAsia="华文中宋" w:cs="华文中宋"/>
                <w:color w:val="000000"/>
                <w:sz w:val="24"/>
              </w:rPr>
            </w:pPr>
            <w:r>
              <w:rPr>
                <w:rFonts w:hint="eastAsia" w:ascii="宋体" w:hAnsi="宋体" w:eastAsia="宋体" w:cs="宋体"/>
                <w:color w:val="000000"/>
                <w:kern w:val="0"/>
                <w:sz w:val="22"/>
                <w:lang w:bidi="ar"/>
              </w:rPr>
              <w:t>132.28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132.28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2013701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行政运行</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99.98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99.98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2013702</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一般行政管理事务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社会保障和就业支出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机关事业单位基本养老保险缴费支出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2080506</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机关事业单位职业年金缴费支出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行政事业单位医疗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行政单位医疗</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住房保障支出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住房改革支出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2210201</w:t>
            </w:r>
          </w:p>
        </w:tc>
        <w:tc>
          <w:tcPr>
            <w:tcW w:w="2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住房公积金</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240"/>
        <w:gridCol w:w="2665"/>
        <w:gridCol w:w="1267"/>
        <w:gridCol w:w="1171"/>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jc w:val="right"/>
              <w:rPr>
                <w:rFonts w:ascii="宋体" w:hAnsi="宋体" w:eastAsia="宋体" w:cs="宋体"/>
                <w:color w:val="000000"/>
                <w:sz w:val="24"/>
              </w:rPr>
            </w:pPr>
          </w:p>
        </w:tc>
        <w:tc>
          <w:tcPr>
            <w:tcW w:w="2665" w:type="dxa"/>
            <w:shd w:val="clear" w:color="auto" w:fill="FFFFFF"/>
            <w:vAlign w:val="center"/>
          </w:tcPr>
          <w:p>
            <w:pPr>
              <w:jc w:val="right"/>
              <w:rPr>
                <w:rFonts w:ascii="宋体" w:hAnsi="宋体" w:eastAsia="宋体" w:cs="宋体"/>
                <w:color w:val="000000"/>
                <w:sz w:val="24"/>
              </w:rPr>
            </w:pPr>
          </w:p>
        </w:tc>
        <w:tc>
          <w:tcPr>
            <w:tcW w:w="1267" w:type="dxa"/>
            <w:shd w:val="clear" w:color="auto" w:fill="FFFFFF"/>
            <w:vAlign w:val="center"/>
          </w:tcPr>
          <w:p>
            <w:pPr>
              <w:jc w:val="right"/>
              <w:rPr>
                <w:rFonts w:ascii="宋体" w:hAnsi="宋体" w:eastAsia="宋体" w:cs="宋体"/>
                <w:color w:val="000000"/>
                <w:sz w:val="24"/>
              </w:rPr>
            </w:pPr>
          </w:p>
        </w:tc>
        <w:tc>
          <w:tcPr>
            <w:tcW w:w="1171"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4843" w:type="dxa"/>
            <w:gridSpan w:val="4"/>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部门：中共成安县委网络安全和信息化委员会办公室</w:t>
            </w:r>
          </w:p>
        </w:tc>
        <w:tc>
          <w:tcPr>
            <w:tcW w:w="1171"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5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91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6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6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5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2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35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161.18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161.18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一般公共服务支出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132.28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132.28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20137</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网信事务</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132.28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132.28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2013701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行政运行</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99.98</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99.98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2013702</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一般行政管理事务</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32.30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32.30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社会保障和就业支出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机关事业单位基本养老保险缴费支出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10.29</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10.29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2080506</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机关事业单位职业年金缴费支出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5.14</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行政事业单位医疗</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行政单位医疗</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住房保障支出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住房改革支出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2210201</w:t>
            </w:r>
          </w:p>
        </w:tc>
        <w:tc>
          <w:tcPr>
            <w:tcW w:w="2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住房公积金</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243"/>
        <w:gridCol w:w="1666"/>
        <w:gridCol w:w="334"/>
        <w:gridCol w:w="1100"/>
        <w:gridCol w:w="700"/>
        <w:gridCol w:w="1749"/>
        <w:gridCol w:w="384"/>
        <w:gridCol w:w="333"/>
        <w:gridCol w:w="934"/>
        <w:gridCol w:w="525"/>
        <w:gridCol w:w="425"/>
        <w:gridCol w:w="916"/>
        <w:gridCol w:w="921"/>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2288"/>
              <w:gridCol w:w="350"/>
              <w:gridCol w:w="1926"/>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2288" w:type="dxa"/>
                  <w:shd w:val="clear" w:color="auto" w:fill="FFFFFF"/>
                  <w:vAlign w:val="center"/>
                </w:tcPr>
                <w:p>
                  <w:pPr>
                    <w:jc w:val="right"/>
                    <w:rPr>
                      <w:rFonts w:ascii="宋体" w:hAnsi="宋体" w:eastAsia="宋体" w:cs="宋体"/>
                      <w:color w:val="000000"/>
                      <w:sz w:val="24"/>
                    </w:rPr>
                  </w:pPr>
                </w:p>
              </w:tc>
              <w:tc>
                <w:tcPr>
                  <w:tcW w:w="350" w:type="dxa"/>
                  <w:shd w:val="clear" w:color="auto" w:fill="FFFFFF"/>
                  <w:vAlign w:val="center"/>
                </w:tcPr>
                <w:p>
                  <w:pPr>
                    <w:jc w:val="right"/>
                    <w:rPr>
                      <w:rFonts w:ascii="宋体" w:hAnsi="宋体" w:eastAsia="宋体" w:cs="宋体"/>
                      <w:color w:val="000000"/>
                      <w:sz w:val="24"/>
                    </w:rPr>
                  </w:pPr>
                </w:p>
              </w:tc>
              <w:tc>
                <w:tcPr>
                  <w:tcW w:w="1926"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4778" w:type="dxa"/>
                  <w:gridSpan w:val="4"/>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kern w:val="0"/>
                      <w:sz w:val="20"/>
                      <w:szCs w:val="20"/>
                      <w:lang w:bidi="ar"/>
                    </w:rPr>
                    <w:t>部门：中共成安县委网络安全和信息化委员会办公室</w:t>
                  </w:r>
                  <w:r>
                    <w:rPr>
                      <w:rFonts w:hint="eastAsia" w:ascii="宋体" w:hAnsi="宋体" w:eastAsia="宋体" w:cs="宋体"/>
                      <w:color w:val="000000"/>
                      <w:sz w:val="24"/>
                      <w:szCs w:val="24"/>
                    </w:rPr>
                    <w:t xml:space="preserve">  </w:t>
                  </w:r>
                </w:p>
              </w:tc>
              <w:tc>
                <w:tcPr>
                  <w:tcW w:w="350" w:type="dxa"/>
                  <w:shd w:val="clear" w:color="auto" w:fill="FFFFFF"/>
                  <w:vAlign w:val="center"/>
                </w:tcPr>
                <w:p>
                  <w:pPr>
                    <w:ind w:firstLine="720" w:firstLineChars="300"/>
                    <w:rPr>
                      <w:rFonts w:ascii="宋体" w:hAnsi="宋体" w:eastAsia="宋体" w:cs="宋体"/>
                      <w:color w:val="000000"/>
                      <w:sz w:val="24"/>
                    </w:rPr>
                  </w:pPr>
                </w:p>
              </w:tc>
              <w:tc>
                <w:tcPr>
                  <w:tcW w:w="1926" w:type="dxa"/>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4"/>
                      <w:szCs w:val="24"/>
                    </w:rPr>
                    <w:t>2022年度</w:t>
                  </w: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94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688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161.18</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132.28</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132.28</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15.43</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15.43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5.65</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5.65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7.82</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7.82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161.18</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161.18</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161.18</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5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161.18</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161.18</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161.18</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243" w:type="dxa"/>
            <w:shd w:val="clear" w:color="auto" w:fill="FFFFFF"/>
            <w:vAlign w:val="center"/>
          </w:tcPr>
          <w:p>
            <w:pPr>
              <w:jc w:val="center"/>
              <w:rPr>
                <w:rFonts w:ascii="宋体" w:hAnsi="宋体" w:eastAsia="宋体" w:cs="宋体"/>
                <w:color w:val="000000"/>
                <w:sz w:val="20"/>
                <w:szCs w:val="20"/>
              </w:rPr>
            </w:pPr>
          </w:p>
        </w:tc>
        <w:tc>
          <w:tcPr>
            <w:tcW w:w="3800" w:type="dxa"/>
            <w:gridSpan w:val="4"/>
            <w:shd w:val="clear" w:color="auto" w:fill="FFFFFF"/>
            <w:vAlign w:val="center"/>
          </w:tcPr>
          <w:p>
            <w:pPr>
              <w:jc w:val="center"/>
              <w:rPr>
                <w:rFonts w:ascii="宋体" w:hAnsi="宋体" w:eastAsia="宋体" w:cs="宋体"/>
                <w:color w:val="000000"/>
                <w:sz w:val="20"/>
                <w:szCs w:val="20"/>
              </w:rPr>
            </w:pPr>
          </w:p>
        </w:tc>
        <w:tc>
          <w:tcPr>
            <w:tcW w:w="1749" w:type="dxa"/>
            <w:shd w:val="clear" w:color="auto" w:fill="FFFFFF"/>
            <w:vAlign w:val="center"/>
          </w:tcPr>
          <w:p>
            <w:pPr>
              <w:rPr>
                <w:rFonts w:ascii="宋体" w:hAnsi="宋体" w:eastAsia="宋体" w:cs="宋体"/>
                <w:color w:val="000000"/>
                <w:sz w:val="20"/>
                <w:szCs w:val="20"/>
              </w:rPr>
            </w:pP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4643" w:type="dxa"/>
            <w:gridSpan w:val="6"/>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部门：中共成安县委网络安全和信息化委员会办公室</w:t>
            </w:r>
            <w:r>
              <w:rPr>
                <w:rFonts w:hint="eastAsia" w:ascii="宋体" w:hAnsi="宋体" w:eastAsia="宋体" w:cs="宋体"/>
                <w:color w:val="000000"/>
                <w:sz w:val="24"/>
                <w:szCs w:val="24"/>
              </w:rPr>
              <w:t xml:space="preserve"> </w:t>
            </w:r>
          </w:p>
        </w:tc>
        <w:tc>
          <w:tcPr>
            <w:tcW w:w="1749" w:type="dxa"/>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6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2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8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380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8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80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80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6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6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161.18</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161.18</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一般公共服务支出</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132.28</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132.28</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20137</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网信事务</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132.28</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132.28</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2013701</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 xml:space="preserve">  行政运行</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99.98</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99.98</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2013702</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一般行政管理事务</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32.30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32.30</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社会保障和就业支出</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15.43</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机关事业单位基本养老保险缴费支出</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10.29</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10.29</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2080506</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机关事业单位职业年金缴费支出</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5.14</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5.14</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行政事业单位医疗</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2101101</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行政单位医疗</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5.65</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住房保障支出</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住房改革支出</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2210201</w:t>
            </w:r>
          </w:p>
        </w:tc>
        <w:tc>
          <w:tcPr>
            <w:tcW w:w="3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住房公积金</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7.82</w:t>
            </w:r>
          </w:p>
        </w:tc>
        <w:tc>
          <w:tcPr>
            <w:tcW w:w="22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976"/>
        <w:gridCol w:w="1330"/>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976" w:type="dxa"/>
            <w:shd w:val="clear" w:color="auto" w:fill="FFFFFF"/>
            <w:vAlign w:val="center"/>
          </w:tcPr>
          <w:p>
            <w:pPr>
              <w:rPr>
                <w:rFonts w:ascii="宋体" w:hAnsi="宋体" w:eastAsia="宋体" w:cs="宋体"/>
                <w:color w:val="000000"/>
                <w:sz w:val="20"/>
                <w:szCs w:val="20"/>
              </w:rPr>
            </w:pPr>
          </w:p>
        </w:tc>
        <w:tc>
          <w:tcPr>
            <w:tcW w:w="1330"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4643" w:type="dxa"/>
            <w:gridSpan w:val="4"/>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部门：中共成安县委网络安全和信息化委员会办公室</w:t>
            </w:r>
            <w:r>
              <w:rPr>
                <w:rFonts w:hint="eastAsia" w:ascii="宋体" w:hAnsi="宋体" w:eastAsia="宋体" w:cs="宋体"/>
                <w:color w:val="000000"/>
                <w:sz w:val="24"/>
                <w:szCs w:val="24"/>
              </w:rPr>
              <w:t xml:space="preserve"> </w:t>
            </w:r>
          </w:p>
        </w:tc>
        <w:tc>
          <w:tcPr>
            <w:tcW w:w="1330" w:type="dxa"/>
            <w:shd w:val="clear" w:color="auto" w:fill="auto"/>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120.35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40.83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54.30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19.70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13.63</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0.01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1.86</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10.29</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5.14</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0.13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1.96</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0.07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7.82</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20.21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0.85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0.21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2.57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12.09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2"/>
              </w:rPr>
              <w:t>120.35</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40.83</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4952" w:type="dxa"/>
            <w:gridSpan w:val="4"/>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部门：中共成安县委网络安全和信息化委员会办公室</w:t>
            </w:r>
            <w:r>
              <w:rPr>
                <w:rFonts w:hint="eastAsia" w:ascii="宋体" w:hAnsi="宋体" w:eastAsia="宋体" w:cs="宋体"/>
                <w:color w:val="000000"/>
                <w:sz w:val="24"/>
                <w:szCs w:val="24"/>
              </w:rPr>
              <w:t xml:space="preserve"> </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sz w:val="22"/>
              </w:rPr>
            </w:pPr>
            <w:r>
              <w:rPr>
                <w:rFonts w:hint="eastAsia" w:ascii="宋体" w:hAnsi="宋体" w:eastAsia="宋体" w:cs="宋体"/>
                <w:color w:val="000000"/>
                <w:kern w:val="0"/>
                <w:sz w:val="22"/>
                <w:lang w:bidi="ar"/>
              </w:rPr>
              <w:t>注：本表反映部门本年度政府性基金预算财政拨款收入、支出及结转和结余情况。</w:t>
            </w:r>
            <w:r>
              <w:rPr>
                <w:rFonts w:hint="eastAsia" w:ascii="宋体" w:hAnsi="宋体" w:eastAsia="宋体" w:cs="宋体"/>
                <w:sz w:val="22"/>
              </w:rPr>
              <w:t>本部门本年度无政府性基金预算财政拨款收入、支出及结转和结余情况,按空表列示。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6248" w:type="dxa"/>
            <w:gridSpan w:val="6"/>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部门：中共成安县委网络安全和信息化委员会办公室</w:t>
            </w:r>
            <w:r>
              <w:rPr>
                <w:rFonts w:hint="eastAsia" w:ascii="宋体" w:hAnsi="宋体" w:eastAsia="宋体" w:cs="宋体"/>
                <w:color w:val="000000"/>
                <w:sz w:val="24"/>
                <w:szCs w:val="24"/>
              </w:rPr>
              <w:t xml:space="preserve"> </w:t>
            </w:r>
          </w:p>
        </w:tc>
        <w:tc>
          <w:tcPr>
            <w:tcW w:w="103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ascii="宋体" w:hAnsi="宋体" w:eastAsia="宋体" w:cs="宋体"/>
                <w:sz w:val="22"/>
              </w:rPr>
            </w:pPr>
            <w:r>
              <w:rPr>
                <w:rFonts w:hint="eastAsia" w:ascii="宋体" w:hAnsi="宋体" w:eastAsia="宋体" w:cs="宋体"/>
                <w:color w:val="000000"/>
                <w:kern w:val="0"/>
                <w:sz w:val="22"/>
                <w:lang w:bidi="ar"/>
              </w:rPr>
              <w:t>注：本表反映部门本年度国有资本经营预算财政拨款支出情况。</w:t>
            </w:r>
            <w:r>
              <w:rPr>
                <w:rFonts w:hint="eastAsia" w:ascii="宋体" w:hAnsi="宋体" w:eastAsia="宋体" w:cs="宋体"/>
                <w:sz w:val="22"/>
              </w:rPr>
              <w:t>本部门本年度无国有资本经营预算财政拨款收入、支出及结转结余情况，按空表列示。</w:t>
            </w:r>
          </w:p>
          <w:p>
            <w:pPr>
              <w:rPr>
                <w:b/>
              </w:rPr>
            </w:pP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714"/>
        <w:gridCol w:w="594"/>
        <w:gridCol w:w="456"/>
        <w:gridCol w:w="557"/>
        <w:gridCol w:w="768"/>
        <w:gridCol w:w="459"/>
        <w:gridCol w:w="198"/>
        <w:gridCol w:w="731"/>
        <w:gridCol w:w="139"/>
        <w:gridCol w:w="836"/>
        <w:gridCol w:w="219"/>
        <w:gridCol w:w="939"/>
        <w:gridCol w:w="33"/>
        <w:gridCol w:w="83"/>
        <w:gridCol w:w="240"/>
        <w:gridCol w:w="240"/>
        <w:gridCol w:w="1767"/>
      </w:tblGrid>
      <w:tr>
        <w:tblPrEx>
          <w:tblCellMar>
            <w:top w:w="15" w:type="dxa"/>
            <w:left w:w="15" w:type="dxa"/>
            <w:bottom w:w="15" w:type="dxa"/>
            <w:right w:w="15" w:type="dxa"/>
          </w:tblCellMar>
        </w:tblPrEx>
        <w:trPr>
          <w:gridAfter w:val="5"/>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517" w:type="dxa"/>
            <w:gridSpan w:val="2"/>
            <w:shd w:val="clear" w:color="auto" w:fill="auto"/>
            <w:vAlign w:val="center"/>
          </w:tcPr>
          <w:p>
            <w:pPr>
              <w:rPr>
                <w:rFonts w:ascii="宋体" w:hAnsi="宋体" w:eastAsia="宋体" w:cs="宋体"/>
                <w:color w:val="000000"/>
                <w:sz w:val="24"/>
              </w:rPr>
            </w:pPr>
          </w:p>
        </w:tc>
        <w:tc>
          <w:tcPr>
            <w:tcW w:w="594" w:type="dxa"/>
            <w:shd w:val="clear" w:color="auto" w:fill="auto"/>
            <w:vAlign w:val="center"/>
          </w:tcPr>
          <w:p>
            <w:pPr>
              <w:rPr>
                <w:rFonts w:ascii="宋体" w:hAnsi="宋体" w:eastAsia="宋体" w:cs="宋体"/>
                <w:color w:val="000000"/>
                <w:sz w:val="24"/>
              </w:rPr>
            </w:pPr>
          </w:p>
        </w:tc>
        <w:tc>
          <w:tcPr>
            <w:tcW w:w="456" w:type="dxa"/>
            <w:shd w:val="clear" w:color="auto" w:fill="auto"/>
            <w:vAlign w:val="center"/>
          </w:tcPr>
          <w:p>
            <w:pPr>
              <w:widowControl/>
              <w:jc w:val="right"/>
              <w:textAlignment w:val="center"/>
              <w:rPr>
                <w:rFonts w:ascii="宋体" w:hAnsi="宋体" w:eastAsia="宋体" w:cs="宋体"/>
                <w:color w:val="000000"/>
                <w:sz w:val="24"/>
              </w:rPr>
            </w:pPr>
          </w:p>
        </w:tc>
        <w:tc>
          <w:tcPr>
            <w:tcW w:w="1784"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3"/>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4831" w:type="dxa"/>
            <w:gridSpan w:val="9"/>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部门：中共成安县委网络安全和信息化委员会办公室</w:t>
            </w:r>
            <w:r>
              <w:rPr>
                <w:rFonts w:hint="eastAsia" w:ascii="宋体" w:hAnsi="宋体" w:eastAsia="宋体" w:cs="宋体"/>
                <w:color w:val="000000"/>
                <w:sz w:val="24"/>
                <w:szCs w:val="24"/>
              </w:rPr>
              <w:t xml:space="preserve"> </w:t>
            </w:r>
          </w:p>
        </w:tc>
        <w:tc>
          <w:tcPr>
            <w:tcW w:w="1050" w:type="dxa"/>
            <w:gridSpan w:val="2"/>
            <w:shd w:val="clear" w:color="auto" w:fill="FFFFFF"/>
            <w:vAlign w:val="center"/>
          </w:tcPr>
          <w:p>
            <w:pPr>
              <w:widowControl/>
              <w:tabs>
                <w:tab w:val="left" w:pos="602"/>
                <w:tab w:val="right" w:pos="6421"/>
              </w:tabs>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2022年度</w:t>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20222022单位：万元</w:t>
            </w:r>
          </w:p>
        </w:tc>
        <w:tc>
          <w:tcPr>
            <w:tcW w:w="5202" w:type="dxa"/>
            <w:gridSpan w:val="12"/>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5"/>
          <w:wAfter w:w="2363" w:type="dxa"/>
          <w:trHeight w:val="555" w:hRule="atLeast"/>
        </w:trPr>
        <w:tc>
          <w:tcPr>
            <w:tcW w:w="588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484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30"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76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30"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7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30"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30"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5"/>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r>
              <w:rPr>
                <w:rFonts w:hint="eastAsia" w:ascii="宋体" w:hAnsi="宋体" w:eastAsia="宋体" w:cs="宋体"/>
                <w:sz w:val="24"/>
                <w:szCs w:val="24"/>
              </w:rPr>
              <w:t>本部门本年度无相关收入（或支出、收支及结转结余等）情况，按要求空表列示。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-332740</wp:posOffset>
            </wp:positionH>
            <wp:positionV relativeFrom="margin">
              <wp:posOffset>3776345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本部门2022年度收、支总计（含结转和结余）161.18万元。与2021年度决算相比，收支各增加67.57万元，增长72.2%，主要原因是</w:t>
      </w:r>
      <w:r>
        <w:rPr>
          <w:rFonts w:hint="eastAsia" w:ascii="仿宋_GB2312" w:hAnsi="Times New Roman" w:eastAsia="仿宋_GB2312" w:cs="Wingdings"/>
          <w:sz w:val="32"/>
          <w:szCs w:val="32"/>
        </w:rPr>
        <w:t>人员经费增加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本部门2022年度收入合计161.18万元，其中：财政拨款收入161.18万元，占100%；事业收入0万元，占0%；经营收入0万元，占0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本部门2022年度支出合计161.18万元，其中：基本支出161.18万元，占100%；项目支出0万元，占0%；经营支出0万元，占0%；对附属单位补助支出0万元，占0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本部门2022年度财政拨款本年收入161.18万元,比2021年度增加67.57万元，增长72.2%，主要是</w:t>
      </w:r>
      <w:r>
        <w:rPr>
          <w:rFonts w:hint="eastAsia" w:ascii="仿宋_GB2312" w:hAnsi="Times New Roman" w:eastAsia="仿宋_GB2312" w:cs="Wingdings"/>
          <w:sz w:val="32"/>
          <w:szCs w:val="32"/>
        </w:rPr>
        <w:t>网信事务工作增加</w:t>
      </w:r>
      <w:r>
        <w:rPr>
          <w:rFonts w:hint="eastAsia" w:ascii="仿宋_GB2312" w:hAnsi="Times New Roman" w:eastAsia="仿宋_GB2312" w:cs="DengXian-Regular"/>
          <w:sz w:val="32"/>
          <w:szCs w:val="32"/>
        </w:rPr>
        <w:t>；本年支出161.18万元，增加67.57万元，增长72.2%，主要是</w:t>
      </w:r>
      <w:r>
        <w:rPr>
          <w:rFonts w:hint="eastAsia" w:ascii="仿宋_GB2312" w:hAnsi="Times New Roman" w:eastAsia="仿宋_GB2312" w:cs="Wingdings"/>
          <w:sz w:val="32"/>
          <w:szCs w:val="32"/>
        </w:rPr>
        <w:t>人员经费增加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1.一般公共预算财政拨款本年收入161.18万元，比上年增加67.57万元；主要是</w:t>
      </w:r>
      <w:r>
        <w:rPr>
          <w:rFonts w:hint="eastAsia" w:ascii="仿宋_GB2312" w:hAnsi="Times New Roman" w:eastAsia="仿宋_GB2312" w:cs="Wingdings"/>
          <w:sz w:val="32"/>
          <w:szCs w:val="32"/>
        </w:rPr>
        <w:t>人员经费增加</w:t>
      </w:r>
      <w:r>
        <w:rPr>
          <w:rFonts w:hint="eastAsia" w:ascii="仿宋_GB2312" w:hAnsi="Times New Roman" w:eastAsia="仿宋_GB2312" w:cs="DengXian-Regular"/>
          <w:sz w:val="32"/>
          <w:szCs w:val="32"/>
        </w:rPr>
        <w:t>；本年支出161.18万元，比上年增加67.57万元，增长72.2%，主要是</w:t>
      </w:r>
      <w:r>
        <w:rPr>
          <w:rFonts w:hint="eastAsia" w:ascii="仿宋_GB2312" w:hAnsi="Times New Roman" w:eastAsia="仿宋_GB2312" w:cs="Wingdings"/>
          <w:sz w:val="32"/>
          <w:szCs w:val="32"/>
        </w:rPr>
        <w:t>人员经费增加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0万元，比上年增加0万元，增长0%，主要原因是本部门本年度无政府性基金预算财政拨款收入；本年支出0万元，比上年增加0万元，增长0%，主要是本部门本年度无政府性基金预算财政拨款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0万元，比上年增加0万元，增长0%，主要原因是本部门本年度无国有资本经营预算财政拨款收入；本年支出0万元，比上年增加0万元，增长0%，主要是本部门本年度无国有资本经营预算财政拨款支出。</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本部门2022年度财政拨款本年收入161.18万元，完成年初预算的162.9%,比年初预算增加62.23万元，决算数大于预算数主要原因是</w:t>
      </w:r>
      <w:r>
        <w:rPr>
          <w:rFonts w:hint="eastAsia" w:ascii="仿宋_GB2312" w:hAnsi="Times New Roman" w:eastAsia="仿宋_GB2312" w:cs="Wingdings"/>
          <w:sz w:val="32"/>
          <w:szCs w:val="32"/>
        </w:rPr>
        <w:t>人员经费和网信事务工作增加</w:t>
      </w:r>
      <w:r>
        <w:rPr>
          <w:rFonts w:hint="eastAsia" w:ascii="仿宋_GB2312" w:hAnsi="Times New Roman" w:eastAsia="仿宋_GB2312" w:cs="DengXian-Regular"/>
          <w:sz w:val="32"/>
          <w:szCs w:val="32"/>
        </w:rPr>
        <w:t>；本年支出161.18万元，完成年初预算的162.9%,比年初预算增加62.23万元，决算数大于预算数主要原因是</w:t>
      </w:r>
      <w:r>
        <w:rPr>
          <w:rFonts w:hint="eastAsia" w:ascii="仿宋_GB2312" w:hAnsi="Times New Roman" w:eastAsia="仿宋_GB2312" w:cs="Wingdings"/>
          <w:sz w:val="32"/>
          <w:szCs w:val="32"/>
        </w:rPr>
        <w:t>人员经费和网信事务工作增加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1.一般公共预算财政拨款本年收入完成年初预算162.9%，比年初预算增加62.23万元，主要是人员经费和</w:t>
      </w:r>
      <w:r>
        <w:rPr>
          <w:rFonts w:hint="eastAsia" w:ascii="仿宋_GB2312" w:hAnsi="Times New Roman" w:eastAsia="仿宋_GB2312" w:cs="Wingdings"/>
          <w:sz w:val="32"/>
          <w:szCs w:val="32"/>
        </w:rPr>
        <w:t>网信事务工作增加</w:t>
      </w:r>
      <w:r>
        <w:rPr>
          <w:rFonts w:hint="eastAsia" w:ascii="仿宋_GB2312" w:hAnsi="Times New Roman" w:eastAsia="仿宋_GB2312" w:cs="DengXian-Regular"/>
          <w:sz w:val="32"/>
          <w:szCs w:val="32"/>
        </w:rPr>
        <w:t>；支出完成年初预算162.9%，比年初预算增加62.23万元，主要是</w:t>
      </w:r>
      <w:r>
        <w:rPr>
          <w:rFonts w:hint="eastAsia" w:ascii="仿宋_GB2312" w:hAnsi="Times New Roman" w:eastAsia="仿宋_GB2312" w:cs="Wingdings"/>
          <w:sz w:val="32"/>
          <w:szCs w:val="32"/>
        </w:rPr>
        <w:t>人员经费和网信事务工作增加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2.政府性基金预算财政拨款本年收入完成年初预算0%，比年初预算增加0万元，与年初预算持平；支出完成年初预算0%，比年初预算增加0万元，与年初预算持平。</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3.国有资本经营预算财政拨款本年收入完成年初预算0%，比年初预算增加0万元，与年初预算持平；支出完成年初预算0%，比年初预算增加0万元，与年初预算持平。</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2022年度财政拨款支出161.18万元，主要用于以下方面：一般公共服务（类）支出132.28万元，占82%；</w:t>
      </w:r>
      <w:r>
        <w:rPr>
          <w:rFonts w:hint="eastAsia" w:ascii="仿宋_GB2312" w:hAnsi="Times New Roman" w:eastAsia="仿宋_GB2312" w:cs="Wingdings"/>
          <w:sz w:val="32"/>
          <w:szCs w:val="32"/>
        </w:rPr>
        <w:t>社会保障和就业（类）支出15.43万元，占9.6%，主要用于机关事业养老保险费、职业年金等支出；卫生健康支出5.65万元，占3.5%，主要用于职工医疗保险费支出；住房保障（类）支出7.82万元，占 4.9%，主要用于住房公积金支出</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ascii="仿宋_GB2312" w:hAnsi="Times New Roman" w:eastAsia="仿宋_GB2312" w:cs="DengXian-Regular"/>
          <w:sz w:val="32"/>
          <w:szCs w:val="32"/>
        </w:rPr>
        <w:t>161.18</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人员经费120.35万元，主要包括基本工资、津贴补贴、奖金、绩效工资、机关事业单位基本养老保险缴费、职业年金缴费、职工基本医疗保险缴费、住房公积金、其他社会保障缴费。</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公用经费40.83万元，主要包括办公费、印刷费、手续费、邮电费、差旅费、维修（护）费、委托业务费、工会经费、福利费、其他交通费用、其他商品和服务支出。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本部门2022年度“三公”经费财政拨款支出预算为0万元，支出决算为0万元，完成预算的0%,较预算增加0万元，增长0%，与年初预算持平；较2021年度决算减少0万元，降低0%，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0万元，支出决算0万元，完成预算的0%。因公出国（境）费支出较预算增加0万元，增长0%,主要是本部门无因公出国（境）费支出；较上年增加0万元，增长0%,主要是本部门无因公出国（境）费支出。其中因公出国（境）团组0个、共0人、参加其他单位组织的因公出国（境）团组0个、共0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bookmarkStart w:id="0" w:name="_GoBack"/>
      <w:bookmarkEnd w:id="0"/>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本部门2022年度公务用车购置及运行维护费预算为0万元，支出决算0万元，完成预算的0%。较预算减少0万元，降低0%,</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；较上年减少0万元，降低0%,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本部门2022年度公务用车购置量0辆，发生“公务用车购置”经费支出0万元。公务用车购置费支出较预算增加0万元，增长0%,</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；较上年增加0万元，增长0%,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本部门2022年度单位公务用车保有量0辆。公车运行维护费支出较预算增加0万元，增长0%,</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；较上年减少0万元，降低0%，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本部门2022年度公务接待费支出预算为0万元，支出决算0万元，完成预算的0%。公务接待费支出较预算增加0万元，降低0%,与年初预算持平；较上年度减少0万元，降低0%,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。本年度共发生公务接待0批次、0人次。</w:t>
      </w:r>
    </w:p>
    <w:p>
      <w:pPr>
        <w:adjustRightInd w:val="0"/>
        <w:snapToGrid w:val="0"/>
        <w:spacing w:line="580" w:lineRule="exact"/>
        <w:ind w:left="420" w:leftChars="200" w:firstLine="320" w:firstLineChars="1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本部门2022年度机关运行经费支出40.83万元，比2021年度减少8.31万元，降低16.9%。主要原因是办公费和咨询费减少。</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本部门2022年度政府采购支出总额0万元，从采购类型来看，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bidi="ar"/>
        </w:rPr>
        <w:t>额0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0辆，比上年增加0辆，与2021年度车辆持平。其中，副部（省）级及以上领导用车0辆，主要领导干部用车0辆，机要通信用车0辆，应急保障用车0辆，执法执勤用车0辆，特种专业技术用车0辆，离退休干部用车0辆，其他用车0辆，其他用车主要是</w:t>
      </w:r>
      <w:r>
        <w:rPr>
          <w:rFonts w:hint="eastAsia" w:ascii="仿宋_GB2312" w:hAnsi="仿宋_GB2312" w:eastAsia="仿宋_GB2312" w:cs="仿宋_GB2312"/>
          <w:sz w:val="32"/>
          <w:szCs w:val="32"/>
        </w:rPr>
        <w:t>公务用车</w:t>
      </w:r>
      <w:r>
        <w:rPr>
          <w:rFonts w:hint="eastAsia" w:ascii="仿宋_GB2312" w:hAnsi="Times New Roman" w:eastAsia="仿宋_GB2312" w:cs="DengXian-Regular"/>
          <w:sz w:val="32"/>
          <w:szCs w:val="32"/>
        </w:rPr>
        <w:t>；单位价值100万元以上设备（不含车辆）0台（套）。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年度一般公共预算项目支出全面开展绩效自评，其中，一级项目0个，二级项目0个，共涉及资金0万元，占一般公共预算项目支出总额的0。组织对202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年度0个政府性基金预算项目支出开展绩效自评，共涉及资金0万元，占政府性基金预算项目支出总额的0。</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因本部门在2022年无项目支出，故在今年部门决算公开中不再反映项目绩效自评结果。</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（三）部门评价项目绩效评价结果</w:t>
      </w:r>
    </w:p>
    <w:p>
      <w:pPr>
        <w:adjustRightInd w:val="0"/>
        <w:snapToGrid w:val="0"/>
        <w:spacing w:line="580" w:lineRule="exact"/>
        <w:ind w:left="420" w:leftChars="200"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本部门2022年度一般公共预算财政拨款“三公”经费支出决算表、政府性基金预算和国有资本经营预算无收支及结转结余情况，故07、08表和09表以空表列示。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64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1920" w:firstLineChars="6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491490</wp:posOffset>
            </wp:positionH>
            <wp:positionV relativeFrom="margin">
              <wp:posOffset>2988945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widowControl/>
        <w:ind w:firstLine="2640" w:firstLineChars="600"/>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rPr>
          <w:rFonts w:ascii="仿宋_GB2312" w:hAnsi="宋体" w:eastAsia="仿宋_GB2312" w:cs="ArialUnicodeMS"/>
          <w:sz w:val="32"/>
          <w:szCs w:val="32"/>
        </w:rPr>
      </w:pPr>
    </w:p>
    <w:p>
      <w:pPr>
        <w:rPr>
          <w:rFonts w:ascii="仿宋_GB2312" w:hAnsi="宋体" w:eastAsia="仿宋_GB2312" w:cs="ArialUnicodeMS"/>
          <w:sz w:val="32"/>
          <w:szCs w:val="32"/>
        </w:rPr>
      </w:pP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gsImhkaWQiOiJmMTFhYjRiNmM5NGI4NDZjMDc2NWFmNjYyOGM4ZjVmMiIsInVzZXJDb3VudCI6MX0="/>
  </w:docVars>
  <w:rsids>
    <w:rsidRoot w:val="00172A27"/>
    <w:rsid w:val="000031F7"/>
    <w:rsid w:val="00013654"/>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247B0"/>
    <w:rsid w:val="00757732"/>
    <w:rsid w:val="00786182"/>
    <w:rsid w:val="007B4464"/>
    <w:rsid w:val="00844876"/>
    <w:rsid w:val="00855E47"/>
    <w:rsid w:val="00896712"/>
    <w:rsid w:val="008E5668"/>
    <w:rsid w:val="009224FE"/>
    <w:rsid w:val="0093782E"/>
    <w:rsid w:val="00967875"/>
    <w:rsid w:val="009718A8"/>
    <w:rsid w:val="009D7927"/>
    <w:rsid w:val="009E6461"/>
    <w:rsid w:val="00A66109"/>
    <w:rsid w:val="00A70AC0"/>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2F9D"/>
    <w:rsid w:val="00F242CA"/>
    <w:rsid w:val="00FC3F68"/>
    <w:rsid w:val="00FF453A"/>
    <w:rsid w:val="017716F4"/>
    <w:rsid w:val="018E53BB"/>
    <w:rsid w:val="01B752BF"/>
    <w:rsid w:val="02F2691F"/>
    <w:rsid w:val="05273E55"/>
    <w:rsid w:val="057C2B79"/>
    <w:rsid w:val="06652463"/>
    <w:rsid w:val="06EB1AB6"/>
    <w:rsid w:val="096F5AD2"/>
    <w:rsid w:val="099D6B31"/>
    <w:rsid w:val="09FD66D9"/>
    <w:rsid w:val="0A9D21CB"/>
    <w:rsid w:val="0B1F0E32"/>
    <w:rsid w:val="0CE339B3"/>
    <w:rsid w:val="10B242CF"/>
    <w:rsid w:val="118122A3"/>
    <w:rsid w:val="11F4604E"/>
    <w:rsid w:val="136D16FB"/>
    <w:rsid w:val="13AA21BF"/>
    <w:rsid w:val="183103F7"/>
    <w:rsid w:val="18DF7E53"/>
    <w:rsid w:val="1A3D2C72"/>
    <w:rsid w:val="1A457256"/>
    <w:rsid w:val="1A7C6EDE"/>
    <w:rsid w:val="1B1F09DB"/>
    <w:rsid w:val="1C106ADA"/>
    <w:rsid w:val="1C646FED"/>
    <w:rsid w:val="1D0114B0"/>
    <w:rsid w:val="1D34289B"/>
    <w:rsid w:val="1D3544E5"/>
    <w:rsid w:val="1D3D339A"/>
    <w:rsid w:val="1E291787"/>
    <w:rsid w:val="1EB15DEE"/>
    <w:rsid w:val="20A26336"/>
    <w:rsid w:val="216937C4"/>
    <w:rsid w:val="22806203"/>
    <w:rsid w:val="23CC7BD0"/>
    <w:rsid w:val="24EC2700"/>
    <w:rsid w:val="253D5AE3"/>
    <w:rsid w:val="27475541"/>
    <w:rsid w:val="27B70919"/>
    <w:rsid w:val="281F068E"/>
    <w:rsid w:val="291F5DDF"/>
    <w:rsid w:val="298605CB"/>
    <w:rsid w:val="2CEF036C"/>
    <w:rsid w:val="2FC516F9"/>
    <w:rsid w:val="310502B1"/>
    <w:rsid w:val="32A31C4C"/>
    <w:rsid w:val="32B53CA7"/>
    <w:rsid w:val="33CD2241"/>
    <w:rsid w:val="34967CFD"/>
    <w:rsid w:val="36716136"/>
    <w:rsid w:val="39C2416B"/>
    <w:rsid w:val="3A940645"/>
    <w:rsid w:val="3B744E3E"/>
    <w:rsid w:val="3D006466"/>
    <w:rsid w:val="3D3954D4"/>
    <w:rsid w:val="3DC91A1B"/>
    <w:rsid w:val="3F235BB1"/>
    <w:rsid w:val="3F663581"/>
    <w:rsid w:val="425D7EB7"/>
    <w:rsid w:val="42A44BF6"/>
    <w:rsid w:val="43D16466"/>
    <w:rsid w:val="44784B34"/>
    <w:rsid w:val="4571549B"/>
    <w:rsid w:val="45D264C6"/>
    <w:rsid w:val="471274FD"/>
    <w:rsid w:val="49717ADD"/>
    <w:rsid w:val="4A07693F"/>
    <w:rsid w:val="4A117988"/>
    <w:rsid w:val="4A51609B"/>
    <w:rsid w:val="4B3B61D9"/>
    <w:rsid w:val="4C194D3B"/>
    <w:rsid w:val="4D304C6C"/>
    <w:rsid w:val="4D3D691B"/>
    <w:rsid w:val="4E8430BC"/>
    <w:rsid w:val="4F2A6A41"/>
    <w:rsid w:val="500373A2"/>
    <w:rsid w:val="507C6383"/>
    <w:rsid w:val="51E25CE3"/>
    <w:rsid w:val="532C190B"/>
    <w:rsid w:val="53AD746D"/>
    <w:rsid w:val="551F6CFF"/>
    <w:rsid w:val="561769D4"/>
    <w:rsid w:val="588A554B"/>
    <w:rsid w:val="58D844B0"/>
    <w:rsid w:val="597E4543"/>
    <w:rsid w:val="5B3C6463"/>
    <w:rsid w:val="5C367357"/>
    <w:rsid w:val="5F4519FF"/>
    <w:rsid w:val="5F4A1A8C"/>
    <w:rsid w:val="60075621"/>
    <w:rsid w:val="602001C2"/>
    <w:rsid w:val="60CE32E1"/>
    <w:rsid w:val="620B6B90"/>
    <w:rsid w:val="64C00985"/>
    <w:rsid w:val="65225D26"/>
    <w:rsid w:val="65DB5CBA"/>
    <w:rsid w:val="674E6C15"/>
    <w:rsid w:val="67636EEB"/>
    <w:rsid w:val="697609B2"/>
    <w:rsid w:val="69F4671F"/>
    <w:rsid w:val="6BA53F12"/>
    <w:rsid w:val="6C276CBC"/>
    <w:rsid w:val="6CBF282C"/>
    <w:rsid w:val="6DAD31F1"/>
    <w:rsid w:val="6EC151A6"/>
    <w:rsid w:val="6F7D4A6C"/>
    <w:rsid w:val="706922F1"/>
    <w:rsid w:val="706C2EEF"/>
    <w:rsid w:val="70FD1EA4"/>
    <w:rsid w:val="73335BEE"/>
    <w:rsid w:val="734B3BFA"/>
    <w:rsid w:val="73753308"/>
    <w:rsid w:val="73D9089C"/>
    <w:rsid w:val="774B1AB0"/>
    <w:rsid w:val="79442C5B"/>
    <w:rsid w:val="7BB011B5"/>
    <w:rsid w:val="7C2A2F43"/>
    <w:rsid w:val="7CD04806"/>
    <w:rsid w:val="7E3C2153"/>
    <w:rsid w:val="7EAD450C"/>
    <w:rsid w:val="7EE66563"/>
    <w:rsid w:val="7FE2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字符"/>
    <w:basedOn w:val="8"/>
    <w:link w:val="4"/>
    <w:qFormat/>
    <w:uiPriority w:val="0"/>
    <w:rPr>
      <w:kern w:val="2"/>
      <w:sz w:val="18"/>
      <w:szCs w:val="18"/>
    </w:rPr>
  </w:style>
  <w:style w:type="character" w:customStyle="1" w:styleId="10">
    <w:name w:val="页眉 字符"/>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28</Pages>
  <Words>9114</Words>
  <Characters>10652</Characters>
  <Lines>92</Lines>
  <Paragraphs>25</Paragraphs>
  <TotalTime>22</TotalTime>
  <ScaleCrop>false</ScaleCrop>
  <LinksUpToDate>false</LinksUpToDate>
  <CharactersWithSpaces>11055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2024-01-02T02:35:37Z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3B5F84284CEE4A719B664B6BD9287AA2_13</vt:lpwstr>
  </property>
</Properties>
</file>