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-445770</wp:posOffset>
                </wp:positionH>
                <wp:positionV relativeFrom="paragraph">
                  <wp:posOffset>6406515</wp:posOffset>
                </wp:positionV>
                <wp:extent cx="622300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23000"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：1</w:t>
                            </w:r>
                            <w:r>
                              <w:rPr>
                                <w:rFonts w:ascii="楷体_GB2312" w:hAnsi="楷体_GB2312" w:eastAsia="楷体_GB2312" w:cs="楷体_GB2312"/>
                                <w:color w:val="000000"/>
                                <w:sz w:val="40"/>
                                <w:szCs w:val="40"/>
                              </w:rPr>
                              <w:t>3</w:t>
                            </w:r>
                            <w:r>
                              <w:rPr>
                                <w:rFonts w:hint="eastAsia" w:ascii="楷体_GB2312" w:hAnsi="楷体_GB2312" w:eastAsia="楷体_GB2312" w:cs="楷体_GB2312"/>
                                <w:color w:val="000000"/>
                                <w:sz w:val="40"/>
                                <w:szCs w:val="40"/>
                              </w:rPr>
                              <w:t>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：中国人民政治协商会议河北省成安县委员会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1pt;margin-top:504.45pt;height:84pt;width:490pt;z-index:251662336;mso-width-relative:page;mso-height-relative:page;" filled="f" stroked="f" coordsize="21600,21600" o:gfxdata="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luVls&#10;2AAAAA0BAAAPAAAAAAAAAAEAIAAAACIAAABkcnMvZG93bnJldi54bWxQSwECFAAUAAAACACHTuJA&#10;jnguJyECAAAqBAAADgAAAAAAAAABACAAAAAnAQAAZHJzL2Uyb0RvYy54bWxQSwUGAAAAAAYABgBZ&#10;AQAAug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：1</w:t>
                      </w:r>
                      <w:r>
                        <w:rPr>
                          <w:rFonts w:ascii="楷体_GB2312" w:hAnsi="楷体_GB2312" w:eastAsia="楷体_GB2312" w:cs="楷体_GB2312"/>
                          <w:color w:val="000000"/>
                          <w:sz w:val="40"/>
                          <w:szCs w:val="40"/>
                        </w:rPr>
                        <w:t>3</w:t>
                      </w:r>
                      <w:r>
                        <w:rPr>
                          <w:rFonts w:hint="eastAsia" w:ascii="楷体_GB2312" w:hAnsi="楷体_GB2312" w:eastAsia="楷体_GB2312" w:cs="楷体_GB2312"/>
                          <w:color w:val="000000"/>
                          <w:sz w:val="40"/>
                          <w:szCs w:val="40"/>
                        </w:rPr>
                        <w:t>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：中国人民政治协商会议河北省成安县委员会</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5"/>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7"/>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7"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1167130</wp:posOffset>
            </wp:positionH>
            <wp:positionV relativeFrom="margin">
              <wp:posOffset>619125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8"/>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370205</wp:posOffset>
            </wp:positionH>
            <wp:positionV relativeFrom="margin">
              <wp:posOffset>2715895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9"/>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2.组织委员和有关人员进行视察、调研、参观、咨询，就我县大政方针实施、重要人事安排及群众生活中的重大问题，向县委、</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政府和其他有关机关、部门提出意见和建议，进行政治协商、参政议政。</w:t>
      </w:r>
    </w:p>
    <w:p>
      <w:pPr>
        <w:spacing w:line="560" w:lineRule="exact"/>
        <w:ind w:firstLine="640" w:firstLineChars="200"/>
        <w:rPr>
          <w:rFonts w:ascii="仿宋_GB2312" w:hAnsi="仿宋" w:eastAsia="仿宋_GB2312"/>
          <w:color w:val="000000"/>
          <w:spacing w:val="-6"/>
          <w:sz w:val="32"/>
          <w:szCs w:val="32"/>
        </w:rPr>
      </w:pPr>
      <w:r>
        <w:rPr>
          <w:rFonts w:hint="eastAsia" w:ascii="仿宋_GB2312" w:hAnsi="仿宋" w:eastAsia="仿宋_GB2312"/>
          <w:color w:val="000000"/>
          <w:sz w:val="32"/>
          <w:szCs w:val="32"/>
        </w:rPr>
        <w:t>3.坚持以经济建设为中心，动员委员和社会各界人士为改革开放、经济发展多办实事。向县委、</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政府机关及其工作人员通过建议和批评，实行民主监督，协助其改革工作，提高工作效率，克服官僚主义，加强廉政建设</w:t>
      </w:r>
      <w:r>
        <w:rPr>
          <w:rFonts w:hint="eastAsia" w:ascii="仿宋_GB2312" w:hAnsi="仿宋" w:eastAsia="仿宋_GB2312"/>
          <w:color w:val="000000"/>
          <w:spacing w:val="-6"/>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4.发挥政协的独特优势和作用，高举爱国主义和社会主义两面旗帜，团结各界人士，为维护政治安定、社会稳定服务。</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5.积极宣传贯彻国家宪法、法律和各项方针政策，特别是关于祖国统一的方针、政策，推进社会力量积极参与两个文明建设，积极开展同台胞和社会各界的联系，促进祖国统一大业的实现。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6.组织委员和有关方面提出提案，并协助有关机关、部门做好提案的交办、办理和答复工作。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7．组织委员学政治、学业务、学科技，提高参政议政水平。</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8.根据县情特点，进行关于近代、现代文史资料的征集、研究、出版工作。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9.组织驻成市政协委员开展各项活动，做好驻成市政协委员的联系工作。</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10.负责其他应有政协承办的事项。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县政协委员会机关设置5个科级内设机构，分别为办公室、提案委员会、学习宣传委员会、经济委员会、农业和农村委员会。</w:t>
      </w:r>
    </w:p>
    <w:p>
      <w:pPr>
        <w:spacing w:line="580" w:lineRule="exact"/>
        <w:ind w:firstLine="640" w:firstLineChars="200"/>
        <w:rPr>
          <w:rFonts w:ascii="仿宋_GB2312" w:hAnsi="Calibri" w:eastAsia="仿宋_GB2312" w:cs="Arial Black"/>
          <w:kern w:val="0"/>
          <w:sz w:val="32"/>
          <w:szCs w:val="32"/>
        </w:rPr>
      </w:pP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办公室：</w:t>
      </w:r>
      <w:r>
        <w:rPr>
          <w:rFonts w:hint="eastAsia" w:ascii="仿宋" w:hAnsi="仿宋" w:eastAsia="仿宋"/>
          <w:sz w:val="32"/>
          <w:szCs w:val="32"/>
        </w:rPr>
        <w:t>主要负责文件的接收和发放工作。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提案委员会：</w:t>
      </w:r>
      <w:r>
        <w:rPr>
          <w:rFonts w:hint="eastAsia" w:ascii="仿宋" w:hAnsi="仿宋" w:eastAsia="仿宋"/>
          <w:sz w:val="32"/>
          <w:szCs w:val="32"/>
        </w:rPr>
        <w:t>主要负责发挥政协作为扩大社会各界有序参与的重要渠道作用，探索开展活动的新方法途径，充分调动委员参政议政积极，向县委、县政府提出高质量的建议案。</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widowControl/>
        <w:spacing w:line="580" w:lineRule="exact"/>
        <w:ind w:firstLine="640" w:firstLineChars="20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人员编制和领导职数</w:t>
      </w:r>
    </w:p>
    <w:p>
      <w:pPr>
        <w:widowControl/>
        <w:spacing w:line="580" w:lineRule="exact"/>
        <w:ind w:firstLine="640" w:firstLineChars="200"/>
        <w:jc w:val="left"/>
        <w:rPr>
          <w:rFonts w:ascii="仿宋_GB2312" w:hAnsi="Calibri" w:eastAsia="仿宋_GB2312" w:cs="Arial Black"/>
          <w:kern w:val="0"/>
          <w:sz w:val="32"/>
          <w:szCs w:val="32"/>
        </w:rPr>
      </w:pPr>
      <w:r>
        <w:rPr>
          <w:rFonts w:hint="eastAsia" w:ascii="仿宋_GB2312" w:hAnsi="Calibri" w:eastAsia="仿宋_GB2312" w:cs="Arial Black"/>
          <w:kern w:val="0"/>
          <w:sz w:val="32"/>
          <w:szCs w:val="32"/>
        </w:rPr>
        <w:t>成安县政协机关，人员编制</w:t>
      </w:r>
      <w:r>
        <w:rPr>
          <w:rFonts w:ascii="仿宋_GB2312" w:hAnsi="Calibri" w:eastAsia="仿宋_GB2312" w:cs="Arial Black"/>
          <w:kern w:val="0"/>
          <w:sz w:val="32"/>
          <w:szCs w:val="32"/>
        </w:rPr>
        <w:t>17</w:t>
      </w:r>
      <w:r>
        <w:rPr>
          <w:rFonts w:hint="eastAsia" w:ascii="仿宋_GB2312" w:hAnsi="Calibri" w:eastAsia="仿宋_GB2312" w:cs="Arial Black"/>
          <w:kern w:val="0"/>
          <w:sz w:val="32"/>
          <w:szCs w:val="32"/>
        </w:rPr>
        <w:t>名，其中领导职数</w:t>
      </w:r>
      <w:r>
        <w:rPr>
          <w:rFonts w:ascii="仿宋_GB2312" w:hAnsi="Calibri" w:eastAsia="仿宋_GB2312" w:cs="Arial Black"/>
          <w:kern w:val="0"/>
          <w:sz w:val="32"/>
          <w:szCs w:val="32"/>
        </w:rPr>
        <w:t>5</w:t>
      </w:r>
      <w:r>
        <w:rPr>
          <w:rFonts w:hint="eastAsia" w:ascii="仿宋_GB2312" w:hAnsi="Calibri" w:eastAsia="仿宋_GB2312" w:cs="Arial Black"/>
          <w:kern w:val="0"/>
          <w:sz w:val="32"/>
          <w:szCs w:val="32"/>
        </w:rPr>
        <w:t>个。</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中国人民政治协商会议河北省成安县委员会</w:t>
            </w:r>
            <w:r>
              <w:rPr>
                <w:rFonts w:hint="eastAsia" w:ascii="仿宋_GB2312" w:hAnsi="Calibri" w:eastAsia="仿宋_GB2312" w:cs="ArialUnicodeMS"/>
                <w:kern w:val="0"/>
                <w:sz w:val="28"/>
                <w:szCs w:val="28"/>
              </w:rPr>
              <w:t>(</w:t>
            </w:r>
            <w:r>
              <w:rPr>
                <w:rFonts w:hint="eastAsia" w:ascii="仿宋_GB2312" w:hAnsi="Calibri" w:eastAsia="仿宋_GB2312" w:cs="Arial Black"/>
                <w:kern w:val="0"/>
                <w:sz w:val="28"/>
                <w:szCs w:val="28"/>
              </w:rPr>
              <w:t>本级)</w:t>
            </w:r>
          </w:p>
        </w:tc>
        <w:tc>
          <w:tcPr>
            <w:tcW w:w="244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我部门无二级预算单位，因此，</w:t>
      </w:r>
      <w:r>
        <w:rPr>
          <w:rFonts w:ascii="Times New Roman" w:hAnsi="Times New Roman" w:eastAsia="黑体" w:cs="Times New Roman"/>
          <w:sz w:val="28"/>
          <w:szCs w:val="28"/>
        </w:rPr>
        <w:t>中国人民政治协商会议河北省成安县委员会</w:t>
      </w:r>
      <w:r>
        <w:rPr>
          <w:rFonts w:hint="eastAsia" w:ascii="Times New Roman" w:hAnsi="Times New Roman" w:eastAsia="黑体" w:cs="Times New Roman"/>
          <w:sz w:val="28"/>
          <w:szCs w:val="28"/>
        </w:rPr>
        <w:t>2022年度部门决算即</w:t>
      </w:r>
      <w:r>
        <w:rPr>
          <w:rFonts w:ascii="Times New Roman" w:hAnsi="Times New Roman" w:eastAsia="黑体" w:cs="Times New Roman"/>
          <w:sz w:val="28"/>
          <w:szCs w:val="28"/>
        </w:rPr>
        <w:t>中国人民政治协商会议河北省成安县委员会</w:t>
      </w:r>
      <w:r>
        <w:rPr>
          <w:rFonts w:hint="eastAsia" w:ascii="Times New Roman" w:hAnsi="Times New Roman" w:eastAsia="黑体" w:cs="Times New Roman"/>
          <w:sz w:val="28"/>
          <w:szCs w:val="28"/>
        </w:rPr>
        <w:t>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0"/>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3"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843"/>
        <w:gridCol w:w="186"/>
        <w:gridCol w:w="381"/>
        <w:gridCol w:w="15"/>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425" w:type="dxa"/>
            <w:gridSpan w:val="4"/>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kern w:val="0"/>
                <w:sz w:val="20"/>
                <w:szCs w:val="20"/>
                <w:lang w:bidi="ar"/>
              </w:rPr>
              <w:t>部门：中国人民政治协商会议河北省成安</w:t>
            </w:r>
            <w:bookmarkStart w:id="0" w:name="_GoBack"/>
            <w:r>
              <w:rPr>
                <w:rFonts w:hint="eastAsia" w:ascii="宋体" w:hAnsi="宋体" w:eastAsia="宋体" w:cs="宋体"/>
                <w:color w:val="000000"/>
                <w:kern w:val="0"/>
                <w:sz w:val="20"/>
                <w:szCs w:val="20"/>
                <w:lang w:bidi="ar"/>
              </w:rPr>
              <w:t>县委</w:t>
            </w:r>
            <w:bookmarkEnd w:id="0"/>
            <w:r>
              <w:rPr>
                <w:rFonts w:hint="eastAsia" w:ascii="宋体" w:hAnsi="宋体" w:eastAsia="宋体" w:cs="宋体"/>
                <w:color w:val="000000"/>
                <w:kern w:val="0"/>
                <w:sz w:val="20"/>
                <w:szCs w:val="20"/>
                <w:lang w:bidi="ar"/>
              </w:rPr>
              <w:t>员会</w:t>
            </w: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393.10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342.19</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28.53</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8.95</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13.43</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393.10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b/>
                <w:color w:val="000000"/>
                <w:sz w:val="22"/>
              </w:rPr>
              <w:t>393.10</w:t>
            </w: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393.10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393.10</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338"/>
        <w:gridCol w:w="2600"/>
        <w:gridCol w:w="1068"/>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338" w:type="dxa"/>
            <w:shd w:val="clear" w:color="auto" w:fill="FFFFFF"/>
            <w:vAlign w:val="center"/>
          </w:tcPr>
          <w:p>
            <w:pPr>
              <w:jc w:val="right"/>
              <w:rPr>
                <w:rFonts w:ascii="宋体" w:hAnsi="宋体" w:eastAsia="宋体" w:cs="宋体"/>
                <w:color w:val="000000"/>
                <w:sz w:val="24"/>
              </w:rPr>
            </w:pPr>
          </w:p>
        </w:tc>
        <w:tc>
          <w:tcPr>
            <w:tcW w:w="2600" w:type="dxa"/>
            <w:shd w:val="clear" w:color="auto" w:fill="FFFFFF"/>
            <w:vAlign w:val="center"/>
          </w:tcPr>
          <w:p>
            <w:pPr>
              <w:jc w:val="right"/>
              <w:rPr>
                <w:rFonts w:ascii="宋体" w:hAnsi="宋体" w:eastAsia="宋体" w:cs="宋体"/>
                <w:color w:val="000000"/>
                <w:sz w:val="24"/>
              </w:rPr>
            </w:pPr>
          </w:p>
        </w:tc>
        <w:tc>
          <w:tcPr>
            <w:tcW w:w="1068"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561" w:type="dxa"/>
            <w:gridSpan w:val="4"/>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kern w:val="0"/>
                <w:sz w:val="20"/>
                <w:szCs w:val="20"/>
                <w:lang w:bidi="ar"/>
              </w:rPr>
              <w:t>部门：中国人民政治协商会议河北省成安县委员会</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393.10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393.10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政协事务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华文中宋" w:hAnsi="华文中宋" w:eastAsia="华文中宋" w:cs="华文中宋"/>
                <w:color w:val="000000"/>
                <w:sz w:val="24"/>
              </w:rPr>
            </w:pPr>
            <w:r>
              <w:rPr>
                <w:rFonts w:hint="eastAsia" w:ascii="宋体" w:hAnsi="宋体" w:eastAsia="宋体" w:cs="宋体"/>
                <w:color w:val="000000"/>
                <w:kern w:val="0"/>
                <w:sz w:val="22"/>
                <w:lang w:bidi="ar"/>
              </w:rPr>
              <w:t>342.19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2010204</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政协会议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2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240"/>
        <w:gridCol w:w="2932"/>
        <w:gridCol w:w="1100"/>
        <w:gridCol w:w="107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2932" w:type="dxa"/>
            <w:shd w:val="clear" w:color="auto" w:fill="FFFFFF"/>
            <w:vAlign w:val="center"/>
          </w:tcPr>
          <w:p>
            <w:pPr>
              <w:jc w:val="right"/>
              <w:rPr>
                <w:rFonts w:ascii="宋体" w:hAnsi="宋体" w:eastAsia="宋体" w:cs="宋体"/>
                <w:color w:val="000000"/>
                <w:sz w:val="24"/>
              </w:rPr>
            </w:pPr>
          </w:p>
        </w:tc>
        <w:tc>
          <w:tcPr>
            <w:tcW w:w="1100" w:type="dxa"/>
            <w:shd w:val="clear" w:color="auto" w:fill="FFFFFF"/>
            <w:vAlign w:val="center"/>
          </w:tcPr>
          <w:p>
            <w:pPr>
              <w:jc w:val="right"/>
              <w:rPr>
                <w:rFonts w:ascii="宋体" w:hAnsi="宋体" w:eastAsia="宋体" w:cs="宋体"/>
                <w:color w:val="000000"/>
                <w:sz w:val="24"/>
              </w:rPr>
            </w:pPr>
          </w:p>
        </w:tc>
        <w:tc>
          <w:tcPr>
            <w:tcW w:w="107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943"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部门：中国人民政治协商会议河北省成安县委员会</w:t>
            </w:r>
            <w:r>
              <w:rPr>
                <w:rFonts w:hint="eastAsia" w:ascii="宋体" w:hAnsi="宋体" w:eastAsia="宋体" w:cs="宋体"/>
                <w:color w:val="000000"/>
                <w:sz w:val="24"/>
                <w:szCs w:val="24"/>
              </w:rPr>
              <w:t xml:space="preserve"> </w:t>
            </w:r>
          </w:p>
        </w:tc>
        <w:tc>
          <w:tcPr>
            <w:tcW w:w="107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8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9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9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9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8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8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393.10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369.28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23.82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政协事务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2010204</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政协会议</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2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326"/>
        <w:gridCol w:w="1684"/>
        <w:gridCol w:w="333"/>
        <w:gridCol w:w="1467"/>
        <w:gridCol w:w="1982"/>
        <w:gridCol w:w="551"/>
        <w:gridCol w:w="333"/>
        <w:gridCol w:w="1000"/>
        <w:gridCol w:w="292"/>
        <w:gridCol w:w="625"/>
        <w:gridCol w:w="817"/>
        <w:gridCol w:w="820"/>
        <w:gridCol w:w="18"/>
        <w:gridCol w:w="3338"/>
      </w:tblGrid>
      <w:tr>
        <w:tblPrEx>
          <w:tblCellMar>
            <w:top w:w="15" w:type="dxa"/>
            <w:left w:w="15" w:type="dxa"/>
            <w:bottom w:w="15" w:type="dxa"/>
            <w:right w:w="15" w:type="dxa"/>
          </w:tblCellMar>
        </w:tblPrEx>
        <w:trPr>
          <w:trHeight w:val="360" w:hRule="atLeast"/>
        </w:trPr>
        <w:tc>
          <w:tcPr>
            <w:tcW w:w="14186" w:type="dxa"/>
            <w:gridSpan w:val="15"/>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905"/>
              <w:gridCol w:w="1579"/>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905" w:type="dxa"/>
                  <w:shd w:val="clear" w:color="auto" w:fill="FFFFFF"/>
                  <w:vAlign w:val="center"/>
                </w:tcPr>
                <w:p>
                  <w:pPr>
                    <w:jc w:val="right"/>
                    <w:rPr>
                      <w:rFonts w:ascii="宋体" w:hAnsi="宋体" w:eastAsia="宋体" w:cs="宋体"/>
                      <w:color w:val="000000"/>
                      <w:sz w:val="24"/>
                    </w:rPr>
                  </w:pPr>
                </w:p>
              </w:tc>
              <w:tc>
                <w:tcPr>
                  <w:tcW w:w="1579"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395"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部门：中国人民政治协商会议河北省成安县委员会</w:t>
                  </w:r>
                  <w:r>
                    <w:rPr>
                      <w:rFonts w:hint="eastAsia" w:ascii="宋体" w:hAnsi="宋体" w:eastAsia="宋体" w:cs="宋体"/>
                      <w:color w:val="000000"/>
                      <w:sz w:val="24"/>
                      <w:szCs w:val="24"/>
                    </w:rPr>
                    <w:t xml:space="preserve">  </w:t>
                  </w:r>
                </w:p>
              </w:tc>
              <w:tc>
                <w:tcPr>
                  <w:tcW w:w="2659"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4"/>
                      <w:szCs w:val="24"/>
                    </w:rPr>
                    <w:t>2022年度</w:t>
                  </w: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441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42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342.19</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342.19</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sz w:val="18"/>
                <w:szCs w:val="18"/>
              </w:rPr>
              <w:t>三、国有资本经营预算财政拨款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28.53</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28.53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8.95</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8.95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13.43</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13.43</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8"/>
                <w:szCs w:val="18"/>
                <w:lang w:bidi="ar"/>
              </w:rPr>
            </w:pPr>
            <w:r>
              <w:rPr>
                <w:rFonts w:hint="eastAsia"/>
                <w:sz w:val="18"/>
                <w:szCs w:val="18"/>
              </w:rPr>
              <w:t>二十一、国有资本经营预算支出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 w:val="18"/>
                <w:szCs w:val="18"/>
                <w:lang w:bidi="ar"/>
              </w:rPr>
            </w:pPr>
            <w:r>
              <w:rPr>
                <w:rFonts w:hint="eastAsia"/>
                <w:sz w:val="18"/>
                <w:szCs w:val="18"/>
              </w:rPr>
              <w:t>二十二、灾害防治及应急管理支出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18"/>
              </w:rPr>
              <w:t>二十六、抗疫特别国债安排的支出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w:t>
            </w:r>
            <w:r>
              <w:rPr>
                <w:rFonts w:hint="eastAsia"/>
                <w:sz w:val="18"/>
                <w:szCs w:val="18"/>
              </w:rPr>
              <w:t>国有资本经营预算财政拨款</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61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393.10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4"/>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326" w:type="dxa"/>
            <w:shd w:val="clear" w:color="auto" w:fill="FFFFFF"/>
            <w:vAlign w:val="center"/>
          </w:tcPr>
          <w:p>
            <w:pPr>
              <w:jc w:val="center"/>
              <w:rPr>
                <w:rFonts w:ascii="宋体" w:hAnsi="宋体" w:eastAsia="宋体" w:cs="宋体"/>
                <w:color w:val="000000"/>
                <w:sz w:val="20"/>
                <w:szCs w:val="20"/>
              </w:rPr>
            </w:pPr>
          </w:p>
        </w:tc>
        <w:tc>
          <w:tcPr>
            <w:tcW w:w="3484" w:type="dxa"/>
            <w:gridSpan w:val="3"/>
            <w:shd w:val="clear" w:color="auto" w:fill="FFFFFF"/>
            <w:vAlign w:val="center"/>
          </w:tcPr>
          <w:p>
            <w:pPr>
              <w:jc w:val="center"/>
              <w:rPr>
                <w:rFonts w:ascii="宋体" w:hAnsi="宋体" w:eastAsia="宋体" w:cs="宋体"/>
                <w:color w:val="000000"/>
                <w:sz w:val="20"/>
                <w:szCs w:val="20"/>
              </w:rPr>
            </w:pPr>
          </w:p>
        </w:tc>
        <w:tc>
          <w:tcPr>
            <w:tcW w:w="1982" w:type="dxa"/>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410"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部门：中国人民政治协商会议河北省成安县委员会</w:t>
            </w:r>
          </w:p>
        </w:tc>
        <w:tc>
          <w:tcPr>
            <w:tcW w:w="1982" w:type="dxa"/>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4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9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4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393.10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369.28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23.82</w:t>
            </w: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一般公共服务支出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政协事务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342.19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 xml:space="preserve">  行政运行</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318.37</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2010204</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政协会议</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23.82</w:t>
            </w: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28.53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19.02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9.51</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8.95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3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13.43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743"/>
        <w:gridCol w:w="1563"/>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743" w:type="dxa"/>
            <w:shd w:val="clear" w:color="auto" w:fill="FFFFFF"/>
            <w:vAlign w:val="center"/>
          </w:tcPr>
          <w:p>
            <w:pPr>
              <w:rPr>
                <w:rFonts w:ascii="宋体" w:hAnsi="宋体" w:eastAsia="宋体" w:cs="宋体"/>
                <w:color w:val="000000"/>
                <w:sz w:val="20"/>
                <w:szCs w:val="20"/>
              </w:rPr>
            </w:pPr>
          </w:p>
        </w:tc>
        <w:tc>
          <w:tcPr>
            <w:tcW w:w="1563"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4410" w:type="dxa"/>
            <w:gridSpan w:val="4"/>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部门：中国人民政治协商会议河北省成安县委员会</w:t>
            </w:r>
          </w:p>
        </w:tc>
        <w:tc>
          <w:tcPr>
            <w:tcW w:w="1563"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306.38</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41.11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197.56</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32.60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6.95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23.11</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1.65</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19.02</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9.51</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8.95</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0.56</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13.43</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21.79</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20.49</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1.30</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2.50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4.21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9.53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8.47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328.17</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41.11</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部门：中国人民政治协商会议河北省成安县委员会</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eastAsia="宋体"/>
                <w:b/>
                <w:sz w:val="24"/>
                <w:szCs w:val="24"/>
              </w:rPr>
            </w:pPr>
            <w:r>
              <w:rPr>
                <w:rFonts w:hint="eastAsia" w:ascii="宋体" w:hAnsi="宋体" w:eastAsia="宋体" w:cs="宋体"/>
                <w:color w:val="000000"/>
                <w:kern w:val="0"/>
                <w:sz w:val="24"/>
                <w:szCs w:val="24"/>
                <w:lang w:bidi="ar"/>
              </w:rPr>
              <w:t>注：本表反映部门本年度政府性基金预算财政拨款收入、支出及结转和结余情况。</w:t>
            </w:r>
            <w:r>
              <w:rPr>
                <w:rFonts w:hint="eastAsia" w:ascii="宋体" w:hAnsi="宋体" w:eastAsia="宋体" w:cs="宋体"/>
                <w:sz w:val="24"/>
                <w:szCs w:val="24"/>
              </w:rPr>
              <w:t>本部门本年度无政府性基金预算财政拨款收入、支出及结转和结余情况,按空表列示。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6248"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部门：中国人民政治协商会议河北省成安县委员会</w:t>
            </w:r>
            <w:r>
              <w:rPr>
                <w:rFonts w:hint="eastAsia" w:ascii="宋体" w:hAnsi="宋体" w:eastAsia="宋体" w:cs="宋体"/>
                <w:color w:val="000000"/>
                <w:sz w:val="20"/>
                <w:szCs w:val="20"/>
              </w:rPr>
              <w:t xml:space="preserve"> </w:t>
            </w:r>
            <w:r>
              <w:rPr>
                <w:rFonts w:ascii="宋体" w:hAnsi="宋体" w:eastAsia="宋体" w:cs="宋体"/>
                <w:color w:val="000000"/>
                <w:sz w:val="20"/>
                <w:szCs w:val="20"/>
              </w:rPr>
              <w:t xml:space="preserve"> </w:t>
            </w: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注：本表反映部门本年度国有资本经营预算财政拨款支出情况。</w:t>
            </w:r>
            <w:r>
              <w:rPr>
                <w:rFonts w:hint="eastAsia" w:ascii="宋体" w:hAnsi="宋体" w:eastAsia="宋体" w:cs="宋体"/>
                <w:sz w:val="24"/>
                <w:szCs w:val="24"/>
              </w:rPr>
              <w:t>本部门本年度无国有资本经营预算财政拨款收入、支出及结转结余情况，按空表列示。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部门：中国人民政治协商会议河北省成安县委员会</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4.21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1"/>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本部门2022年度收、支总计（含结转和结余）393.10万元。与2021年度决算相比，收支各增加105.89万元，增长36.8%，主要原因是人员经费增加所致。</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本部门2022年度收入合计393.10万元，其中：财政拨款收入393.10万元，占100%；事业收入0万元，占0%；经营收入0万元，占0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本部门2022年度支出合计393.10万元，其中：基本支出369.28万元，占94%；项目支出23.82万元，占6%；经营支出0万元，占0%；对附属单位补助支出0万元，占0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本部门2022年度财政拨款本年收入393.10万元,比2021年度增加105.89万元，增长36.8%，主要是人员经费增加所致；本年支出393.10万元，增加105.89万元，增长36.8%，主要是人员经费增加所致。具体情况如下：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1.一般公共预算财政拨款本年收入393.10万元，比上年增加105.89万元；主要是人员经费增加所致；本年支出393.10万元，比上年增加105.89万元，增长36.8%，主要是人员经费增加所致。</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393.10万元，完成年初预算的168.5%,比年初预算增加159.86万元，决算数大预算数主要原因是人员经费和项目支出增加所致；本年支出393.10万元，完成年初预算的168.5%,比年初预算增加159.86万元，决算数大于预算数主要原因是人员经费和项目支出增加所致。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1.一般公共预算财政拨款本年收入完成年初预算168.5%，比年初预算增加159.86万元，主要是人员经费和项目支出增加所致；支出完成年初预算168.5%，比年初预算增加159.86万元，主要是人员经费和项目支出增加所致。</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%，比年初预算增加0万元，与年初预算持平；支出完成年初预算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%，比年初预算增加0万元，与年初预算持平；支出完成年初预算</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%，比年初预算增加0万元，与年初预算持平。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2022年度财政拨款支出393.10万元，主要用于以下方面：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一般公共服务（类）支出342.19万元，占87%，主要用于政协事务的行政运行、政协会议和其他政协事务支出；</w:t>
      </w:r>
      <w:r>
        <w:rPr>
          <w:rFonts w:hint="eastAsia" w:ascii="仿宋_GB2312" w:hAnsi="Times New Roman" w:eastAsia="仿宋_GB2312" w:cs="Wingdings"/>
          <w:sz w:val="32"/>
          <w:szCs w:val="32"/>
        </w:rPr>
        <w:t>社会保障和就业（类）支出 28.53万元，占7.3%，主要用于机关事业养老保险费、职业年金等支出；卫生健康支出8.95万元，占2.2%，主要用于职工医疗保险费支出；住房保障（类）支出13.43万元，占 3.5%，主要用于住房公积金支出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2022年度财政拨款基本支出3</w:t>
      </w:r>
      <w:r>
        <w:rPr>
          <w:rFonts w:ascii="仿宋_GB2312" w:hAnsi="Times New Roman" w:eastAsia="仿宋_GB2312" w:cs="DengXian-Regular"/>
          <w:sz w:val="32"/>
          <w:szCs w:val="32"/>
        </w:rPr>
        <w:t>69.28</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人员经费328.17万元，主要包括基本工资、津贴补贴、奖金、绩效工资、机关事业单位基本养老保险缴费、职业年金缴费、职工基本医疗保险缴费、住房公积金、其他社会保障缴费、抚恤金、生活补助。</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41.11万元，主要包括办公费、印刷费、差旅费、维修（护）费、会议费、工会经费、公务用车运行维护费、其他交通费用、其他商品和服务支出。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本部门2022年度“三公”经费财政拨款支出预算为4.21万元，支出决算为4.21万元，完成预算的100%,较预算增加0万元，增长0%，与预算持平；较2021年度决算减少4.53万元，降低52%，主要是</w:t>
      </w:r>
      <w:r>
        <w:rPr>
          <w:rFonts w:ascii="仿宋_GB2312" w:hAnsi="Times New Roman"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0%。因公出国（境）费支出较预算增加0万元，增长0%,主要是本部门无因公出国（境）费支出；较上年增加0万元，增长0%,主要是本部门无因公出国（境）费支出。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本部门2022年度公务用车购置及运行维护费预算为4.21万元，支出决算4.21万元，完成预算的100%。较预算减少0万元，降低0%,与预算持平；较上年减少4.53万元，降低52%,主要是</w:t>
      </w:r>
      <w:r>
        <w:rPr>
          <w:rFonts w:ascii="仿宋_GB2312" w:hAnsi="Times New Roman"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本部门2022年度公务用车购置量0辆，发生“公务用车购置”经费支出0万元。公务用车购置费支出较预算增加0万元，增长0%,与预算持平；较上年增加0万元，增长0%,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公务用车运行维护费支出4.21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本部门2022年度单位公务用车保有量4辆。公车运行维护费支出较预算增加0万元，增长0%,与预算持平；较上年减少4.53万元，降低52%，主要是</w:t>
      </w:r>
      <w:r>
        <w:rPr>
          <w:rFonts w:ascii="仿宋_GB2312" w:hAnsi="Times New Roman"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本部门2022年度公务接待费支出预算为0万元，支出决算0万元，完成预算的100%。公务接待费支出较预算减少0万元，降低0%,与年初预算持平；较上年度减少0万元，降低0%,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。本年度共发生公务接待0批次、0人次。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本部门2022年度机关运行经费支出41.11万元，比2021年度减少9.03万元，降低18%。主要原因是办公费和公务用车运行费减少所致。</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4辆，比上年增加0辆，与2021年度车辆持平。其中，副部（省）级及以上领导用车0辆，主要领导干部用车0辆，机要通信用车4辆，应急保障用车0辆，执法执勤用车0辆，特种专业技术用车0辆，离退休干部用车0辆，其他用车0辆，其他用车主要是公务用车；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个，二级项目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%。组织对2022年度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个政府性基金预算项目支出开展绩效自评，共涉及资金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万元，占政府性基金预算项目支出总额的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%。组织对2022年度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个国有资本经营预算项目支出开展绩效自评，共涉及资金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万元，占国有资本经营预算项目支出总额的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组织对“会议费”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个一级项目开展了重点评价，涉及一般公共预算支出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万元，政府性基金预算支出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万元。未委托第三方机构开展绩效评价。</w:t>
      </w:r>
      <w:r>
        <w:rPr>
          <w:rFonts w:ascii="仿宋_GB2312" w:hAnsi="仿宋_GB2312" w:eastAsia="仿宋_GB2312" w:cs="仿宋_GB2312"/>
          <w:sz w:val="32"/>
          <w:szCs w:val="32"/>
        </w:rPr>
        <w:t>从评价情况来看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本部门2022年较好的完成了绩效管理工作</w:t>
      </w:r>
      <w:r>
        <w:rPr>
          <w:rFonts w:hint="eastAsia" w:ascii="仿宋_GB2312" w:hAnsi="仿宋_GB2312" w:eastAsia="仿宋_GB2312" w:cs="仿宋_GB2312"/>
          <w:sz w:val="32"/>
          <w:szCs w:val="32"/>
        </w:rPr>
        <w:t>目标</w:t>
      </w:r>
      <w:r>
        <w:rPr>
          <w:rFonts w:ascii="仿宋_GB2312" w:hAnsi="仿宋_GB2312" w:eastAsia="仿宋_GB2312" w:cs="仿宋_GB2312"/>
          <w:sz w:val="32"/>
          <w:szCs w:val="32"/>
        </w:rPr>
        <w:t>。</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本部门在今年部门决算公开中反映会议费项目绩效自评结果。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会议费项目自评综述：根据年初设定的绩效目标，会议费项目绩效自评得分为</w:t>
      </w:r>
      <w:r>
        <w:rPr>
          <w:rFonts w:ascii="仿宋_GB2312" w:hAnsi="仿宋_GB2312" w:eastAsia="仿宋_GB2312" w:cs="仿宋_GB2312"/>
          <w:sz w:val="32"/>
          <w:szCs w:val="32"/>
        </w:rPr>
        <w:t>98.53</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23.82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95.28%</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通过项目实施，完成了年初设定的各项绩效目标，完成</w:t>
      </w:r>
      <w:r>
        <w:rPr>
          <w:rFonts w:hint="eastAsia" w:ascii="仿宋_GB2312" w:hAnsi="仿宋_GB2312" w:eastAsia="仿宋_GB2312" w:cs="仿宋_GB2312"/>
          <w:sz w:val="32"/>
          <w:szCs w:val="32"/>
        </w:rPr>
        <w:t>政协全会及常委会的顺利召开</w:t>
      </w:r>
      <w:r>
        <w:rPr>
          <w:rFonts w:ascii="仿宋_GB2312" w:hAnsi="仿宋_GB2312" w:eastAsia="仿宋_GB2312" w:cs="仿宋_GB2312"/>
          <w:sz w:val="32"/>
          <w:szCs w:val="32"/>
        </w:rPr>
        <w:t>。经综合评价，该项目能够按照有关政策规定执行，资金使用安全、规范、高效，符合财政预算要</w:t>
      </w:r>
      <w:r>
        <w:rPr>
          <w:rFonts w:hint="eastAsia" w:ascii="仿宋_GB2312" w:hAnsi="仿宋_GB2312" w:eastAsia="仿宋_GB2312" w:cs="仿宋_GB2312"/>
          <w:sz w:val="32"/>
          <w:szCs w:val="32"/>
        </w:rPr>
        <w:t>求，</w:t>
      </w:r>
      <w:r>
        <w:rPr>
          <w:rFonts w:ascii="仿宋_GB2312" w:hAnsi="仿宋_GB2312" w:eastAsia="仿宋_GB2312" w:cs="仿宋_GB2312"/>
          <w:sz w:val="32"/>
          <w:szCs w:val="32"/>
        </w:rPr>
        <w:t>项目绩效目标全面完成达标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未发现问题。</w:t>
      </w: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p>
      <w:pPr>
        <w:spacing w:line="560" w:lineRule="exact"/>
        <w:ind w:firstLine="2249" w:firstLineChars="700"/>
        <w:rPr>
          <w:rFonts w:ascii="宋体" w:hAnsi="宋体" w:cs="宋体"/>
          <w:b/>
          <w:bCs/>
          <w:sz w:val="32"/>
          <w:szCs w:val="32"/>
        </w:rPr>
      </w:pPr>
      <w:r>
        <w:rPr>
          <w:rFonts w:hint="eastAsia" w:ascii="宋体" w:hAnsi="宋体" w:eastAsia="宋体" w:cs="宋体"/>
          <w:b/>
          <w:bCs/>
          <w:sz w:val="32"/>
          <w:szCs w:val="32"/>
        </w:rPr>
        <w:t>会议费</w:t>
      </w:r>
      <w:r>
        <w:rPr>
          <w:rFonts w:hint="eastAsia" w:ascii="宋体" w:hAnsi="宋体" w:cs="宋体"/>
          <w:b/>
          <w:bCs/>
          <w:sz w:val="32"/>
          <w:szCs w:val="32"/>
        </w:rPr>
        <w:t>项目支出绩效自评表</w:t>
      </w:r>
    </w:p>
    <w:p>
      <w:pPr>
        <w:jc w:val="center"/>
        <w:rPr>
          <w:rFonts w:ascii="仿宋" w:hAnsi="仿宋" w:eastAsia="仿宋" w:cs="仿宋"/>
          <w:sz w:val="32"/>
          <w:szCs w:val="32"/>
        </w:rPr>
      </w:pPr>
      <w:r>
        <w:rPr>
          <w:rFonts w:hint="eastAsia" w:ascii="宋体" w:hAnsi="宋体" w:cs="宋体"/>
          <w:sz w:val="22"/>
        </w:rPr>
        <w:t>（</w:t>
      </w:r>
      <w:r>
        <w:rPr>
          <w:rFonts w:hint="eastAsia" w:ascii="宋体" w:hAnsi="宋体" w:eastAsia="宋体" w:cs="宋体"/>
          <w:sz w:val="22"/>
        </w:rPr>
        <w:t>202</w:t>
      </w:r>
      <w:r>
        <w:rPr>
          <w:rFonts w:ascii="宋体" w:hAnsi="宋体" w:eastAsia="宋体" w:cs="宋体"/>
          <w:sz w:val="22"/>
        </w:rPr>
        <w:t>2</w:t>
      </w:r>
      <w:r>
        <w:rPr>
          <w:rFonts w:hint="eastAsia" w:ascii="宋体" w:hAnsi="宋体" w:cs="宋体"/>
          <w:sz w:val="22"/>
        </w:rPr>
        <w:t>年度）</w:t>
      </w:r>
    </w:p>
    <w:tbl>
      <w:tblPr>
        <w:tblStyle w:val="6"/>
        <w:tblW w:w="9099" w:type="dxa"/>
        <w:jc w:val="center"/>
        <w:tblLayout w:type="fixed"/>
        <w:tblCellMar>
          <w:top w:w="0" w:type="dxa"/>
          <w:left w:w="108" w:type="dxa"/>
          <w:bottom w:w="0" w:type="dxa"/>
          <w:right w:w="108" w:type="dxa"/>
        </w:tblCellMar>
      </w:tblPr>
      <w:tblGrid>
        <w:gridCol w:w="588"/>
        <w:gridCol w:w="982"/>
        <w:gridCol w:w="883"/>
        <w:gridCol w:w="963"/>
        <w:gridCol w:w="1163"/>
        <w:gridCol w:w="1134"/>
        <w:gridCol w:w="993"/>
        <w:gridCol w:w="118"/>
        <w:gridCol w:w="449"/>
        <w:gridCol w:w="261"/>
        <w:gridCol w:w="447"/>
        <w:gridCol w:w="405"/>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会议费</w:t>
            </w: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4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成安县政协办</w:t>
            </w: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7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成安县政协办</w:t>
            </w: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项目资金</w:t>
            </w:r>
            <w:r>
              <w:rPr>
                <w:rFonts w:hint="eastAsia" w:ascii="宋体" w:hAnsi="宋体" w:cs="宋体"/>
                <w:sz w:val="18"/>
                <w:szCs w:val="18"/>
              </w:rPr>
              <w:br w:type="textWrapping"/>
            </w: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25</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23.82</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95.28</w:t>
            </w:r>
            <w:r>
              <w:rPr>
                <w:rFonts w:hint="eastAsia" w:ascii="宋体" w:hAnsi="宋体" w:eastAsia="宋体" w:cs="宋体"/>
                <w:sz w:val="18"/>
                <w:szCs w:val="18"/>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9.53</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25</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23.82</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38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410"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12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召开政协全会及常委会至少</w:t>
            </w:r>
            <w:r>
              <w:rPr>
                <w:rFonts w:ascii="宋体" w:hAnsi="宋体" w:eastAsia="宋体" w:cs="宋体"/>
                <w:sz w:val="18"/>
                <w:szCs w:val="18"/>
              </w:rPr>
              <w:t>5</w:t>
            </w:r>
            <w:r>
              <w:rPr>
                <w:rFonts w:hint="eastAsia" w:ascii="宋体" w:hAnsi="宋体" w:eastAsia="宋体" w:cs="宋体"/>
                <w:sz w:val="18"/>
                <w:szCs w:val="18"/>
              </w:rPr>
              <w:t>次、其他活动</w:t>
            </w:r>
            <w:r>
              <w:rPr>
                <w:rFonts w:ascii="宋体" w:hAnsi="宋体" w:eastAsia="宋体" w:cs="宋体"/>
                <w:sz w:val="18"/>
                <w:szCs w:val="18"/>
              </w:rPr>
              <w:t>13</w:t>
            </w:r>
            <w:r>
              <w:rPr>
                <w:rFonts w:hint="eastAsia" w:ascii="宋体" w:hAnsi="宋体" w:eastAsia="宋体" w:cs="宋体"/>
                <w:sz w:val="18"/>
                <w:szCs w:val="18"/>
              </w:rPr>
              <w:t>次</w:t>
            </w:r>
          </w:p>
        </w:tc>
        <w:tc>
          <w:tcPr>
            <w:tcW w:w="338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已完成</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绩</w:t>
            </w:r>
            <w:r>
              <w:rPr>
                <w:rFonts w:hint="eastAsia" w:ascii="宋体" w:hAnsi="宋体" w:cs="宋体"/>
                <w:sz w:val="18"/>
                <w:szCs w:val="18"/>
              </w:rPr>
              <w:br w:type="textWrapping"/>
            </w:r>
            <w:r>
              <w:rPr>
                <w:rFonts w:hint="eastAsia" w:ascii="宋体" w:hAnsi="宋体" w:cs="宋体"/>
                <w:sz w:val="18"/>
                <w:szCs w:val="18"/>
              </w:rPr>
              <w:t>效</w:t>
            </w:r>
            <w:r>
              <w:rPr>
                <w:rFonts w:hint="eastAsia" w:ascii="宋体" w:hAnsi="宋体" w:cs="宋体"/>
                <w:sz w:val="18"/>
                <w:szCs w:val="18"/>
              </w:rPr>
              <w:br w:type="textWrapping"/>
            </w:r>
            <w:r>
              <w:rPr>
                <w:rFonts w:hint="eastAsia" w:ascii="宋体" w:hAnsi="宋体" w:cs="宋体"/>
                <w:sz w:val="18"/>
                <w:szCs w:val="18"/>
              </w:rPr>
              <w:t>指</w:t>
            </w:r>
            <w:r>
              <w:rPr>
                <w:rFonts w:hint="eastAsia" w:ascii="宋体" w:hAnsi="宋体" w:cs="宋体"/>
                <w:sz w:val="18"/>
                <w:szCs w:val="18"/>
              </w:rPr>
              <w:br w:type="textWrapping"/>
            </w: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88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偏差原因分析及改进措施</w:t>
            </w: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指标1：开展会议次数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18</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18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sz w:val="18"/>
                <w:szCs w:val="18"/>
              </w:rPr>
            </w:pPr>
            <w:r>
              <w:rPr>
                <w:rFonts w:hint="eastAsia" w:ascii="宋体" w:hAnsi="宋体" w:cs="宋体"/>
                <w:sz w:val="18"/>
                <w:szCs w:val="18"/>
              </w:rPr>
              <w:t>指标2：</w:t>
            </w:r>
            <w:r>
              <w:rPr>
                <w:rFonts w:hint="eastAsia" w:ascii="宋体" w:hAnsi="宋体" w:eastAsia="宋体" w:cs="宋体"/>
                <w:sz w:val="18"/>
                <w:szCs w:val="18"/>
              </w:rPr>
              <w:t>参加会议人数</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280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270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9</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1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sz w:val="18"/>
                <w:szCs w:val="18"/>
              </w:rPr>
            </w:pPr>
            <w:r>
              <w:rPr>
                <w:rFonts w:hint="eastAsia" w:ascii="宋体" w:hAnsi="宋体" w:cs="宋体"/>
                <w:sz w:val="18"/>
                <w:szCs w:val="18"/>
              </w:rPr>
              <w:t>指标1：会议</w:t>
            </w:r>
            <w:r>
              <w:rPr>
                <w:rFonts w:hint="eastAsia" w:ascii="宋体" w:hAnsi="宋体" w:eastAsia="宋体" w:cs="宋体"/>
                <w:sz w:val="18"/>
                <w:szCs w:val="18"/>
              </w:rPr>
              <w:t>议程完成率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指标1：会议完成时限</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按时完成</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按时完成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指标1：会议费用标准</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按定点会议场所标准</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按标准完成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5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1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sz w:val="18"/>
                <w:szCs w:val="18"/>
              </w:rPr>
            </w:pPr>
            <w:r>
              <w:rPr>
                <w:rFonts w:hint="eastAsia" w:ascii="宋体" w:hAnsi="宋体" w:cs="宋体"/>
                <w:sz w:val="18"/>
                <w:szCs w:val="18"/>
              </w:rPr>
              <w:t>指标1：</w:t>
            </w:r>
            <w:r>
              <w:rPr>
                <w:rFonts w:hint="eastAsia" w:ascii="宋体" w:hAnsi="宋体" w:eastAsia="宋体" w:cs="宋体"/>
                <w:sz w:val="18"/>
                <w:szCs w:val="18"/>
              </w:rPr>
              <w:t>政协职能作用发挥</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形成代表批评意见和建议</w:t>
            </w:r>
            <w:r>
              <w:rPr>
                <w:rFonts w:ascii="宋体" w:hAnsi="宋体" w:eastAsia="宋体" w:cs="宋体"/>
                <w:sz w:val="18"/>
                <w:szCs w:val="18"/>
              </w:rPr>
              <w:t>56</w:t>
            </w:r>
            <w:r>
              <w:rPr>
                <w:rFonts w:hint="eastAsia" w:ascii="宋体" w:hAnsi="宋体" w:eastAsia="宋体" w:cs="宋体"/>
                <w:sz w:val="18"/>
                <w:szCs w:val="18"/>
              </w:rPr>
              <w:t>件</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已完成</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30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2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5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5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sz w:val="18"/>
                <w:szCs w:val="18"/>
              </w:rPr>
            </w:pPr>
            <w:r>
              <w:rPr>
                <w:rFonts w:hint="eastAsia" w:ascii="宋体" w:hAnsi="宋体" w:cs="宋体"/>
                <w:sz w:val="18"/>
                <w:szCs w:val="18"/>
              </w:rPr>
              <w:t>指标1：</w:t>
            </w:r>
            <w:r>
              <w:rPr>
                <w:rFonts w:hint="eastAsia" w:ascii="宋体" w:hAnsi="宋体" w:eastAsia="宋体" w:cs="宋体"/>
                <w:sz w:val="18"/>
                <w:szCs w:val="18"/>
              </w:rPr>
              <w:t>参会人员满意度</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满意度9</w:t>
            </w:r>
            <w:r>
              <w:rPr>
                <w:rFonts w:ascii="宋体" w:hAnsi="宋体" w:eastAsia="宋体" w:cs="宋体"/>
                <w:sz w:val="18"/>
                <w:szCs w:val="18"/>
              </w:rPr>
              <w:t>6</w:t>
            </w:r>
            <w:r>
              <w:rPr>
                <w:rFonts w:hint="eastAsia" w:ascii="宋体" w:hAnsi="宋体" w:eastAsia="宋体" w:cs="宋体"/>
                <w:sz w:val="18"/>
                <w:szCs w:val="18"/>
              </w:rPr>
              <w:t>%</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9</w:t>
            </w:r>
            <w:r>
              <w:rPr>
                <w:rFonts w:ascii="宋体" w:hAnsi="宋体" w:eastAsia="宋体" w:cs="宋体"/>
                <w:sz w:val="18"/>
                <w:szCs w:val="18"/>
              </w:rPr>
              <w:t>8</w:t>
            </w:r>
            <w:r>
              <w:rPr>
                <w:rFonts w:hint="eastAsia" w:ascii="宋体" w:hAnsi="宋体" w:eastAsia="宋体" w:cs="宋体"/>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10</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2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 w:val="18"/>
                <w:szCs w:val="18"/>
              </w:rPr>
            </w:pPr>
            <w:r>
              <w:rPr>
                <w:rFonts w:hint="eastAsia" w:ascii="宋体" w:hAnsi="宋体" w:cs="宋体"/>
                <w:sz w:val="18"/>
                <w:szCs w:val="18"/>
              </w:rPr>
              <w:t>指标2：</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706"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nil"/>
              <w:left w:val="nil"/>
              <w:bottom w:val="nil"/>
              <w:right w:val="single" w:color="auto" w:sz="4"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708" w:type="dxa"/>
            <w:gridSpan w:val="2"/>
            <w:tcBorders>
              <w:top w:val="nil"/>
              <w:left w:val="nil"/>
              <w:bottom w:val="nil"/>
              <w:right w:val="single" w:color="auto" w:sz="4" w:space="0"/>
            </w:tcBorders>
            <w:vAlign w:val="center"/>
          </w:tcPr>
          <w:p>
            <w:pPr>
              <w:widowControl/>
              <w:spacing w:line="240" w:lineRule="exact"/>
              <w:jc w:val="center"/>
              <w:rPr>
                <w:rFonts w:ascii="宋体" w:hAnsi="宋体" w:eastAsia="宋体" w:cs="宋体"/>
                <w:sz w:val="18"/>
                <w:szCs w:val="18"/>
              </w:rPr>
            </w:pPr>
            <w:r>
              <w:rPr>
                <w:rFonts w:ascii="宋体" w:hAnsi="宋体" w:eastAsia="宋体" w:cs="宋体"/>
                <w:sz w:val="18"/>
                <w:szCs w:val="18"/>
              </w:rPr>
              <w:t>98.53</w:t>
            </w: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75" w:hRule="exact"/>
          <w:jc w:val="center"/>
        </w:trPr>
        <w:tc>
          <w:tcPr>
            <w:tcW w:w="6706"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z w:val="18"/>
                <w:szCs w:val="18"/>
              </w:rPr>
            </w:pPr>
          </w:p>
        </w:tc>
      </w:tr>
    </w:tbl>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zh-TW"/>
        </w:rPr>
        <w:t>通过绩效自评，项目的绩效目标设定科学合理，绩效标准比较适宜，各</w:t>
      </w:r>
      <w:r>
        <w:rPr>
          <w:rFonts w:hint="eastAsia" w:ascii="仿宋_GB2312" w:hAnsi="Times New Roman" w:eastAsia="仿宋_GB2312" w:cs="DengXian-Regular"/>
          <w:sz w:val="32"/>
          <w:szCs w:val="32"/>
        </w:rPr>
        <w:t>项目均较好完成了各项绩效目标任务，根据评价指标进行了量化考核自评平均得分</w:t>
      </w:r>
      <w:r>
        <w:rPr>
          <w:rFonts w:ascii="仿宋_GB2312" w:hAnsi="Times New Roman" w:eastAsia="仿宋_GB2312" w:cs="DengXian-Regular"/>
          <w:sz w:val="32"/>
          <w:szCs w:val="32"/>
        </w:rPr>
        <w:t>98.53</w:t>
      </w:r>
      <w:r>
        <w:rPr>
          <w:rFonts w:hint="eastAsia" w:ascii="仿宋_GB2312" w:hAnsi="Times New Roman" w:eastAsia="仿宋_GB2312" w:cs="DengXian-Regular"/>
          <w:sz w:val="32"/>
          <w:szCs w:val="32"/>
        </w:rPr>
        <w:t>分，</w:t>
      </w:r>
      <w:r>
        <w:rPr>
          <w:rFonts w:hint="eastAsia" w:ascii="仿宋_GB2312" w:hAnsi="Times New Roman" w:eastAsia="仿宋_GB2312" w:cs="DengXian-Regular"/>
          <w:sz w:val="32"/>
          <w:szCs w:val="32"/>
          <w:lang w:val="zh-TW"/>
        </w:rPr>
        <w:t>综合评价结果为优。</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本部门2022年度政府性基金预算和国有资本经营预算无收支及结转结余情况，故07表和08表以空表列示。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505460</wp:posOffset>
            </wp:positionH>
            <wp:positionV relativeFrom="margin">
              <wp:posOffset>3205480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2"/>
                    <a:stretch>
                      <a:fillRect/>
                    </a:stretch>
                  </pic:blipFill>
                  <pic:spPr>
                    <a:xfrm>
                      <a:off x="0" y="0"/>
                      <a:ext cx="640080" cy="640080"/>
                    </a:xfrm>
                    <a:prstGeom prst="rect">
                      <a:avLst/>
                    </a:prstGeom>
                  </pic:spPr>
                </pic:pic>
              </a:graphicData>
            </a:graphic>
          </wp:anchor>
        </w:drawing>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csImhkaWQiOiJmMTFhYjRiNmM5NGI4NDZjMDc2NWFmNjYyOGM4ZjVmMiIsInVzZXJDb3VudCI6MX0="/>
  </w:docVars>
  <w:rsids>
    <w:rsidRoot w:val="00172A27"/>
    <w:rsid w:val="000031F7"/>
    <w:rsid w:val="00014862"/>
    <w:rsid w:val="00144CC5"/>
    <w:rsid w:val="00172A27"/>
    <w:rsid w:val="00203288"/>
    <w:rsid w:val="00262CE0"/>
    <w:rsid w:val="002C2C3F"/>
    <w:rsid w:val="002F3601"/>
    <w:rsid w:val="00310221"/>
    <w:rsid w:val="003427C4"/>
    <w:rsid w:val="0034600F"/>
    <w:rsid w:val="00366EA1"/>
    <w:rsid w:val="004550B9"/>
    <w:rsid w:val="004662B9"/>
    <w:rsid w:val="00473A26"/>
    <w:rsid w:val="004A7D4C"/>
    <w:rsid w:val="004C0AB2"/>
    <w:rsid w:val="004C624B"/>
    <w:rsid w:val="004D1145"/>
    <w:rsid w:val="004E274E"/>
    <w:rsid w:val="004F23D0"/>
    <w:rsid w:val="004F5E71"/>
    <w:rsid w:val="0051575E"/>
    <w:rsid w:val="00522C51"/>
    <w:rsid w:val="00550130"/>
    <w:rsid w:val="00556EA1"/>
    <w:rsid w:val="005B2633"/>
    <w:rsid w:val="00657113"/>
    <w:rsid w:val="00663586"/>
    <w:rsid w:val="0068420C"/>
    <w:rsid w:val="006C5D6E"/>
    <w:rsid w:val="007042CC"/>
    <w:rsid w:val="00757732"/>
    <w:rsid w:val="00786182"/>
    <w:rsid w:val="00793DDC"/>
    <w:rsid w:val="007B4464"/>
    <w:rsid w:val="00855E47"/>
    <w:rsid w:val="00870A5D"/>
    <w:rsid w:val="00896712"/>
    <w:rsid w:val="008E5668"/>
    <w:rsid w:val="0093782E"/>
    <w:rsid w:val="009718A8"/>
    <w:rsid w:val="009C0DD6"/>
    <w:rsid w:val="009D7927"/>
    <w:rsid w:val="009E6461"/>
    <w:rsid w:val="00A031A7"/>
    <w:rsid w:val="00A42231"/>
    <w:rsid w:val="00A4790A"/>
    <w:rsid w:val="00A66109"/>
    <w:rsid w:val="00B15320"/>
    <w:rsid w:val="00B748C5"/>
    <w:rsid w:val="00B86E38"/>
    <w:rsid w:val="00BE7649"/>
    <w:rsid w:val="00BF6310"/>
    <w:rsid w:val="00C21492"/>
    <w:rsid w:val="00C418F5"/>
    <w:rsid w:val="00CE4C2D"/>
    <w:rsid w:val="00CE755E"/>
    <w:rsid w:val="00D264B9"/>
    <w:rsid w:val="00D71400"/>
    <w:rsid w:val="00DA0719"/>
    <w:rsid w:val="00DA0B17"/>
    <w:rsid w:val="00DE4245"/>
    <w:rsid w:val="00DF42C4"/>
    <w:rsid w:val="00DF688D"/>
    <w:rsid w:val="00E136A3"/>
    <w:rsid w:val="00E35F22"/>
    <w:rsid w:val="00E40650"/>
    <w:rsid w:val="00E44B04"/>
    <w:rsid w:val="00E45243"/>
    <w:rsid w:val="00E57285"/>
    <w:rsid w:val="00E669B9"/>
    <w:rsid w:val="00E818B1"/>
    <w:rsid w:val="00E86E79"/>
    <w:rsid w:val="00EA2FA7"/>
    <w:rsid w:val="00EB05AD"/>
    <w:rsid w:val="00EF7B60"/>
    <w:rsid w:val="00F07F81"/>
    <w:rsid w:val="00F242CA"/>
    <w:rsid w:val="00F43E73"/>
    <w:rsid w:val="00FC3F68"/>
    <w:rsid w:val="00FF453A"/>
    <w:rsid w:val="018E53BB"/>
    <w:rsid w:val="01B752BF"/>
    <w:rsid w:val="02F2691F"/>
    <w:rsid w:val="05273E55"/>
    <w:rsid w:val="06EB1AB6"/>
    <w:rsid w:val="0717375D"/>
    <w:rsid w:val="099D6B31"/>
    <w:rsid w:val="09FD66D9"/>
    <w:rsid w:val="0A402FCB"/>
    <w:rsid w:val="0A913826"/>
    <w:rsid w:val="0E63372C"/>
    <w:rsid w:val="10B242CF"/>
    <w:rsid w:val="118122A3"/>
    <w:rsid w:val="118C2F9A"/>
    <w:rsid w:val="11F4604E"/>
    <w:rsid w:val="127A7CC8"/>
    <w:rsid w:val="136D16FB"/>
    <w:rsid w:val="13AA21BF"/>
    <w:rsid w:val="17F13B56"/>
    <w:rsid w:val="1A3D2C72"/>
    <w:rsid w:val="21336F8E"/>
    <w:rsid w:val="216937C4"/>
    <w:rsid w:val="21A67760"/>
    <w:rsid w:val="26D62895"/>
    <w:rsid w:val="281A2EF5"/>
    <w:rsid w:val="28481571"/>
    <w:rsid w:val="298605CB"/>
    <w:rsid w:val="2CEF036C"/>
    <w:rsid w:val="31BC6B2B"/>
    <w:rsid w:val="32A31C4C"/>
    <w:rsid w:val="32B53CA7"/>
    <w:rsid w:val="33884F17"/>
    <w:rsid w:val="33CD2241"/>
    <w:rsid w:val="34967CFD"/>
    <w:rsid w:val="35AA203B"/>
    <w:rsid w:val="38AE4760"/>
    <w:rsid w:val="39C2416B"/>
    <w:rsid w:val="3B5E2A01"/>
    <w:rsid w:val="3B744E3E"/>
    <w:rsid w:val="3B783AC3"/>
    <w:rsid w:val="3BF15109"/>
    <w:rsid w:val="3DC91A1B"/>
    <w:rsid w:val="3F235BB1"/>
    <w:rsid w:val="3F663581"/>
    <w:rsid w:val="42A44BF6"/>
    <w:rsid w:val="434A7C14"/>
    <w:rsid w:val="445A33D3"/>
    <w:rsid w:val="4571549B"/>
    <w:rsid w:val="46E22739"/>
    <w:rsid w:val="471274FD"/>
    <w:rsid w:val="479E2B03"/>
    <w:rsid w:val="49717ADD"/>
    <w:rsid w:val="4A51609B"/>
    <w:rsid w:val="4B2B2900"/>
    <w:rsid w:val="4C194D3B"/>
    <w:rsid w:val="4D304C6C"/>
    <w:rsid w:val="4F2A6A41"/>
    <w:rsid w:val="500373A2"/>
    <w:rsid w:val="507C6383"/>
    <w:rsid w:val="51FA127E"/>
    <w:rsid w:val="53AD746D"/>
    <w:rsid w:val="561769D4"/>
    <w:rsid w:val="58D844B0"/>
    <w:rsid w:val="58F5279F"/>
    <w:rsid w:val="5BA1276A"/>
    <w:rsid w:val="5F4A1A8C"/>
    <w:rsid w:val="60075621"/>
    <w:rsid w:val="602001C2"/>
    <w:rsid w:val="60CE32E1"/>
    <w:rsid w:val="64C00985"/>
    <w:rsid w:val="64D771FD"/>
    <w:rsid w:val="65225D26"/>
    <w:rsid w:val="65DB5CBA"/>
    <w:rsid w:val="674E6C15"/>
    <w:rsid w:val="67636EEB"/>
    <w:rsid w:val="67CE48E7"/>
    <w:rsid w:val="690D143F"/>
    <w:rsid w:val="697609B2"/>
    <w:rsid w:val="69F4671F"/>
    <w:rsid w:val="6BA53F12"/>
    <w:rsid w:val="6C046B2A"/>
    <w:rsid w:val="6CBF282C"/>
    <w:rsid w:val="6D2F22B6"/>
    <w:rsid w:val="706922F1"/>
    <w:rsid w:val="73335BEE"/>
    <w:rsid w:val="734B3290"/>
    <w:rsid w:val="734B3BFA"/>
    <w:rsid w:val="73753308"/>
    <w:rsid w:val="76EA6775"/>
    <w:rsid w:val="77E40AA4"/>
    <w:rsid w:val="79442C5B"/>
    <w:rsid w:val="7A796935"/>
    <w:rsid w:val="7AE268BC"/>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字符"/>
    <w:basedOn w:val="8"/>
    <w:link w:val="4"/>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2148</Words>
  <Characters>12249</Characters>
  <Lines>102</Lines>
  <Paragraphs>28</Paragraphs>
  <TotalTime>1</TotalTime>
  <ScaleCrop>false</ScaleCrop>
  <LinksUpToDate>false</LinksUpToDate>
  <CharactersWithSpaces>14369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2024-01-02T02:38:19Z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38A396F0D1204AAE8926ADA2B16A9B1E_13</vt:lpwstr>
  </property>
</Properties>
</file>