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360022</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成安县成安镇林里堡中学</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360022</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成安县成安镇林里堡中学</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3"/>
        <w:rPr>
          <w:rFonts w:ascii="仿宋_GB2312" w:hAnsi="Calibri" w:eastAsia="仿宋_GB2312" w:cs="ArialUnicodeMS"/>
          <w:b w:val="0"/>
          <w:kern w:val="0"/>
        </w:rPr>
      </w:pPr>
      <w:r>
        <w:rPr>
          <w:rFonts w:hint="eastAsia" w:ascii="仿宋_GB2312" w:hAnsi="Calibri" w:eastAsia="仿宋_GB2312" w:cs="ArialUnicodeMS"/>
          <w:b w:val="0"/>
          <w:kern w:val="0"/>
        </w:rPr>
        <w:t>1、全面负责本校工作，认真贯彻落实党和国家的方针、政策，正确执行上级主管单位的决议和指示，全面实施素质教育，培养德、智、体、美、劳等方面全面发展的社会主义事业建设者和接班人。</w:t>
      </w:r>
    </w:p>
    <w:p>
      <w:pPr>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2、根据教育规律、社会要求和学校实际，组织制定学校发展的长远规划、近期目标，学年和学期工作计划以及各项工作指标并组织实施。</w:t>
      </w:r>
    </w:p>
    <w:p>
      <w:pPr>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3、加强学校科学化管理，制定和健全各项规章制度，规范办学行为，培养良好的校风，逐步实现管理决策的科学化，管理方法的定量化和管理手段的现代化。</w:t>
      </w:r>
    </w:p>
    <w:p>
      <w:pPr>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4、负责教师队伍的建设工作，提高教师的业务水平、教研水平，并把德育工作放在首位，教育全体教职工做到教学育人、管理育人、服务育人，搞好学校-家庭-社会三结合教育。</w:t>
      </w:r>
    </w:p>
    <w:p>
      <w:pPr>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5、负责领导和组织学校的教学工作，坚持以教学为中心，及时了解教师教学和学生学习情况，大力推进教学改革，加强教研教改工作。</w:t>
      </w:r>
    </w:p>
    <w:p>
      <w:pPr>
        <w:widowControl/>
        <w:spacing w:line="580" w:lineRule="exact"/>
        <w:ind w:firstLine="640" w:firstLineChars="200"/>
        <w:rPr>
          <w:rFonts w:ascii="仿宋_GB2312" w:hAnsi="Calibri" w:eastAsia="仿宋_GB2312" w:cs="ArialUnicodeMS"/>
          <w:kern w:val="0"/>
          <w:sz w:val="32"/>
          <w:szCs w:val="32"/>
          <w:highlight w:val="yellow"/>
        </w:rPr>
      </w:pPr>
      <w:r>
        <w:rPr>
          <w:rFonts w:hint="eastAsia" w:ascii="仿宋_GB2312" w:hAnsi="Calibri" w:eastAsia="仿宋_GB2312" w:cs="ArialUnicodeMS"/>
          <w:kern w:val="0"/>
          <w:sz w:val="32"/>
          <w:szCs w:val="32"/>
        </w:rPr>
        <w:t>6、主持学校与学生家长及社会的联系工作。搞好校际间的交往，做好与社会各界的联系工作，为办好学校创造良好的条件。</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成安县成安镇林里堡中学</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财政补助事业单位</w:t>
            </w:r>
          </w:p>
        </w:tc>
        <w:tc>
          <w:tcPr>
            <w:tcW w:w="266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hd w:val="clear" w:fill="FFFFFF" w:themeFill="background1"/>
        <w:spacing w:after="160" w:line="58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我部门无二级预算单位，因此，</w:t>
      </w:r>
      <w:r>
        <w:rPr>
          <w:rFonts w:hint="eastAsia" w:ascii="Times New Roman" w:hAnsi="Times New Roman" w:eastAsia="黑体" w:cs="Times New Roman"/>
          <w:sz w:val="32"/>
          <w:szCs w:val="32"/>
          <w:highlight w:val="none"/>
          <w:lang w:val="en-US" w:eastAsia="zh-CN"/>
        </w:rPr>
        <w:t>成安县成安镇林里堡中学</w:t>
      </w:r>
      <w:r>
        <w:rPr>
          <w:rFonts w:hint="eastAsia" w:ascii="Times New Roman" w:hAnsi="Times New Roman" w:eastAsia="黑体" w:cs="Times New Roman"/>
          <w:sz w:val="32"/>
          <w:szCs w:val="32"/>
          <w:highlight w:val="none"/>
        </w:rPr>
        <w:t>2022年度部门决算即</w:t>
      </w:r>
      <w:r>
        <w:rPr>
          <w:rFonts w:hint="eastAsia" w:ascii="Times New Roman" w:hAnsi="Times New Roman" w:eastAsia="黑体" w:cs="Times New Roman"/>
          <w:sz w:val="32"/>
          <w:szCs w:val="32"/>
          <w:highlight w:val="none"/>
          <w:lang w:val="en-US" w:eastAsia="zh-CN"/>
        </w:rPr>
        <w:t>成安县成安镇林里堡中学</w:t>
      </w:r>
      <w:r>
        <w:rPr>
          <w:rFonts w:hint="eastAsia" w:ascii="Times New Roman" w:hAnsi="Times New Roman" w:eastAsia="黑体" w:cs="Times New Roman"/>
          <w:sz w:val="32"/>
          <w:szCs w:val="32"/>
          <w:highlight w:val="none"/>
        </w:rPr>
        <w:t>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504825</wp:posOffset>
            </wp:positionH>
            <wp:positionV relativeFrom="margin">
              <wp:posOffset>409575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7"/>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成安县成安镇林里堡中学</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140.753</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140.75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140.75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val="0"/>
                <w:bCs/>
                <w:color w:val="000000"/>
                <w:sz w:val="22"/>
                <w:lang w:val="en-US" w:eastAsia="zh-CN"/>
              </w:rPr>
              <w:t>140.75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140.75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140.75</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7"/>
        <w:tblW w:w="11039" w:type="dxa"/>
        <w:tblInd w:w="0" w:type="dxa"/>
        <w:tblLayout w:type="fixed"/>
        <w:tblCellMar>
          <w:top w:w="15" w:type="dxa"/>
          <w:left w:w="15" w:type="dxa"/>
          <w:bottom w:w="15" w:type="dxa"/>
          <w:right w:w="15" w:type="dxa"/>
        </w:tblCellMar>
      </w:tblPr>
      <w:tblGrid>
        <w:gridCol w:w="555"/>
        <w:gridCol w:w="1080"/>
        <w:gridCol w:w="1545"/>
        <w:gridCol w:w="1381"/>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545" w:type="dxa"/>
            <w:shd w:val="clear" w:color="auto" w:fill="FFFFFF"/>
            <w:vAlign w:val="center"/>
          </w:tcPr>
          <w:p>
            <w:pPr>
              <w:jc w:val="right"/>
              <w:rPr>
                <w:rFonts w:ascii="宋体" w:hAnsi="宋体" w:eastAsia="宋体" w:cs="宋体"/>
                <w:color w:val="000000"/>
                <w:sz w:val="24"/>
              </w:rPr>
            </w:pPr>
          </w:p>
        </w:tc>
        <w:tc>
          <w:tcPr>
            <w:tcW w:w="1381"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lang w:val="en-US" w:eastAsia="zh-CN" w:bidi="ar"/>
              </w:rPr>
              <w:t>成安县成安</w:t>
            </w:r>
          </w:p>
        </w:tc>
        <w:tc>
          <w:tcPr>
            <w:tcW w:w="1545" w:type="dxa"/>
            <w:shd w:val="clear" w:color="auto" w:fill="FFFFFF"/>
            <w:vAlign w:val="center"/>
          </w:tcPr>
          <w:p>
            <w:pPr>
              <w:jc w:val="both"/>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lang w:val="en-US" w:eastAsia="zh-CN" w:bidi="ar"/>
              </w:rPr>
              <w:t>镇林里堡中学</w:t>
            </w:r>
          </w:p>
        </w:tc>
        <w:tc>
          <w:tcPr>
            <w:tcW w:w="1381" w:type="dxa"/>
            <w:shd w:val="clear" w:color="auto" w:fill="FFFFFF"/>
            <w:vAlign w:val="center"/>
          </w:tcPr>
          <w:p>
            <w:pPr>
              <w:jc w:val="left"/>
              <w:rPr>
                <w:rFonts w:hint="eastAsia" w:ascii="宋体" w:hAnsi="宋体" w:eastAsia="宋体" w:cs="宋体"/>
                <w:color w:val="000000"/>
                <w:sz w:val="24"/>
                <w:lang w:val="en-US" w:eastAsia="zh-CN"/>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1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1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18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140.75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140.753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85"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教育支出</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140.75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140.75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20502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普通教育</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华文中宋" w:hAnsi="华文中宋" w:eastAsia="华文中宋" w:cs="华文中宋"/>
                <w:color w:val="000000"/>
                <w:sz w:val="24"/>
              </w:rPr>
            </w:pPr>
            <w:r>
              <w:rPr>
                <w:rFonts w:hint="eastAsia" w:ascii="宋体" w:hAnsi="宋体" w:eastAsia="宋体" w:cs="宋体"/>
                <w:color w:val="000000"/>
                <w:sz w:val="24"/>
                <w:lang w:val="en-US" w:eastAsia="zh-CN"/>
              </w:rPr>
              <w:t>140.75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140.75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2050205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初中教育</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138.93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138.93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2050299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其他普通教育支出</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7"/>
        <w:tblW w:w="10286" w:type="dxa"/>
        <w:tblInd w:w="0" w:type="dxa"/>
        <w:tblLayout w:type="fixed"/>
        <w:tblCellMar>
          <w:top w:w="15" w:type="dxa"/>
          <w:left w:w="15" w:type="dxa"/>
          <w:bottom w:w="15" w:type="dxa"/>
          <w:right w:w="15" w:type="dxa"/>
        </w:tblCellMar>
      </w:tblPr>
      <w:tblGrid>
        <w:gridCol w:w="671"/>
        <w:gridCol w:w="821"/>
        <w:gridCol w:w="1744"/>
        <w:gridCol w:w="1039"/>
        <w:gridCol w:w="1739"/>
        <w:gridCol w:w="1069"/>
        <w:gridCol w:w="1069"/>
        <w:gridCol w:w="1069"/>
        <w:gridCol w:w="1065"/>
      </w:tblGrid>
      <w:tr>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821" w:type="dxa"/>
            <w:shd w:val="clear" w:color="auto" w:fill="FFFFFF"/>
            <w:vAlign w:val="center"/>
          </w:tcPr>
          <w:p>
            <w:pPr>
              <w:jc w:val="right"/>
              <w:rPr>
                <w:rFonts w:ascii="宋体" w:hAnsi="宋体" w:eastAsia="宋体" w:cs="宋体"/>
                <w:color w:val="000000"/>
                <w:sz w:val="24"/>
              </w:rPr>
            </w:pPr>
          </w:p>
        </w:tc>
        <w:tc>
          <w:tcPr>
            <w:tcW w:w="1744" w:type="dxa"/>
            <w:shd w:val="clear" w:color="auto" w:fill="FFFFFF"/>
            <w:vAlign w:val="center"/>
          </w:tcPr>
          <w:p>
            <w:pPr>
              <w:jc w:val="right"/>
              <w:rPr>
                <w:rFonts w:ascii="宋体" w:hAnsi="宋体" w:eastAsia="宋体" w:cs="宋体"/>
                <w:color w:val="000000"/>
                <w:sz w:val="24"/>
              </w:rPr>
            </w:pPr>
          </w:p>
        </w:tc>
        <w:tc>
          <w:tcPr>
            <w:tcW w:w="1039"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821" w:type="dxa"/>
            <w:shd w:val="clear" w:color="auto" w:fill="FFFFFF"/>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lang w:val="en-US" w:eastAsia="zh-CN" w:bidi="ar"/>
              </w:rPr>
              <w:t>成安县</w:t>
            </w:r>
          </w:p>
        </w:tc>
        <w:tc>
          <w:tcPr>
            <w:tcW w:w="1744" w:type="dxa"/>
            <w:shd w:val="clear" w:color="auto" w:fill="FFFFFF"/>
            <w:vAlign w:val="center"/>
          </w:tcPr>
          <w:p>
            <w:pPr>
              <w:jc w:val="both"/>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lang w:val="en-US" w:eastAsia="zh-CN" w:bidi="ar"/>
              </w:rPr>
              <w:t>成安镇林里堡中学</w:t>
            </w:r>
          </w:p>
        </w:tc>
        <w:tc>
          <w:tcPr>
            <w:tcW w:w="1039"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2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rPr>
          <w:trHeight w:val="450" w:hRule="atLeast"/>
        </w:trPr>
        <w:tc>
          <w:tcPr>
            <w:tcW w:w="14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rPr>
          <w:trHeight w:val="450" w:hRule="atLeast"/>
        </w:trPr>
        <w:tc>
          <w:tcPr>
            <w:tcW w:w="32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rPr>
          <w:trHeight w:val="450" w:hRule="atLeast"/>
        </w:trPr>
        <w:tc>
          <w:tcPr>
            <w:tcW w:w="32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140.75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140.75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rPr>
          <w:trHeight w:val="450" w:hRule="atLeast"/>
        </w:trPr>
        <w:tc>
          <w:tcPr>
            <w:tcW w:w="14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w:t>
            </w: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教育支出</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140.75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140.75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20502</w:t>
            </w: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普通教育</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140.75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140.75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rPr>
          <w:trHeight w:val="450" w:hRule="atLeast"/>
        </w:trPr>
        <w:tc>
          <w:tcPr>
            <w:tcW w:w="14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2050203</w:t>
            </w: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初中教育</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138.93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138.93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2050299</w:t>
            </w: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lang w:val="en-US" w:eastAsia="zh-CN"/>
              </w:rPr>
              <w:t>其他普通教育支出</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rPr>
          <w:trHeight w:val="450" w:hRule="atLeast"/>
        </w:trPr>
        <w:tc>
          <w:tcPr>
            <w:tcW w:w="14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7"/>
        <w:tblW w:w="14186" w:type="dxa"/>
        <w:tblInd w:w="0" w:type="dxa"/>
        <w:tblLayout w:type="fixed"/>
        <w:tblCellMar>
          <w:top w:w="15" w:type="dxa"/>
          <w:left w:w="15" w:type="dxa"/>
          <w:bottom w:w="15" w:type="dxa"/>
          <w:right w:w="15" w:type="dxa"/>
        </w:tblCellMar>
      </w:tblPr>
      <w:tblGrid>
        <w:gridCol w:w="600"/>
        <w:gridCol w:w="1080"/>
        <w:gridCol w:w="641"/>
        <w:gridCol w:w="371"/>
        <w:gridCol w:w="730"/>
        <w:gridCol w:w="584"/>
        <w:gridCol w:w="1592"/>
        <w:gridCol w:w="319"/>
        <w:gridCol w:w="475"/>
        <w:gridCol w:w="525"/>
        <w:gridCol w:w="1125"/>
        <w:gridCol w:w="526"/>
        <w:gridCol w:w="944"/>
        <w:gridCol w:w="1318"/>
        <w:gridCol w:w="18"/>
        <w:gridCol w:w="3338"/>
      </w:tblGrid>
      <w:tr>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7"/>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70" w:type="dxa"/>
                  <w:shd w:val="clear" w:color="auto" w:fill="FFFFFF"/>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lang w:val="en-US" w:eastAsia="zh-CN" w:bidi="ar"/>
                    </w:rPr>
                    <w:t>成安</w:t>
                  </w:r>
                </w:p>
              </w:tc>
              <w:tc>
                <w:tcPr>
                  <w:tcW w:w="1245" w:type="dxa"/>
                  <w:shd w:val="clear" w:color="auto" w:fill="FFFFFF"/>
                  <w:vAlign w:val="center"/>
                </w:tcPr>
                <w:p>
                  <w:pPr>
                    <w:jc w:val="both"/>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lang w:val="en-US" w:eastAsia="zh-CN" w:bidi="ar"/>
                    </w:rPr>
                    <w:t>县成安镇林里</w:t>
                  </w:r>
                </w:p>
              </w:tc>
              <w:tc>
                <w:tcPr>
                  <w:tcW w:w="1727" w:type="dxa"/>
                  <w:shd w:val="clear" w:color="auto" w:fill="FFFFFF"/>
                  <w:vAlign w:val="center"/>
                </w:tcPr>
                <w:p>
                  <w:pPr>
                    <w:wordWrap/>
                    <w:jc w:val="left"/>
                    <w:rPr>
                      <w:rFonts w:ascii="宋体" w:hAnsi="宋体" w:eastAsia="宋体" w:cs="宋体"/>
                      <w:color w:val="000000"/>
                      <w:sz w:val="24"/>
                    </w:rPr>
                  </w:pPr>
                  <w:r>
                    <w:rPr>
                      <w:rFonts w:hint="eastAsia" w:ascii="宋体" w:hAnsi="宋体" w:eastAsia="宋体" w:cs="宋体"/>
                      <w:color w:val="000000"/>
                      <w:kern w:val="0"/>
                      <w:sz w:val="20"/>
                      <w:szCs w:val="20"/>
                      <w:lang w:val="en-US" w:eastAsia="zh-CN" w:bidi="ar"/>
                    </w:rPr>
                    <w:t>堡中学</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42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40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140.75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140.75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140.75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140.75</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140.75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140.75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140.75</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140.75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2"/>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成安县</w:t>
            </w:r>
          </w:p>
        </w:tc>
        <w:tc>
          <w:tcPr>
            <w:tcW w:w="2326" w:type="dxa"/>
            <w:gridSpan w:val="4"/>
            <w:shd w:val="clear" w:color="auto" w:fill="FFFFFF"/>
            <w:vAlign w:val="center"/>
          </w:tcPr>
          <w:p>
            <w:pPr>
              <w:jc w:val="both"/>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成安镇林里堡中学</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3"/>
                <w:rFonts w:hint="default"/>
                <w:lang w:bidi="ar"/>
              </w:rPr>
              <w:t xml:space="preserve">   </w:t>
            </w:r>
            <w:r>
              <w:rPr>
                <w:rStyle w:val="14"/>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140.75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140.75</w:t>
            </w:r>
          </w:p>
        </w:tc>
      </w:tr>
      <w:tr>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教育支出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140.75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140.75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普通教育</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140.75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140.75</w:t>
            </w:r>
          </w:p>
        </w:tc>
      </w:tr>
      <w:tr>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2050203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初中教育</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138.93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138.93</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2050299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其他普通教育支出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1.82</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7"/>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5"/>
                <w:rFonts w:hint="default"/>
                <w:lang w:bidi="ar"/>
              </w:rPr>
              <w:t>明细</w:t>
            </w:r>
            <w:r>
              <w:rPr>
                <w:rStyle w:val="16"/>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138" w:type="dxa"/>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成安县成安镇林里堡</w:t>
            </w:r>
          </w:p>
        </w:tc>
        <w:tc>
          <w:tcPr>
            <w:tcW w:w="862" w:type="dxa"/>
            <w:shd w:val="clear" w:color="auto" w:fill="auto"/>
            <w:vAlign w:val="center"/>
          </w:tcPr>
          <w:p>
            <w:pPr>
              <w:jc w:val="both"/>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中学</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1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47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46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8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182"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56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r>
        <w:rPr>
          <w:rFonts w:hint="eastAsia" w:ascii="楷体" w:hAnsi="楷体" w:eastAsia="楷体" w:cs="楷体"/>
          <w:sz w:val="32"/>
          <w:szCs w:val="32"/>
          <w:highlight w:val="none"/>
        </w:rPr>
        <w:t>本部门本年度无相关收入（或支出、收支及结转结余等）情况，按要求空表列示。</w:t>
      </w:r>
      <w:r>
        <w:rPr>
          <w:b/>
        </w:rPr>
        <w:br w:type="page"/>
      </w:r>
    </w:p>
    <w:tbl>
      <w:tblPr>
        <w:tblStyle w:val="7"/>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成安县成安</w:t>
            </w:r>
          </w:p>
        </w:tc>
        <w:tc>
          <w:tcPr>
            <w:tcW w:w="1321" w:type="dxa"/>
            <w:shd w:val="clear" w:color="auto" w:fill="FFFFFF"/>
            <w:vAlign w:val="center"/>
          </w:tcPr>
          <w:p>
            <w:pPr>
              <w:jc w:val="both"/>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镇林里堡中学</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7"/>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r>
        <w:rPr>
          <w:rFonts w:hint="eastAsia" w:ascii="楷体" w:hAnsi="楷体" w:eastAsia="楷体" w:cs="楷体"/>
          <w:sz w:val="32"/>
          <w:szCs w:val="32"/>
          <w:highlight w:val="none"/>
        </w:rPr>
        <w:t>本部门本年度无相关收入（或支出、收支及结转结余等）情况，按要求空表列示。</w:t>
      </w:r>
      <w:r>
        <w:rPr>
          <w:b/>
        </w:rPr>
        <w:br w:type="page"/>
      </w:r>
    </w:p>
    <w:tbl>
      <w:tblPr>
        <w:tblStyle w:val="7"/>
        <w:tblW w:w="10422" w:type="dxa"/>
        <w:tblInd w:w="0" w:type="dxa"/>
        <w:tblLayout w:type="fixed"/>
        <w:tblCellMar>
          <w:top w:w="15" w:type="dxa"/>
          <w:left w:w="15" w:type="dxa"/>
          <w:bottom w:w="15" w:type="dxa"/>
          <w:right w:w="15" w:type="dxa"/>
        </w:tblCellMar>
      </w:tblPr>
      <w:tblGrid>
        <w:gridCol w:w="1016"/>
        <w:gridCol w:w="176"/>
        <w:gridCol w:w="970"/>
        <w:gridCol w:w="905"/>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1146" w:type="dxa"/>
            <w:gridSpan w:val="2"/>
            <w:shd w:val="clear" w:color="auto" w:fill="FFFFFF"/>
            <w:vAlign w:val="center"/>
          </w:tcPr>
          <w:p>
            <w:pPr>
              <w:jc w:val="center"/>
              <w:rPr>
                <w:rFonts w:ascii="宋体" w:hAnsi="宋体" w:eastAsia="宋体" w:cs="宋体"/>
                <w:color w:val="000000"/>
                <w:sz w:val="20"/>
                <w:szCs w:val="20"/>
              </w:rPr>
            </w:pPr>
          </w:p>
        </w:tc>
        <w:tc>
          <w:tcPr>
            <w:tcW w:w="905"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rPr>
          <w:trHeight w:val="286" w:hRule="atLeast"/>
        </w:trPr>
        <w:tc>
          <w:tcPr>
            <w:tcW w:w="1016" w:type="dxa"/>
            <w:shd w:val="clear" w:color="auto" w:fill="FFFFFF"/>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w:t>
            </w:r>
          </w:p>
        </w:tc>
        <w:tc>
          <w:tcPr>
            <w:tcW w:w="1146" w:type="dxa"/>
            <w:gridSpan w:val="2"/>
            <w:shd w:val="clear" w:color="auto" w:fill="FFFFFF"/>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bidi="ar"/>
              </w:rPr>
              <w:t>县成安镇林</w:t>
            </w:r>
          </w:p>
        </w:tc>
        <w:tc>
          <w:tcPr>
            <w:tcW w:w="905" w:type="dxa"/>
            <w:shd w:val="clear" w:color="auto" w:fill="FFFFFF"/>
            <w:vAlign w:val="center"/>
          </w:tcPr>
          <w:p>
            <w:pPr>
              <w:jc w:val="both"/>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bidi="ar"/>
              </w:rPr>
              <w:t>里堡中学</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注：本表反映部门本年度国有资本经营预算财政拨款支出情况。</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r>
        <w:rPr>
          <w:rFonts w:hint="eastAsia" w:ascii="楷体" w:hAnsi="楷体" w:eastAsia="楷体" w:cs="楷体"/>
          <w:sz w:val="32"/>
          <w:szCs w:val="32"/>
          <w:highlight w:val="none"/>
        </w:rPr>
        <w:t>本部门本年度无相关收入（或支出、收支及结转结余等）情况，按要求空表列示。</w:t>
      </w:r>
      <w:r>
        <w:rPr>
          <w:b/>
        </w:rPr>
        <w:br w:type="page"/>
      </w:r>
    </w:p>
    <w:tbl>
      <w:tblPr>
        <w:tblStyle w:val="7"/>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1191" w:type="dxa"/>
            <w:gridSpan w:val="2"/>
            <w:shd w:val="clear" w:color="auto" w:fill="FFFFFF"/>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w:t>
            </w:r>
          </w:p>
        </w:tc>
        <w:tc>
          <w:tcPr>
            <w:tcW w:w="1068" w:type="dxa"/>
            <w:gridSpan w:val="2"/>
            <w:shd w:val="clear" w:color="auto" w:fill="FFFFFF"/>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bidi="ar"/>
              </w:rPr>
              <w:t>成安镇林里</w:t>
            </w:r>
          </w:p>
        </w:tc>
        <w:tc>
          <w:tcPr>
            <w:tcW w:w="1055" w:type="dxa"/>
            <w:gridSpan w:val="3"/>
            <w:shd w:val="clear" w:color="auto" w:fill="FFFFFF"/>
            <w:vAlign w:val="center"/>
          </w:tcPr>
          <w:p>
            <w:pPr>
              <w:jc w:val="both"/>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bidi="ar"/>
              </w:rPr>
              <w:t>堡中学</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rPr>
          <w:rFonts w:eastAsia="黑体"/>
          <w:sz w:val="32"/>
          <w:szCs w:val="32"/>
        </w:rPr>
      </w:pPr>
      <w:r>
        <w:rPr>
          <w:rFonts w:hint="eastAsia" w:ascii="楷体" w:hAnsi="楷体" w:eastAsia="楷体" w:cs="楷体"/>
          <w:sz w:val="32"/>
          <w:szCs w:val="32"/>
          <w:highlight w:val="none"/>
        </w:rPr>
        <w:t>本部门本年度无相关收入（或支出、收支及结转结余等）情况，按要求空表列示。</w:t>
      </w:r>
      <w:r>
        <w:rPr>
          <w:b/>
        </w:rPr>
        <w:br w:type="page"/>
      </w: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万元。与2021年度决算相比，收支减少</w:t>
      </w:r>
      <w:r>
        <w:rPr>
          <w:rFonts w:hint="eastAsia" w:ascii="仿宋_GB2312" w:hAnsi="Times New Roman" w:eastAsia="仿宋_GB2312" w:cs="DengXian-Regular"/>
          <w:sz w:val="32"/>
          <w:szCs w:val="32"/>
          <w:lang w:val="en-US" w:eastAsia="zh-CN"/>
        </w:rPr>
        <w:t>57.34</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28.95</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我校上年有基础建设投入，今年没有基础建设投入。</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57.34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28.95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我校上年有基础建设投入今年没有基础建设投入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万元，减</w:t>
      </w:r>
      <w:r>
        <w:rPr>
          <w:rFonts w:hint="eastAsia" w:ascii="仿宋_GB2312" w:hAnsi="Times New Roman" w:eastAsia="仿宋_GB2312" w:cs="DengXian-Regular"/>
          <w:sz w:val="32"/>
          <w:szCs w:val="32"/>
          <w:lang w:val="en-US" w:eastAsia="zh-CN"/>
        </w:rPr>
        <w:t>少57.34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28.95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我校上年有基础建设投入今年没有基础建设投入</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57.34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我校上年有基础建设投入今年没有基础建设投入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57.34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28.95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我校上年有基础建设投入今年没有基础建设投入</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无政府性基金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无政府性基金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无国有基本经营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无国有资本经营</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我单位共用经费支出全为上级专款，通过特定目标类项目库细化安排</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我单位共用经费支出全为上级专款，通过特定目标类项目库细化安排</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hAnsi="Times New Roman" w:eastAsia="仿宋_GB2312" w:cs="DengXian-Regular"/>
          <w:color w:val="auto"/>
          <w:sz w:val="32"/>
          <w:szCs w:val="32"/>
        </w:rPr>
        <w:t>一般公共预算财政拨款本年收入完成年初预算</w:t>
      </w:r>
      <w:r>
        <w:rPr>
          <w:rFonts w:hint="eastAsia" w:ascii="仿宋_GB2312" w:hAnsi="Times New Roman" w:eastAsia="仿宋_GB2312" w:cs="DengXian-Regular"/>
          <w:color w:val="auto"/>
          <w:sz w:val="32"/>
          <w:szCs w:val="32"/>
          <w:lang w:val="en-US" w:eastAsia="zh-CN"/>
        </w:rPr>
        <w:t>100</w:t>
      </w:r>
      <w:r>
        <w:rPr>
          <w:rFonts w:hint="eastAsia" w:ascii="仿宋_GB2312" w:hAnsi="Times New Roman" w:eastAsia="仿宋_GB2312" w:cs="DengXian-Regular"/>
          <w:color w:val="auto"/>
          <w:sz w:val="32"/>
          <w:szCs w:val="32"/>
        </w:rPr>
        <w:t>%，比年初预算增加</w:t>
      </w:r>
      <w:r>
        <w:rPr>
          <w:rFonts w:hint="eastAsia" w:ascii="仿宋_GB2312" w:hAnsi="Times New Roman" w:eastAsia="仿宋_GB2312" w:cs="DengXian-Regular"/>
          <w:color w:val="auto"/>
          <w:sz w:val="32"/>
          <w:szCs w:val="32"/>
          <w:lang w:val="en-US" w:eastAsia="zh-CN"/>
        </w:rPr>
        <w:t>0</w:t>
      </w:r>
      <w:r>
        <w:rPr>
          <w:rFonts w:hint="eastAsia" w:ascii="仿宋_GB2312" w:hAnsi="Times New Roman" w:eastAsia="仿宋_GB2312" w:cs="DengXian-Regular"/>
          <w:color w:val="auto"/>
          <w:sz w:val="32"/>
          <w:szCs w:val="32"/>
        </w:rPr>
        <w:t>万元，主要是</w:t>
      </w:r>
      <w:r>
        <w:rPr>
          <w:rFonts w:hint="eastAsia" w:ascii="仿宋_GB2312" w:hAnsi="Times New Roman" w:eastAsia="仿宋_GB2312" w:cs="DengXian-Regular"/>
          <w:color w:val="auto"/>
          <w:sz w:val="32"/>
          <w:szCs w:val="32"/>
          <w:lang w:val="en-US" w:eastAsia="zh-CN"/>
        </w:rPr>
        <w:t>我单位共用经费支出全为上级专款，通过特定目标类项目库细化安排</w:t>
      </w:r>
      <w:r>
        <w:rPr>
          <w:rFonts w:hint="eastAsia" w:ascii="仿宋_GB2312" w:hAnsi="Times New Roman" w:eastAsia="仿宋_GB2312" w:cs="DengXian-Regular"/>
          <w:color w:val="auto"/>
          <w:sz w:val="32"/>
          <w:szCs w:val="32"/>
        </w:rPr>
        <w:t>；支出完成年初预算</w:t>
      </w:r>
      <w:r>
        <w:rPr>
          <w:rFonts w:hint="eastAsia" w:ascii="仿宋_GB2312" w:hAnsi="Times New Roman" w:eastAsia="仿宋_GB2312" w:cs="DengXian-Regular"/>
          <w:color w:val="auto"/>
          <w:sz w:val="32"/>
          <w:szCs w:val="32"/>
          <w:lang w:val="en-US" w:eastAsia="zh-CN"/>
        </w:rPr>
        <w:t>100</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我单位共用经费支出全为上级专款，通过特定目标类项目库细化安排</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无政府性基金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无政府性基金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万元，主要是国有资本经营。</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万元，主要用于教育支出</w:t>
      </w:r>
      <w:r>
        <w:rPr>
          <w:rFonts w:hint="eastAsia" w:ascii="仿宋_GB2312" w:hAnsi="Times New Roman" w:eastAsia="仿宋_GB2312" w:cs="DengXian-Regular"/>
          <w:sz w:val="32"/>
          <w:szCs w:val="32"/>
          <w:lang w:val="en-US" w:eastAsia="zh-CN"/>
        </w:rPr>
        <w:t>140.75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（存在一般公共预算收支，即公开06表不为空，如为空此部分可忽略）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“三公”经费；较2021年度决算增加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“三公”经费。</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因公出国（境）费；较上年增加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因公出国（境）费。其中因公出国（境）团组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无公务用车</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无公务用车</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无公务用车购置费</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无公务用车购置费</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无公务用车运行维护费</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无公务用车运行维护费</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无公务接待费</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无公务接待费</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无机关运营费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无车辆</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140.75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%。组织对2022年度国有资本经营预算项目支出开展绩效自评，共涉及资金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万元，占国有资本经营预算项目支出总额的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冀财教【2021】130号2022年城乡义务教育中央补助经费（直达资金）（初中公用经费）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个一级项目开展了重点评价，涉及一般公共预算支出</w:t>
      </w:r>
      <w:r>
        <w:rPr>
          <w:rFonts w:hint="eastAsia" w:ascii="仿宋_GB2312" w:hAnsi="仿宋_GB2312" w:eastAsia="仿宋_GB2312" w:cs="仿宋_GB2312"/>
          <w:sz w:val="32"/>
          <w:szCs w:val="32"/>
          <w:lang w:val="en-US" w:eastAsia="zh-CN"/>
        </w:rPr>
        <w:t>140.75</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val="en-US" w:eastAsia="zh-CN"/>
        </w:rPr>
        <w:t>冀财教【2021】130号2022年城乡义务教育中央补助经费（直达资金）（初中公用经费）</w:t>
      </w:r>
      <w:r>
        <w:rPr>
          <w:rFonts w:hint="eastAsia" w:ascii="仿宋_GB2312" w:hAnsi="仿宋_GB2312" w:eastAsia="仿宋_GB2312" w:cs="仿宋_GB2312"/>
          <w:sz w:val="32"/>
          <w:szCs w:val="32"/>
        </w:rPr>
        <w:t>”等项目委托</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内评审机构开展绩效评价。从评价情况来看本年度预算项目支出完成情况较好</w:t>
      </w:r>
      <w:r>
        <w:rPr>
          <w:rFonts w:hint="eastAsia" w:ascii="仿宋_GB2312" w:hAnsi="仿宋_GB2312" w:eastAsia="仿宋_GB2312" w:cs="仿宋_GB2312"/>
          <w:sz w:val="32"/>
          <w:szCs w:val="32"/>
          <w:lang w:eastAsia="zh-CN"/>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numPr>
          <w:ilvl w:val="0"/>
          <w:numId w:val="0"/>
        </w:numPr>
        <w:adjustRightInd w:val="0"/>
        <w:snapToGrid w:val="0"/>
        <w:spacing w:line="580" w:lineRule="exact"/>
        <w:ind w:left="630" w:leftChars="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在今年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决算公开中反映公用经费项目及</w:t>
      </w:r>
      <w:r>
        <w:rPr>
          <w:rFonts w:hint="eastAsia" w:ascii="仿宋_GB2312" w:hAnsi="仿宋_GB2312" w:eastAsia="仿宋_GB2312" w:cs="仿宋_GB2312"/>
          <w:sz w:val="32"/>
          <w:szCs w:val="32"/>
          <w:lang w:val="en-US" w:eastAsia="zh-CN"/>
        </w:rPr>
        <w:t>改扩建项目</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冀财教【2021】130号2022年城乡义务教育中央补助经费（直达资金）（初中公用经费）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冀财教【2021】130号2022年城乡义务教育中央补助经费（直达资金）（初中公用经费）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。项目绩效目标完成情况：通过项目实施，完成了年初设定的各项绩效目标，完成</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万元;完成度100%。未发现问题。</w:t>
      </w:r>
    </w:p>
    <w:tbl>
      <w:tblPr>
        <w:tblStyle w:val="7"/>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5"/>
        <w:gridCol w:w="430"/>
        <w:gridCol w:w="974"/>
        <w:gridCol w:w="1286"/>
        <w:gridCol w:w="1332"/>
        <w:gridCol w:w="554"/>
        <w:gridCol w:w="455"/>
        <w:gridCol w:w="659"/>
        <w:gridCol w:w="783"/>
        <w:gridCol w:w="1004"/>
        <w:gridCol w:w="539"/>
        <w:gridCol w:w="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8874" w:type="dxa"/>
            <w:gridSpan w:val="12"/>
            <w:vMerge w:val="restart"/>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36"/>
                <w:szCs w:val="36"/>
                <w:u w:val="none"/>
              </w:rPr>
            </w:pPr>
            <w:r>
              <w:rPr>
                <w:rFonts w:hint="default" w:ascii="Arial" w:hAnsi="Arial" w:eastAsia="宋体" w:cs="Arial"/>
                <w:i w:val="0"/>
                <w:color w:val="000000"/>
                <w:kern w:val="0"/>
                <w:sz w:val="36"/>
                <w:szCs w:val="36"/>
                <w:u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8874" w:type="dxa"/>
            <w:gridSpan w:val="12"/>
            <w:vMerge w:val="continue"/>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一、基本情况</w:t>
            </w:r>
          </w:p>
        </w:tc>
        <w:tc>
          <w:tcPr>
            <w:tcW w:w="43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项目名称</w:t>
            </w:r>
          </w:p>
        </w:tc>
        <w:tc>
          <w:tcPr>
            <w:tcW w:w="2260" w:type="dxa"/>
            <w:gridSpan w:val="2"/>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冀财教【2021】130号2022年城乡义务教育中央补助经费（直达资金）（初中公用经费）</w:t>
            </w:r>
          </w:p>
        </w:tc>
        <w:tc>
          <w:tcPr>
            <w:tcW w:w="1332"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项目级次</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本级</w:t>
            </w:r>
          </w:p>
        </w:tc>
        <w:tc>
          <w:tcPr>
            <w:tcW w:w="1114"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实施主管单位</w:t>
            </w:r>
          </w:p>
        </w:tc>
        <w:tc>
          <w:tcPr>
            <w:tcW w:w="1787" w:type="dxa"/>
            <w:gridSpan w:val="2"/>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360022 - 成安县成安镇林里堡中学</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金额单位</w:t>
            </w:r>
          </w:p>
        </w:tc>
        <w:tc>
          <w:tcPr>
            <w:tcW w:w="253" w:type="dxa"/>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二、预算执行情况</w:t>
            </w:r>
          </w:p>
        </w:tc>
        <w:tc>
          <w:tcPr>
            <w:tcW w:w="1404" w:type="dxa"/>
            <w:gridSpan w:val="2"/>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预算安排情况(调整后)</w:t>
            </w:r>
          </w:p>
        </w:tc>
        <w:tc>
          <w:tcPr>
            <w:tcW w:w="3172" w:type="dxa"/>
            <w:gridSpan w:val="3"/>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资金到位情况</w:t>
            </w:r>
          </w:p>
        </w:tc>
        <w:tc>
          <w:tcPr>
            <w:tcW w:w="2901" w:type="dxa"/>
            <w:gridSpan w:val="4"/>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资金执行情况</w:t>
            </w:r>
          </w:p>
        </w:tc>
        <w:tc>
          <w:tcPr>
            <w:tcW w:w="792" w:type="dxa"/>
            <w:gridSpan w:val="2"/>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预算执行进度(%)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预算数</w:t>
            </w:r>
          </w:p>
        </w:tc>
        <w:tc>
          <w:tcPr>
            <w:tcW w:w="97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1286"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到位数</w:t>
            </w:r>
          </w:p>
        </w:tc>
        <w:tc>
          <w:tcPr>
            <w:tcW w:w="1886"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1114"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执行数</w:t>
            </w:r>
          </w:p>
        </w:tc>
        <w:tc>
          <w:tcPr>
            <w:tcW w:w="1787"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792" w:type="dxa"/>
            <w:gridSpan w:val="2"/>
            <w:vMerge w:val="restart"/>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其中:财政资金</w:t>
            </w:r>
          </w:p>
        </w:tc>
        <w:tc>
          <w:tcPr>
            <w:tcW w:w="97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1286"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其中:财政资金</w:t>
            </w:r>
          </w:p>
        </w:tc>
        <w:tc>
          <w:tcPr>
            <w:tcW w:w="1886"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1114"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其中:财政资金</w:t>
            </w:r>
          </w:p>
        </w:tc>
        <w:tc>
          <w:tcPr>
            <w:tcW w:w="1787"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792" w:type="dxa"/>
            <w:gridSpan w:val="2"/>
            <w:vMerge w:val="continue"/>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其他</w:t>
            </w:r>
          </w:p>
        </w:tc>
        <w:tc>
          <w:tcPr>
            <w:tcW w:w="97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286"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其他</w:t>
            </w:r>
          </w:p>
        </w:tc>
        <w:tc>
          <w:tcPr>
            <w:tcW w:w="1886"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14"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其他</w:t>
            </w:r>
          </w:p>
        </w:tc>
        <w:tc>
          <w:tcPr>
            <w:tcW w:w="1787"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2" w:type="dxa"/>
            <w:gridSpan w:val="2"/>
            <w:vMerge w:val="continue"/>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三、目标完成情况</w:t>
            </w:r>
          </w:p>
        </w:tc>
        <w:tc>
          <w:tcPr>
            <w:tcW w:w="4022" w:type="dxa"/>
            <w:gridSpan w:val="4"/>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年度预期目标</w:t>
            </w:r>
          </w:p>
        </w:tc>
        <w:tc>
          <w:tcPr>
            <w:tcW w:w="3455" w:type="dxa"/>
            <w:gridSpan w:val="5"/>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具体完成情况</w:t>
            </w:r>
          </w:p>
        </w:tc>
        <w:tc>
          <w:tcPr>
            <w:tcW w:w="792" w:type="dxa"/>
            <w:gridSpan w:val="2"/>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总体完成率(%)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022" w:type="dxa"/>
            <w:gridSpan w:val="4"/>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项目完成后，有利于改善学校的办学条件，为师生营造良好的教学环境</w:t>
            </w:r>
          </w:p>
        </w:tc>
        <w:tc>
          <w:tcPr>
            <w:tcW w:w="3455" w:type="dxa"/>
            <w:gridSpan w:val="5"/>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改善学校的办学条件，为师生营造良好的教学环境   </w:t>
            </w:r>
          </w:p>
        </w:tc>
        <w:tc>
          <w:tcPr>
            <w:tcW w:w="792"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022" w:type="dxa"/>
            <w:gridSpan w:val="4"/>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目完成后，保障学校正常教学活动正常进行，改善学校的办学条件，为师生营造良好的教学环境，进一步提高我校的教育教学质量。</w:t>
            </w:r>
          </w:p>
        </w:tc>
        <w:tc>
          <w:tcPr>
            <w:tcW w:w="3455" w:type="dxa"/>
            <w:gridSpan w:val="5"/>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保障学校正常教学活动正常进行，改善学校的办学条件，为师生营造良好的教学环境，进一步提高我校的教育教学质量。   </w:t>
            </w:r>
          </w:p>
        </w:tc>
        <w:tc>
          <w:tcPr>
            <w:tcW w:w="792" w:type="dxa"/>
            <w:gridSpan w:val="2"/>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restart"/>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四、年度绩效        指标完成情况</w:t>
            </w:r>
          </w:p>
        </w:tc>
        <w:tc>
          <w:tcPr>
            <w:tcW w:w="430"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974"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286"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332"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指标说明</w:t>
            </w:r>
          </w:p>
        </w:tc>
        <w:tc>
          <w:tcPr>
            <w:tcW w:w="554"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指标分值</w:t>
            </w:r>
          </w:p>
        </w:tc>
        <w:tc>
          <w:tcPr>
            <w:tcW w:w="1897" w:type="dxa"/>
            <w:gridSpan w:val="3"/>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预期指标值</w:t>
            </w:r>
          </w:p>
        </w:tc>
        <w:tc>
          <w:tcPr>
            <w:tcW w:w="1004"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单项指标实际完成值</w:t>
            </w:r>
          </w:p>
        </w:tc>
        <w:tc>
          <w:tcPr>
            <w:tcW w:w="539"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单项指标完成情况</w:t>
            </w:r>
          </w:p>
        </w:tc>
        <w:tc>
          <w:tcPr>
            <w:tcW w:w="253"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974"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332"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554"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55"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符号</w:t>
            </w:r>
          </w:p>
        </w:tc>
        <w:tc>
          <w:tcPr>
            <w:tcW w:w="65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值</w:t>
            </w:r>
          </w:p>
        </w:tc>
        <w:tc>
          <w:tcPr>
            <w:tcW w:w="78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单位(文字描述)</w:t>
            </w:r>
          </w:p>
        </w:tc>
        <w:tc>
          <w:tcPr>
            <w:tcW w:w="1004"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539"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253"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产出指标</w:t>
            </w: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全年用电量</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全年用电量</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w:t>
            </w:r>
          </w:p>
        </w:tc>
        <w:tc>
          <w:tcPr>
            <w:tcW w:w="659"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字</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&gt;200000</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教师参加培训次数</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教师参加培训次数</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w:t>
            </w:r>
          </w:p>
        </w:tc>
        <w:tc>
          <w:tcPr>
            <w:tcW w:w="659"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人次</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&gt;20</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维修校舍面积</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维修校舍面积</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w:t>
            </w:r>
          </w:p>
        </w:tc>
        <w:tc>
          <w:tcPr>
            <w:tcW w:w="659"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&gt;500</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维修项目合格率</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维修项目合格率</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59"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百分率</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工程按期完成率</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按期完成的工程量占总工程量的比率</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w:t>
            </w:r>
          </w:p>
        </w:tc>
        <w:tc>
          <w:tcPr>
            <w:tcW w:w="659"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工程单位维修成本</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单位平米的维修成本</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&lt;=</w:t>
            </w:r>
          </w:p>
        </w:tc>
        <w:tc>
          <w:tcPr>
            <w:tcW w:w="659"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&lt;200</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效益指标</w:t>
            </w: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为师生提供良好的教学环境</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为师生提供良好的教学环境</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文字描述</w:t>
            </w:r>
          </w:p>
        </w:tc>
        <w:tc>
          <w:tcPr>
            <w:tcW w:w="659"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良好</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良好</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不涉及</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不涉及</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文字描述</w:t>
            </w:r>
          </w:p>
        </w:tc>
        <w:tc>
          <w:tcPr>
            <w:tcW w:w="659"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不涉及</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不涉及</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改善学校办学情况</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通过拨付公用经费改善学校办学条件情况</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文字描述</w:t>
            </w:r>
          </w:p>
        </w:tc>
        <w:tc>
          <w:tcPr>
            <w:tcW w:w="659"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基本改善</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基本改善</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生态效益指标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不涉及</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不涉及</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文字描述</w:t>
            </w:r>
          </w:p>
        </w:tc>
        <w:tc>
          <w:tcPr>
            <w:tcW w:w="659"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不涉及</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不涉及</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满意度指标</w:t>
            </w: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286"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家长对学校的满意度</w:t>
            </w:r>
          </w:p>
        </w:tc>
        <w:tc>
          <w:tcPr>
            <w:tcW w:w="1332"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学生对学校满意人数占学生家长总人数的比率</w:t>
            </w:r>
          </w:p>
        </w:tc>
        <w:tc>
          <w:tcPr>
            <w:tcW w:w="55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455"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w:t>
            </w:r>
          </w:p>
        </w:tc>
        <w:tc>
          <w:tcPr>
            <w:tcW w:w="659"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783"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百分率</w:t>
            </w:r>
          </w:p>
        </w:tc>
        <w:tc>
          <w:tcPr>
            <w:tcW w:w="1004"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&gt;98%</w:t>
            </w:r>
          </w:p>
        </w:tc>
        <w:tc>
          <w:tcPr>
            <w:tcW w:w="539"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w:t>
            </w: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预算执行率</w:t>
            </w:r>
          </w:p>
        </w:tc>
        <w:tc>
          <w:tcPr>
            <w:tcW w:w="97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预算执行率</w:t>
            </w:r>
          </w:p>
        </w:tc>
        <w:tc>
          <w:tcPr>
            <w:tcW w:w="1286"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1332"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554" w:type="dxa"/>
            <w:tcBorders>
              <w:top w:val="nil"/>
              <w:left w:val="nil"/>
              <w:bottom w:val="nil"/>
              <w:right w:val="nil"/>
            </w:tcBorders>
            <w:shd w:val="clear" w:color="auto" w:fill="E9EFF6"/>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55"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659"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783"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1004"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539" w:type="dxa"/>
            <w:tcBorders>
              <w:top w:val="nil"/>
              <w:left w:val="nil"/>
              <w:bottom w:val="nil"/>
              <w:right w:val="nil"/>
            </w:tcBorders>
            <w:shd w:val="clear" w:color="auto" w:fill="E9EFF6"/>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253"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43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自评总分</w:t>
            </w:r>
          </w:p>
        </w:tc>
        <w:tc>
          <w:tcPr>
            <w:tcW w:w="7839" w:type="dxa"/>
            <w:gridSpan w:val="10"/>
            <w:tcBorders>
              <w:top w:val="nil"/>
              <w:left w:val="nil"/>
              <w:bottom w:val="single" w:color="B0C4DE" w:sz="4" w:space="0"/>
              <w:right w:val="single" w:color="B0C4DE" w:sz="4" w:space="0"/>
            </w:tcBorders>
            <w:shd w:val="clear" w:color="auto" w:fill="E9EFF6"/>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restart"/>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五、存在问题         原因及整改措施</w:t>
            </w:r>
          </w:p>
        </w:tc>
        <w:tc>
          <w:tcPr>
            <w:tcW w:w="8269" w:type="dxa"/>
            <w:gridSpan w:val="11"/>
            <w:vMerge w:val="restart"/>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vMerge w:val="continue"/>
            <w:tcBorders>
              <w:top w:val="nil"/>
              <w:left w:val="nil"/>
              <w:bottom w:val="nil"/>
              <w:right w:val="nil"/>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8269" w:type="dxa"/>
            <w:gridSpan w:val="11"/>
            <w:vMerge w:val="continue"/>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605"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填报人:</w:t>
            </w:r>
          </w:p>
        </w:tc>
        <w:tc>
          <w:tcPr>
            <w:tcW w:w="2690" w:type="dxa"/>
            <w:gridSpan w:val="3"/>
            <w:tcBorders>
              <w:top w:val="single" w:color="B0C4DE" w:sz="4" w:space="0"/>
              <w:left w:val="single" w:color="B0C4DE" w:sz="4" w:space="0"/>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安殿洪</w:t>
            </w:r>
          </w:p>
        </w:tc>
        <w:tc>
          <w:tcPr>
            <w:tcW w:w="1332"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联系电话:</w:t>
            </w:r>
          </w:p>
        </w:tc>
        <w:tc>
          <w:tcPr>
            <w:tcW w:w="4247" w:type="dxa"/>
            <w:gridSpan w:val="7"/>
            <w:tcBorders>
              <w:top w:val="nil"/>
              <w:left w:val="nil"/>
              <w:bottom w:val="single" w:color="B0C4DE" w:sz="4" w:space="0"/>
              <w:right w:val="single" w:color="B0C4DE"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13831036617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605" w:type="dxa"/>
            <w:vMerge w:val="restart"/>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w:t>
            </w:r>
          </w:p>
        </w:tc>
        <w:tc>
          <w:tcPr>
            <w:tcW w:w="8269" w:type="dxa"/>
            <w:gridSpan w:val="11"/>
            <w:vMerge w:val="restart"/>
            <w:tcBorders>
              <w:top w:val="nil"/>
              <w:left w:val="nil"/>
              <w:bottom w:val="single" w:color="B0C4DE" w:sz="4" w:space="0"/>
              <w:right w:val="single" w:color="B0C4DE"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1.预算项目自评总分由各单项指标的自评得分合计而成，满分为100分。                                      2.实际完成值，即填写某项指标截止预算年度末的完成情况；单项指标完成情况，根据下拉菜单选择“完成”或“未完成”。 3.当年预算未执行，年终预算调减为0或财政收回全部资金的项目，以及当年重复申报或细化为其他项目的，预算数填0，到位数、执行数、指标完成情况、自评得分等其他内容不再填报，直接保存提交。   4.当年预算未执行，年终结转下年的项目，资金执行数填0，绩效指标填“未完成”，自评得分填0；当年预算部分执行，剩余资金结转下年的项目，资金执行数、指标完成情况如实填写，自评得分应小于100分。  5.原则上，一级指标权重统一设置为：产出指标50分、效益指标30分、满意度指标10分、预算执行率10分。如某类指标未设定，其分值可合理调至其他指标，预算执行率指标权重占比固定为10%；二、三级指标所占权重，应根据指标重要程度、项目实施阶段等因素综合确定。各项指标权重占比之和为100%。  6.“预算执行进度”由系统自动生成，计算公式为：预算执行进度=执行数/预算数*100%；“预算执行率”指标得分为系统自动生成，当“预算执行进度≥95%”时，“预算执行率”指标自评得分自动显示为10分；当“预算执行进度＜95%”时，“预算执行率”指标自评得分=预算执行进度*10。      7.实际完成值与预期指标值在描述上应当具有对应关系，比如某培训项目数量指标预期指标值为≥50人次，实际完成值应当填写实际完成多少人次，不能填完成培训多少场次、培训多少人等。    8.单项指标完成情况与实际完成值应当具有逻辑关系，当实际完成值大于或等于预期指标值时，单项指标完成情况才能填“完成”，否则填“未完成”。     9.当“单项指标完成情况”填“未完成”时，自评得分应小于指标分值。                                         10.由于年初指标值设定明显偏低，造成实际完成值高于预期指标值较多的，应按照偏离度适度调减自评得分。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605"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8269" w:type="dxa"/>
            <w:gridSpan w:val="11"/>
            <w:vMerge w:val="continue"/>
            <w:tcBorders>
              <w:top w:val="nil"/>
              <w:left w:val="nil"/>
              <w:bottom w:val="single" w:color="B0C4DE" w:sz="4" w:space="0"/>
              <w:right w:val="single" w:color="B0C4DE" w:sz="4" w:space="0"/>
            </w:tcBorders>
            <w:shd w:val="clear" w:color="auto" w:fill="auto"/>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605"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8269" w:type="dxa"/>
            <w:gridSpan w:val="11"/>
            <w:vMerge w:val="continue"/>
            <w:tcBorders>
              <w:top w:val="nil"/>
              <w:left w:val="nil"/>
              <w:bottom w:val="single" w:color="B0C4DE" w:sz="4" w:space="0"/>
              <w:right w:val="single" w:color="B0C4DE" w:sz="4" w:space="0"/>
            </w:tcBorders>
            <w:shd w:val="clear" w:color="auto" w:fill="auto"/>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605" w:type="dxa"/>
            <w:vMerge w:val="continue"/>
            <w:tcBorders>
              <w:top w:val="nil"/>
              <w:left w:val="nil"/>
              <w:bottom w:val="nil"/>
              <w:right w:val="nil"/>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8269" w:type="dxa"/>
            <w:gridSpan w:val="11"/>
            <w:vMerge w:val="continue"/>
            <w:tcBorders>
              <w:top w:val="nil"/>
              <w:left w:val="nil"/>
              <w:bottom w:val="single" w:color="B0C4DE" w:sz="4" w:space="0"/>
              <w:right w:val="single" w:color="B0C4DE" w:sz="4" w:space="0"/>
            </w:tcBorders>
            <w:shd w:val="clear" w:color="auto" w:fill="auto"/>
            <w:tcMar>
              <w:top w:w="15" w:type="dxa"/>
              <w:left w:w="15" w:type="dxa"/>
              <w:right w:w="15" w:type="dxa"/>
            </w:tcMar>
            <w:vAlign w:val="top"/>
          </w:tcPr>
          <w:p>
            <w:pPr>
              <w:rPr>
                <w:rFonts w:hint="eastAsia" w:ascii="宋体" w:hAnsi="宋体" w:eastAsia="宋体" w:cs="宋体"/>
                <w:i w:val="0"/>
                <w:color w:val="000000"/>
                <w:sz w:val="22"/>
                <w:szCs w:val="22"/>
                <w:u w:val="none"/>
              </w:rPr>
            </w:pPr>
          </w:p>
        </w:tc>
      </w:tr>
    </w:tbl>
    <w:p>
      <w:pPr>
        <w:numPr>
          <w:ilvl w:val="0"/>
          <w:numId w:val="2"/>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冀财教【2022】70号2022年城乡义务教育中央补助经费（综合奖补）</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冀财教【2022】70号2022年城乡义务教育中央补助经费（综合奖补）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。项目绩效目标完成情况：通过项目实施，完成了年初设定的各项绩效目标，完成</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万元;完成度100%。未发现问题。</w:t>
      </w:r>
    </w:p>
    <w:p>
      <w:pPr>
        <w:numPr>
          <w:ilvl w:val="0"/>
          <w:numId w:val="2"/>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冀财教【2022】70号2022年城乡义务教育中央补助经费（中学家庭困难学生生活补助）</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冀财教【2022】70号2022年城乡义务教育中央补助经费（困难家庭生活补助）</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9.9375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9.9375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。项目绩效目标完成情况：通过项目实施，完成了年初设定的各项绩效目标，完成</w:t>
      </w:r>
      <w:r>
        <w:rPr>
          <w:rFonts w:hint="eastAsia" w:ascii="仿宋_GB2312" w:hAnsi="仿宋_GB2312" w:eastAsia="仿宋_GB2312" w:cs="仿宋_GB2312"/>
          <w:sz w:val="32"/>
          <w:szCs w:val="32"/>
          <w:lang w:val="en-US" w:eastAsia="zh-CN"/>
        </w:rPr>
        <w:t>9.9375</w:t>
      </w:r>
      <w:r>
        <w:rPr>
          <w:rFonts w:hint="eastAsia" w:ascii="仿宋_GB2312" w:hAnsi="仿宋_GB2312" w:eastAsia="仿宋_GB2312" w:cs="仿宋_GB2312"/>
          <w:sz w:val="32"/>
          <w:szCs w:val="32"/>
        </w:rPr>
        <w:t>万元;完成度100%。未发现问题。</w:t>
      </w:r>
    </w:p>
    <w:p>
      <w:pPr>
        <w:numPr>
          <w:ilvl w:val="0"/>
          <w:numId w:val="2"/>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冀财教【2021】130号2022年城乡义务教育中央补助经费（中学家庭困难学生生活补助）</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冀财教【2021】130号2022年城乡义务教育中央补助经费（中学家庭困难学生生活补助）</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。项目绩效目标完成情况：通过项目实施，完成了年初设定的各项绩效目标，完成</w:t>
      </w:r>
      <w:r>
        <w:rPr>
          <w:rFonts w:hint="eastAsia" w:ascii="仿宋_GB2312" w:hAnsi="仿宋_GB2312" w:eastAsia="仿宋_GB2312" w:cs="仿宋_GB2312"/>
          <w:sz w:val="32"/>
          <w:szCs w:val="32"/>
          <w:lang w:val="en-US" w:eastAsia="zh-CN"/>
        </w:rPr>
        <w:t>9.75</w:t>
      </w:r>
      <w:r>
        <w:rPr>
          <w:rFonts w:hint="eastAsia" w:ascii="仿宋_GB2312" w:hAnsi="仿宋_GB2312" w:eastAsia="仿宋_GB2312" w:cs="仿宋_GB2312"/>
          <w:sz w:val="32"/>
          <w:szCs w:val="32"/>
        </w:rPr>
        <w:t>万元;完成度100%。未发现问题。</w:t>
      </w:r>
    </w:p>
    <w:p>
      <w:pPr>
        <w:numPr>
          <w:ilvl w:val="0"/>
          <w:numId w:val="2"/>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冀财教【2021】168号2022年城乡义务教育省级补助经费（中学公用经费）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冀财教【2021】168号2022年城乡义务教育省级补助经费（中学公用经费）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43.0625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43.0625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。项目绩效目标完成情况：通过项目实施，完成了年初设定的各项绩效目标，完成</w:t>
      </w:r>
      <w:r>
        <w:rPr>
          <w:rFonts w:hint="eastAsia" w:ascii="仿宋_GB2312" w:hAnsi="仿宋_GB2312" w:eastAsia="仿宋_GB2312" w:cs="仿宋_GB2312"/>
          <w:sz w:val="32"/>
          <w:szCs w:val="32"/>
          <w:lang w:val="en-US" w:eastAsia="zh-CN"/>
        </w:rPr>
        <w:t>43.0625</w:t>
      </w:r>
      <w:r>
        <w:rPr>
          <w:rFonts w:hint="eastAsia" w:ascii="仿宋_GB2312" w:hAnsi="仿宋_GB2312" w:eastAsia="仿宋_GB2312" w:cs="仿宋_GB2312"/>
          <w:sz w:val="32"/>
          <w:szCs w:val="32"/>
        </w:rPr>
        <w:t>万元;完成度100%。未发现问题。</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highlight w:val="none"/>
        </w:rPr>
        <w:t>部门</w:t>
      </w:r>
      <w:r>
        <w:rPr>
          <w:rFonts w:hint="eastAsia" w:ascii="仿宋_GB2312" w:hAnsi="仿宋_GB2312" w:eastAsia="仿宋_GB2312" w:cs="仿宋_GB2312"/>
          <w:b/>
          <w:bCs/>
          <w:sz w:val="32"/>
          <w:szCs w:val="32"/>
        </w:rPr>
        <w:t>评价项目绩效评价结果</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对我单位</w:t>
      </w:r>
      <w:r>
        <w:rPr>
          <w:rFonts w:hint="eastAsia" w:ascii="仿宋_GB2312" w:hAnsi="仿宋_GB2312" w:eastAsia="仿宋_GB2312" w:cs="仿宋_GB2312"/>
          <w:sz w:val="32"/>
          <w:szCs w:val="32"/>
        </w:rPr>
        <w:t>项目绩效</w:t>
      </w:r>
      <w:r>
        <w:rPr>
          <w:rFonts w:hint="eastAsia" w:ascii="仿宋_GB2312" w:hAnsi="仿宋_GB2312" w:eastAsia="仿宋_GB2312" w:cs="仿宋_GB2312"/>
          <w:sz w:val="32"/>
          <w:szCs w:val="32"/>
          <w:lang w:val="en-US" w:eastAsia="zh-CN"/>
        </w:rPr>
        <w:t>评价进行检查</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en-US" w:eastAsia="zh-CN"/>
        </w:rPr>
        <w:t>检查</w:t>
      </w:r>
      <w:r>
        <w:rPr>
          <w:rFonts w:hint="eastAsia" w:ascii="仿宋_GB2312" w:hAnsi="仿宋_GB2312" w:eastAsia="仿宋_GB2312" w:cs="仿宋_GB2312"/>
          <w:sz w:val="32"/>
          <w:szCs w:val="32"/>
        </w:rPr>
        <w:t>情况来看，基本规范使用资金，做到了专款专用，没有发现虚列套取和资金截留、挤占、挪用现象，并能严格按照经费开支范围列支，没有发现超标准开支等问题。项目管理规范，监督到位，政策执行较好，发挥了财政资金的使用效能，绩效目标完成较好，产生了较好的社会效益。</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2022年度三公经费、政府性基金、国有资本经营无收支及结转结余情况，故公开07、公开08、公开09表以空表列示。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bookmarkStart w:id="0" w:name="_GoBack"/>
      <w:bookmarkEnd w:id="0"/>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pPr>
        <w:ind w:left="-1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jEsImhkaWQiOiIwNzBhMzlkOGYyNjliOWNlOWU5NjBjYWI4YjQ2ZDQyOCIsInVzZXJDb3VudCI6M3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5273E55"/>
    <w:rsid w:val="06EB1AB6"/>
    <w:rsid w:val="097232F7"/>
    <w:rsid w:val="099D6B31"/>
    <w:rsid w:val="09C210A1"/>
    <w:rsid w:val="09FD66D9"/>
    <w:rsid w:val="0AC41C08"/>
    <w:rsid w:val="0E540102"/>
    <w:rsid w:val="0FE96D1C"/>
    <w:rsid w:val="10B242CF"/>
    <w:rsid w:val="118122A3"/>
    <w:rsid w:val="119958C7"/>
    <w:rsid w:val="11F4604E"/>
    <w:rsid w:val="136D16FB"/>
    <w:rsid w:val="13AA21BF"/>
    <w:rsid w:val="150448D5"/>
    <w:rsid w:val="16152EF6"/>
    <w:rsid w:val="17321ECA"/>
    <w:rsid w:val="1A3D2C72"/>
    <w:rsid w:val="20307609"/>
    <w:rsid w:val="216937C4"/>
    <w:rsid w:val="23C53A2D"/>
    <w:rsid w:val="243403A9"/>
    <w:rsid w:val="254235DC"/>
    <w:rsid w:val="27D22AC3"/>
    <w:rsid w:val="298605CB"/>
    <w:rsid w:val="2AC74B3D"/>
    <w:rsid w:val="2BDD442D"/>
    <w:rsid w:val="2CEF036C"/>
    <w:rsid w:val="2D864DA2"/>
    <w:rsid w:val="32A31C4C"/>
    <w:rsid w:val="32B53CA7"/>
    <w:rsid w:val="33CD2241"/>
    <w:rsid w:val="34967CFD"/>
    <w:rsid w:val="352B1102"/>
    <w:rsid w:val="379660B6"/>
    <w:rsid w:val="38411DF9"/>
    <w:rsid w:val="387E5D2D"/>
    <w:rsid w:val="39C2416B"/>
    <w:rsid w:val="39E40B6C"/>
    <w:rsid w:val="3B744E3E"/>
    <w:rsid w:val="3C950388"/>
    <w:rsid w:val="3DC91A1B"/>
    <w:rsid w:val="3E1F2F19"/>
    <w:rsid w:val="3F235BB1"/>
    <w:rsid w:val="3F663581"/>
    <w:rsid w:val="41D9475A"/>
    <w:rsid w:val="42A44BF6"/>
    <w:rsid w:val="43671F3B"/>
    <w:rsid w:val="4571549B"/>
    <w:rsid w:val="471274FD"/>
    <w:rsid w:val="48B80EB2"/>
    <w:rsid w:val="49717ADD"/>
    <w:rsid w:val="4A51609B"/>
    <w:rsid w:val="4B974FAE"/>
    <w:rsid w:val="4C194D3B"/>
    <w:rsid w:val="4D304C6C"/>
    <w:rsid w:val="4F2A6A41"/>
    <w:rsid w:val="4FC83038"/>
    <w:rsid w:val="500373A2"/>
    <w:rsid w:val="507C6383"/>
    <w:rsid w:val="510A051F"/>
    <w:rsid w:val="52061D40"/>
    <w:rsid w:val="53AD746D"/>
    <w:rsid w:val="561769D4"/>
    <w:rsid w:val="56F43531"/>
    <w:rsid w:val="58D844B0"/>
    <w:rsid w:val="59AA747A"/>
    <w:rsid w:val="5B521E47"/>
    <w:rsid w:val="5D1D68C8"/>
    <w:rsid w:val="5F4A1A8C"/>
    <w:rsid w:val="5FE850F4"/>
    <w:rsid w:val="60075621"/>
    <w:rsid w:val="60127262"/>
    <w:rsid w:val="602001C2"/>
    <w:rsid w:val="60400919"/>
    <w:rsid w:val="60CE32E1"/>
    <w:rsid w:val="63122C86"/>
    <w:rsid w:val="64C00985"/>
    <w:rsid w:val="65225D26"/>
    <w:rsid w:val="65DB5CBA"/>
    <w:rsid w:val="668102B8"/>
    <w:rsid w:val="674E6C15"/>
    <w:rsid w:val="67636EEB"/>
    <w:rsid w:val="697609B2"/>
    <w:rsid w:val="69F4671F"/>
    <w:rsid w:val="6A581F84"/>
    <w:rsid w:val="6BA53F12"/>
    <w:rsid w:val="6CBF282C"/>
    <w:rsid w:val="6EFD74B7"/>
    <w:rsid w:val="706922F1"/>
    <w:rsid w:val="706E534A"/>
    <w:rsid w:val="7310085C"/>
    <w:rsid w:val="73335BEE"/>
    <w:rsid w:val="734B3BFA"/>
    <w:rsid w:val="73753308"/>
    <w:rsid w:val="762E765C"/>
    <w:rsid w:val="78AB05B7"/>
    <w:rsid w:val="79442C5B"/>
    <w:rsid w:val="794F7024"/>
    <w:rsid w:val="7A1A3E47"/>
    <w:rsid w:val="7BB011B5"/>
    <w:rsid w:val="7C2A2F43"/>
    <w:rsid w:val="7DC467F1"/>
    <w:rsid w:val="7EAD450C"/>
    <w:rsid w:val="7F366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unhideWhenUsed/>
    <w:qFormat/>
    <w:uiPriority w:val="99"/>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脚 Char"/>
    <w:basedOn w:val="9"/>
    <w:link w:val="5"/>
    <w:qFormat/>
    <w:uiPriority w:val="0"/>
    <w:rPr>
      <w:kern w:val="2"/>
      <w:sz w:val="18"/>
      <w:szCs w:val="18"/>
    </w:rPr>
  </w:style>
  <w:style w:type="character" w:customStyle="1" w:styleId="11">
    <w:name w:val="页眉 Char"/>
    <w:basedOn w:val="9"/>
    <w:link w:val="6"/>
    <w:qFormat/>
    <w:uiPriority w:val="0"/>
    <w:rPr>
      <w:kern w:val="2"/>
      <w:sz w:val="18"/>
      <w:szCs w:val="18"/>
    </w:rPr>
  </w:style>
  <w:style w:type="character" w:customStyle="1" w:styleId="12">
    <w:name w:val="font11"/>
    <w:basedOn w:val="9"/>
    <w:qFormat/>
    <w:uiPriority w:val="0"/>
    <w:rPr>
      <w:rFonts w:hint="eastAsia" w:ascii="宋体" w:hAnsi="宋体" w:eastAsia="宋体" w:cs="宋体"/>
      <w:color w:val="000000"/>
      <w:sz w:val="20"/>
      <w:szCs w:val="20"/>
      <w:u w:val="none"/>
    </w:rPr>
  </w:style>
  <w:style w:type="character" w:customStyle="1" w:styleId="13">
    <w:name w:val="font01"/>
    <w:basedOn w:val="9"/>
    <w:qFormat/>
    <w:uiPriority w:val="0"/>
    <w:rPr>
      <w:rFonts w:hint="eastAsia" w:ascii="宋体" w:hAnsi="宋体" w:eastAsia="宋体" w:cs="宋体"/>
      <w:color w:val="000000"/>
      <w:sz w:val="22"/>
      <w:szCs w:val="22"/>
      <w:u w:val="none"/>
    </w:rPr>
  </w:style>
  <w:style w:type="character" w:customStyle="1" w:styleId="14">
    <w:name w:val="font41"/>
    <w:basedOn w:val="9"/>
    <w:qFormat/>
    <w:uiPriority w:val="0"/>
    <w:rPr>
      <w:rFonts w:hint="eastAsia" w:ascii="宋体" w:hAnsi="宋体" w:eastAsia="宋体" w:cs="宋体"/>
      <w:color w:val="000000"/>
      <w:sz w:val="24"/>
      <w:szCs w:val="24"/>
      <w:u w:val="none"/>
    </w:rPr>
  </w:style>
  <w:style w:type="character" w:customStyle="1" w:styleId="15">
    <w:name w:val="font31"/>
    <w:basedOn w:val="9"/>
    <w:qFormat/>
    <w:uiPriority w:val="0"/>
    <w:rPr>
      <w:rFonts w:hint="eastAsia" w:ascii="华文中宋" w:hAnsi="华文中宋" w:eastAsia="华文中宋" w:cs="华文中宋"/>
      <w:color w:val="000000"/>
      <w:sz w:val="32"/>
      <w:szCs w:val="32"/>
      <w:u w:val="none"/>
    </w:rPr>
  </w:style>
  <w:style w:type="character" w:customStyle="1" w:styleId="16">
    <w:name w:val="font91"/>
    <w:basedOn w:val="9"/>
    <w:qFormat/>
    <w:uiPriority w:val="0"/>
    <w:rPr>
      <w:rFonts w:hint="eastAsia" w:ascii="华文中宋" w:hAnsi="华文中宋" w:eastAsia="华文中宋" w:cs="华文中宋"/>
      <w:color w:val="000000"/>
      <w:sz w:val="32"/>
      <w:szCs w:val="32"/>
      <w:u w:val="none"/>
    </w:rPr>
  </w:style>
  <w:style w:type="character" w:customStyle="1" w:styleId="17">
    <w:name w:val="font51"/>
    <w:basedOn w:val="9"/>
    <w:qFormat/>
    <w:uiPriority w:val="0"/>
    <w:rPr>
      <w:rFonts w:hint="eastAsia" w:ascii="宋体" w:hAnsi="宋体" w:eastAsia="宋体" w:cs="宋体"/>
      <w:color w:val="000000"/>
      <w:sz w:val="24"/>
      <w:szCs w:val="24"/>
      <w:u w:val="none"/>
    </w:rPr>
  </w:style>
  <w:style w:type="character" w:customStyle="1" w:styleId="18">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34</Pages>
  <Words>10991</Words>
  <Characters>12423</Characters>
  <Lines>84</Lines>
  <Paragraphs>23</Paragraphs>
  <TotalTime>3</TotalTime>
  <ScaleCrop>false</ScaleCrop>
  <LinksUpToDate>false</LinksUpToDate>
  <CharactersWithSpaces>12932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cp:lastModifiedBy>
  <cp:lastPrinted>2023-08-04T01:00:00Z</cp:lastPrinted>
  <dcterms:modified xsi:type="dcterms:W3CDTF">2023-12-06T01:09:29Z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KSOTemplateUUID">
    <vt:lpwstr>v1.0_mb_S7ajbG3IpAnL1wSthNCxfw==</vt:lpwstr>
  </property>
  <property fmtid="{D5CDD505-2E9C-101B-9397-08002B2CF9AE}" pid="4" name="ICV">
    <vt:lpwstr>1515CEFC20754C3380B382230295B456</vt:lpwstr>
  </property>
</Properties>
</file>