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rPr>
          <w:rFonts w:hint="eastAsia" w:ascii="黑体" w:hAnsi="黑体" w:eastAsia="黑体" w:cs="黑体"/>
          <w:b w:val="0"/>
          <w:bCs w:val="0"/>
          <w:sz w:val="44"/>
          <w:szCs w:val="44"/>
        </w:rPr>
      </w:pPr>
      <w:r>
        <w:rPr>
          <w:rFonts w:hint="eastAsia" w:ascii="黑体" w:hAnsi="黑体" w:eastAsia="黑体" w:cs="黑体"/>
          <w:b w:val="0"/>
          <w:bCs w:val="0"/>
          <w:sz w:val="44"/>
          <w:szCs w:val="44"/>
        </w:rPr>
        <w:t>成安县文化广电和旅游局</w:t>
      </w:r>
      <w:r>
        <w:rPr>
          <w:rFonts w:hint="eastAsia" w:ascii="黑体" w:hAnsi="黑体" w:eastAsia="黑体" w:cs="黑体"/>
          <w:b w:val="0"/>
          <w:bCs w:val="0"/>
          <w:sz w:val="44"/>
          <w:szCs w:val="44"/>
          <w:lang w:eastAsia="zh-CN"/>
        </w:rPr>
        <w:t>所属单位</w:t>
      </w:r>
      <w:r>
        <w:rPr>
          <w:rFonts w:hint="eastAsia" w:ascii="黑体" w:hAnsi="黑体" w:eastAsia="黑体" w:cs="黑体"/>
          <w:b w:val="0"/>
          <w:bCs w:val="0"/>
          <w:color w:val="000000"/>
          <w:sz w:val="44"/>
          <w:szCs w:val="44"/>
        </w:rPr>
        <w:t>2022年</w:t>
      </w:r>
      <w:r>
        <w:rPr>
          <w:rFonts w:hint="eastAsia" w:ascii="黑体" w:hAnsi="黑体" w:eastAsia="黑体" w:cs="黑体"/>
          <w:b w:val="0"/>
          <w:bCs w:val="0"/>
          <w:color w:val="000000"/>
          <w:sz w:val="44"/>
          <w:szCs w:val="44"/>
          <w:lang w:eastAsia="zh-CN"/>
        </w:rPr>
        <w:t>单位</w:t>
      </w:r>
      <w:r>
        <w:rPr>
          <w:rFonts w:hint="eastAsia" w:ascii="黑体" w:hAnsi="黑体" w:eastAsia="黑体" w:cs="黑体"/>
          <w:b w:val="0"/>
          <w:bCs w:val="0"/>
          <w:color w:val="000000"/>
          <w:sz w:val="44"/>
          <w:szCs w:val="44"/>
        </w:rPr>
        <w:t>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fldChar w:fldCharType="begin"/>
      </w:r>
      <w:r>
        <w:instrText xml:space="preserve">PAGEREF _Toc_2_2_0000000001 \h</w:instrText>
      </w:r>
      <w:r>
        <w:fldChar w:fldCharType="separate"/>
      </w:r>
      <w:r>
        <w:t>2</w:t>
      </w:r>
      <w:r>
        <w:fldChar w:fldCharType="end"/>
      </w:r>
      <w:r>
        <w:fldChar w:fldCharType="end"/>
      </w:r>
    </w:p>
    <w:p>
      <w:pPr>
        <w:pStyle w:val="5"/>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fldChar w:fldCharType="begin"/>
      </w:r>
      <w:r>
        <w:instrText xml:space="preserve">PAGEREF _Toc_2_2_0000000002 \h</w:instrText>
      </w:r>
      <w:r>
        <w:fldChar w:fldCharType="separate"/>
      </w:r>
      <w:r>
        <w:t>4</w:t>
      </w:r>
      <w:r>
        <w:fldChar w:fldCharType="end"/>
      </w:r>
      <w:r>
        <w:fldChar w:fldCharType="end"/>
      </w:r>
    </w:p>
    <w:p>
      <w:pPr>
        <w:pStyle w:val="5"/>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fldChar w:fldCharType="begin"/>
      </w:r>
      <w:r>
        <w:instrText xml:space="preserve">PAGEREF _Toc_2_2_0000000003 \h</w:instrText>
      </w:r>
      <w:r>
        <w:fldChar w:fldCharType="separate"/>
      </w:r>
      <w:r>
        <w:t>6</w:t>
      </w:r>
      <w:r>
        <w:fldChar w:fldCharType="end"/>
      </w:r>
      <w:r>
        <w:fldChar w:fldCharType="end"/>
      </w:r>
    </w:p>
    <w:p>
      <w:pPr>
        <w:pStyle w:val="5"/>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5"/>
        <w:tabs>
          <w:tab w:val="right" w:leader="dot" w:pos="14562"/>
        </w:tabs>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5"/>
        <w:tabs>
          <w:tab w:val="right" w:leader="dot" w:pos="14562"/>
        </w:tabs>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fldChar w:fldCharType="begin"/>
      </w:r>
      <w:r>
        <w:instrText xml:space="preserve">PAGEREF _Toc_2_2_0000000006 \h</w:instrText>
      </w:r>
      <w:r>
        <w:fldChar w:fldCharType="separate"/>
      </w:r>
      <w:r>
        <w:t>12</w:t>
      </w:r>
      <w:r>
        <w:fldChar w:fldCharType="end"/>
      </w:r>
      <w:r>
        <w:fldChar w:fldCharType="end"/>
      </w:r>
    </w:p>
    <w:p>
      <w:pPr>
        <w:pStyle w:val="5"/>
        <w:tabs>
          <w:tab w:val="right" w:leader="dot" w:pos="14562"/>
        </w:tabs>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fldChar w:fldCharType="begin"/>
      </w:r>
      <w:r>
        <w:instrText xml:space="preserve">PAGEREF _Toc_2_2_0000000007 \h</w:instrText>
      </w:r>
      <w:r>
        <w:fldChar w:fldCharType="separate"/>
      </w:r>
      <w:r>
        <w:t>13</w:t>
      </w:r>
      <w:r>
        <w:fldChar w:fldCharType="end"/>
      </w:r>
      <w:r>
        <w:fldChar w:fldCharType="end"/>
      </w:r>
    </w:p>
    <w:p>
      <w:pPr>
        <w:pStyle w:val="5"/>
        <w:tabs>
          <w:tab w:val="right" w:leader="dot" w:pos="14562"/>
        </w:tabs>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fldChar w:fldCharType="begin"/>
      </w:r>
      <w:r>
        <w:instrText xml:space="preserve">PAGEREF _Toc_2_2_0000000008 \h</w:instrText>
      </w:r>
      <w:r>
        <w:fldChar w:fldCharType="separate"/>
      </w:r>
      <w:r>
        <w:t>14</w:t>
      </w:r>
      <w:r>
        <w:fldChar w:fldCharType="end"/>
      </w:r>
      <w:r>
        <w:fldChar w:fldCharType="end"/>
      </w:r>
    </w:p>
    <w:p>
      <w:pPr>
        <w:pStyle w:val="5"/>
        <w:tabs>
          <w:tab w:val="right" w:leader="dot" w:pos="14562"/>
        </w:tabs>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fldChar w:fldCharType="begin"/>
      </w:r>
      <w:r>
        <w:instrText xml:space="preserve">PAGEREF _Toc_2_2_0000000009 \h</w:instrText>
      </w:r>
      <w:r>
        <w:fldChar w:fldCharType="separate"/>
      </w:r>
      <w:r>
        <w:t>15</w:t>
      </w:r>
      <w:r>
        <w:fldChar w:fldCharType="end"/>
      </w:r>
      <w:r>
        <w:fldChar w:fldCharType="end"/>
      </w:r>
    </w:p>
    <w:p>
      <w:r>
        <w:fldChar w:fldCharType="end"/>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fldChar w:fldCharType="begin"/>
      </w:r>
      <w:r>
        <w:instrText xml:space="preserve">PAGEREF _Toc_3_3_0000000011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17</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17</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36</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36</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36</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37</w:t>
      </w:r>
      <w:r>
        <w:fldChar w:fldCharType="end"/>
      </w:r>
      <w:r>
        <w:fldChar w:fldCharType="end"/>
      </w:r>
    </w:p>
    <w:p>
      <w:r>
        <w:fldChar w:fldCharType="end"/>
      </w:r>
    </w:p>
    <w:p>
      <w:pPr>
        <w:spacing w:before="0" w:after="0"/>
        <w:ind w:firstLine="0"/>
        <w:jc w:val="center"/>
        <w:outlineLvl w:val="3"/>
      </w:pPr>
      <w:bookmarkStart w:id="0" w:name="_Toc_4_4_0000000019"/>
      <w:r>
        <w:rPr>
          <w:rFonts w:ascii="方正小标宋_GBK" w:hAnsi="方正小标宋_GBK" w:eastAsia="方正小标宋_GBK" w:cs="方正小标宋_GBK"/>
          <w:b w:val="0"/>
          <w:color w:val="000000"/>
          <w:sz w:val="44"/>
        </w:rPr>
        <w:t>一、成安县文化广电和旅游局本级收支预算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821001成安县文化广电和旅游局本级</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521.48</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r>
              <w:t>483.66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15.32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10.50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8"/>
            </w:pPr>
            <w:r>
              <w:t>本年收入合计</w:t>
            </w:r>
          </w:p>
        </w:tc>
        <w:tc>
          <w:tcPr>
            <w:tcW w:w="2126" w:type="dxa"/>
            <w:vAlign w:val="center"/>
          </w:tcPr>
          <w:p>
            <w:pPr>
              <w:pStyle w:val="19"/>
            </w:pPr>
            <w:r>
              <w:t>521.48</w:t>
            </w:r>
          </w:p>
        </w:tc>
        <w:tc>
          <w:tcPr>
            <w:tcW w:w="4535" w:type="dxa"/>
            <w:vAlign w:val="center"/>
          </w:tcPr>
          <w:p>
            <w:pPr>
              <w:pStyle w:val="18"/>
            </w:pPr>
            <w:r>
              <w:t>本年支出合计</w:t>
            </w:r>
          </w:p>
        </w:tc>
        <w:tc>
          <w:tcPr>
            <w:tcW w:w="2126" w:type="dxa"/>
            <w:vAlign w:val="center"/>
          </w:tcPr>
          <w:p>
            <w:pPr>
              <w:pStyle w:val="19"/>
            </w:pPr>
            <w:r>
              <w:t>521.48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8"/>
            </w:pPr>
            <w:r>
              <w:t>收入总计</w:t>
            </w:r>
          </w:p>
        </w:tc>
        <w:tc>
          <w:tcPr>
            <w:tcW w:w="2126" w:type="dxa"/>
            <w:vAlign w:val="center"/>
          </w:tcPr>
          <w:p>
            <w:pPr>
              <w:pStyle w:val="19"/>
            </w:pPr>
            <w:r>
              <w:t>521.48</w:t>
            </w:r>
          </w:p>
        </w:tc>
        <w:tc>
          <w:tcPr>
            <w:tcW w:w="4535" w:type="dxa"/>
            <w:vAlign w:val="center"/>
          </w:tcPr>
          <w:p>
            <w:pPr>
              <w:pStyle w:val="18"/>
            </w:pPr>
            <w:r>
              <w:t>支出总计</w:t>
            </w:r>
          </w:p>
        </w:tc>
        <w:tc>
          <w:tcPr>
            <w:tcW w:w="2126" w:type="dxa"/>
            <w:vAlign w:val="center"/>
          </w:tcPr>
          <w:p>
            <w:pPr>
              <w:pStyle w:val="19"/>
            </w:pPr>
            <w:r>
              <w:t>521.48</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821001成安县文化广电和旅游局本级</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521.48</w:t>
            </w:r>
          </w:p>
        </w:tc>
        <w:tc>
          <w:tcPr>
            <w:tcW w:w="1134" w:type="dxa"/>
            <w:vAlign w:val="center"/>
          </w:tcPr>
          <w:p>
            <w:pPr>
              <w:pStyle w:val="19"/>
            </w:pPr>
            <w:r>
              <w:t>521.48</w:t>
            </w:r>
          </w:p>
        </w:tc>
        <w:tc>
          <w:tcPr>
            <w:tcW w:w="1134" w:type="dxa"/>
            <w:vAlign w:val="center"/>
          </w:tcPr>
          <w:p>
            <w:pPr>
              <w:pStyle w:val="19"/>
            </w:pPr>
            <w:r>
              <w:t>521.48</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207</w:t>
            </w:r>
          </w:p>
        </w:tc>
        <w:tc>
          <w:tcPr>
            <w:tcW w:w="1559" w:type="dxa"/>
            <w:vAlign w:val="center"/>
          </w:tcPr>
          <w:p>
            <w:pPr>
              <w:pStyle w:val="16"/>
            </w:pPr>
            <w:r>
              <w:t>文化旅游体育与传媒支出</w:t>
            </w:r>
          </w:p>
        </w:tc>
        <w:tc>
          <w:tcPr>
            <w:tcW w:w="1134" w:type="dxa"/>
            <w:vAlign w:val="center"/>
          </w:tcPr>
          <w:p>
            <w:pPr>
              <w:pStyle w:val="15"/>
            </w:pPr>
            <w:r>
              <w:t>483.66</w:t>
            </w:r>
          </w:p>
        </w:tc>
        <w:tc>
          <w:tcPr>
            <w:tcW w:w="1134" w:type="dxa"/>
            <w:vAlign w:val="center"/>
          </w:tcPr>
          <w:p>
            <w:pPr>
              <w:pStyle w:val="15"/>
            </w:pPr>
            <w:r>
              <w:t>483.66</w:t>
            </w:r>
          </w:p>
        </w:tc>
        <w:tc>
          <w:tcPr>
            <w:tcW w:w="1134" w:type="dxa"/>
            <w:vAlign w:val="center"/>
          </w:tcPr>
          <w:p>
            <w:pPr>
              <w:pStyle w:val="15"/>
            </w:pPr>
            <w:r>
              <w:t>483.66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20701</w:t>
            </w:r>
          </w:p>
        </w:tc>
        <w:tc>
          <w:tcPr>
            <w:tcW w:w="1559" w:type="dxa"/>
            <w:vAlign w:val="center"/>
          </w:tcPr>
          <w:p>
            <w:pPr>
              <w:pStyle w:val="16"/>
            </w:pPr>
            <w:r>
              <w:t>文化和旅游</w:t>
            </w:r>
          </w:p>
        </w:tc>
        <w:tc>
          <w:tcPr>
            <w:tcW w:w="1134" w:type="dxa"/>
            <w:vAlign w:val="center"/>
          </w:tcPr>
          <w:p>
            <w:pPr>
              <w:pStyle w:val="15"/>
            </w:pPr>
            <w:r>
              <w:t>157.73</w:t>
            </w:r>
          </w:p>
        </w:tc>
        <w:tc>
          <w:tcPr>
            <w:tcW w:w="1134" w:type="dxa"/>
            <w:vAlign w:val="center"/>
          </w:tcPr>
          <w:p>
            <w:pPr>
              <w:pStyle w:val="15"/>
            </w:pPr>
            <w:r>
              <w:t>157.73</w:t>
            </w:r>
          </w:p>
        </w:tc>
        <w:tc>
          <w:tcPr>
            <w:tcW w:w="1134" w:type="dxa"/>
            <w:vAlign w:val="center"/>
          </w:tcPr>
          <w:p>
            <w:pPr>
              <w:pStyle w:val="15"/>
            </w:pPr>
            <w:r>
              <w:t>157.73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2070101</w:t>
            </w:r>
          </w:p>
        </w:tc>
        <w:tc>
          <w:tcPr>
            <w:tcW w:w="1559" w:type="dxa"/>
            <w:vAlign w:val="center"/>
          </w:tcPr>
          <w:p>
            <w:pPr>
              <w:pStyle w:val="16"/>
            </w:pPr>
            <w:r>
              <w:t>行政运行</w:t>
            </w:r>
          </w:p>
        </w:tc>
        <w:tc>
          <w:tcPr>
            <w:tcW w:w="1134" w:type="dxa"/>
            <w:vAlign w:val="center"/>
          </w:tcPr>
          <w:p>
            <w:pPr>
              <w:pStyle w:val="15"/>
            </w:pPr>
            <w:r>
              <w:t>134.73</w:t>
            </w:r>
          </w:p>
        </w:tc>
        <w:tc>
          <w:tcPr>
            <w:tcW w:w="1134" w:type="dxa"/>
            <w:vAlign w:val="center"/>
          </w:tcPr>
          <w:p>
            <w:pPr>
              <w:pStyle w:val="15"/>
            </w:pPr>
            <w:r>
              <w:t>134.73</w:t>
            </w:r>
          </w:p>
        </w:tc>
        <w:tc>
          <w:tcPr>
            <w:tcW w:w="1134" w:type="dxa"/>
            <w:vAlign w:val="center"/>
          </w:tcPr>
          <w:p>
            <w:pPr>
              <w:pStyle w:val="15"/>
            </w:pPr>
            <w:r>
              <w:t>134.73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2070105</w:t>
            </w:r>
          </w:p>
        </w:tc>
        <w:tc>
          <w:tcPr>
            <w:tcW w:w="1559" w:type="dxa"/>
            <w:vAlign w:val="center"/>
          </w:tcPr>
          <w:p>
            <w:pPr>
              <w:pStyle w:val="16"/>
            </w:pPr>
            <w:r>
              <w:t>文化展示及纪念机构</w:t>
            </w:r>
          </w:p>
        </w:tc>
        <w:tc>
          <w:tcPr>
            <w:tcW w:w="1134" w:type="dxa"/>
            <w:vAlign w:val="center"/>
          </w:tcPr>
          <w:p>
            <w:pPr>
              <w:pStyle w:val="15"/>
            </w:pPr>
            <w:r>
              <w:t>23.00</w:t>
            </w:r>
          </w:p>
        </w:tc>
        <w:tc>
          <w:tcPr>
            <w:tcW w:w="1134" w:type="dxa"/>
            <w:vAlign w:val="center"/>
          </w:tcPr>
          <w:p>
            <w:pPr>
              <w:pStyle w:val="15"/>
            </w:pPr>
            <w:r>
              <w:t>23.00</w:t>
            </w:r>
          </w:p>
        </w:tc>
        <w:tc>
          <w:tcPr>
            <w:tcW w:w="1134" w:type="dxa"/>
            <w:vAlign w:val="center"/>
          </w:tcPr>
          <w:p>
            <w:pPr>
              <w:pStyle w:val="15"/>
            </w:pPr>
            <w:r>
              <w:t>23.00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20702</w:t>
            </w:r>
          </w:p>
        </w:tc>
        <w:tc>
          <w:tcPr>
            <w:tcW w:w="1559" w:type="dxa"/>
            <w:vAlign w:val="center"/>
          </w:tcPr>
          <w:p>
            <w:pPr>
              <w:pStyle w:val="16"/>
            </w:pPr>
            <w:r>
              <w:t>文物</w:t>
            </w:r>
          </w:p>
        </w:tc>
        <w:tc>
          <w:tcPr>
            <w:tcW w:w="1134" w:type="dxa"/>
            <w:vAlign w:val="center"/>
          </w:tcPr>
          <w:p>
            <w:pPr>
              <w:pStyle w:val="15"/>
            </w:pPr>
            <w:r>
              <w:t>11.04</w:t>
            </w:r>
          </w:p>
        </w:tc>
        <w:tc>
          <w:tcPr>
            <w:tcW w:w="1134" w:type="dxa"/>
            <w:vAlign w:val="center"/>
          </w:tcPr>
          <w:p>
            <w:pPr>
              <w:pStyle w:val="15"/>
            </w:pPr>
            <w:r>
              <w:t>11.04</w:t>
            </w:r>
          </w:p>
        </w:tc>
        <w:tc>
          <w:tcPr>
            <w:tcW w:w="1134" w:type="dxa"/>
            <w:vAlign w:val="center"/>
          </w:tcPr>
          <w:p>
            <w:pPr>
              <w:pStyle w:val="15"/>
            </w:pPr>
            <w:r>
              <w:t>11.04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2070204</w:t>
            </w:r>
          </w:p>
        </w:tc>
        <w:tc>
          <w:tcPr>
            <w:tcW w:w="1559" w:type="dxa"/>
            <w:vAlign w:val="center"/>
          </w:tcPr>
          <w:p>
            <w:pPr>
              <w:pStyle w:val="16"/>
            </w:pPr>
            <w:r>
              <w:t>文物保护</w:t>
            </w:r>
          </w:p>
        </w:tc>
        <w:tc>
          <w:tcPr>
            <w:tcW w:w="1134" w:type="dxa"/>
            <w:vAlign w:val="center"/>
          </w:tcPr>
          <w:p>
            <w:pPr>
              <w:pStyle w:val="15"/>
            </w:pPr>
            <w:r>
              <w:t>11.04</w:t>
            </w:r>
          </w:p>
        </w:tc>
        <w:tc>
          <w:tcPr>
            <w:tcW w:w="1134" w:type="dxa"/>
            <w:vAlign w:val="center"/>
          </w:tcPr>
          <w:p>
            <w:pPr>
              <w:pStyle w:val="15"/>
            </w:pPr>
            <w:r>
              <w:t>11.04</w:t>
            </w:r>
          </w:p>
        </w:tc>
        <w:tc>
          <w:tcPr>
            <w:tcW w:w="1134" w:type="dxa"/>
            <w:vAlign w:val="center"/>
          </w:tcPr>
          <w:p>
            <w:pPr>
              <w:pStyle w:val="15"/>
            </w:pPr>
            <w:r>
              <w:t>11.04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20799</w:t>
            </w:r>
          </w:p>
        </w:tc>
        <w:tc>
          <w:tcPr>
            <w:tcW w:w="1559" w:type="dxa"/>
            <w:vAlign w:val="center"/>
          </w:tcPr>
          <w:p>
            <w:pPr>
              <w:pStyle w:val="16"/>
            </w:pPr>
            <w:r>
              <w:t>其他文化旅游体育与传媒支出</w:t>
            </w:r>
          </w:p>
        </w:tc>
        <w:tc>
          <w:tcPr>
            <w:tcW w:w="1134" w:type="dxa"/>
            <w:vAlign w:val="center"/>
          </w:tcPr>
          <w:p>
            <w:pPr>
              <w:pStyle w:val="15"/>
            </w:pPr>
            <w:r>
              <w:t>314.89</w:t>
            </w:r>
          </w:p>
        </w:tc>
        <w:tc>
          <w:tcPr>
            <w:tcW w:w="1134" w:type="dxa"/>
            <w:vAlign w:val="center"/>
          </w:tcPr>
          <w:p>
            <w:pPr>
              <w:pStyle w:val="15"/>
            </w:pPr>
            <w:r>
              <w:t>314.89</w:t>
            </w:r>
          </w:p>
        </w:tc>
        <w:tc>
          <w:tcPr>
            <w:tcW w:w="1134" w:type="dxa"/>
            <w:vAlign w:val="center"/>
          </w:tcPr>
          <w:p>
            <w:pPr>
              <w:pStyle w:val="15"/>
            </w:pPr>
            <w:r>
              <w:t>314.89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2079999</w:t>
            </w:r>
          </w:p>
        </w:tc>
        <w:tc>
          <w:tcPr>
            <w:tcW w:w="1559" w:type="dxa"/>
            <w:vAlign w:val="center"/>
          </w:tcPr>
          <w:p>
            <w:pPr>
              <w:pStyle w:val="16"/>
            </w:pPr>
            <w:r>
              <w:t>其他文化旅游体育与传媒支出</w:t>
            </w:r>
          </w:p>
        </w:tc>
        <w:tc>
          <w:tcPr>
            <w:tcW w:w="1134" w:type="dxa"/>
            <w:vAlign w:val="center"/>
          </w:tcPr>
          <w:p>
            <w:pPr>
              <w:pStyle w:val="15"/>
            </w:pPr>
            <w:r>
              <w:t>314.89</w:t>
            </w:r>
          </w:p>
        </w:tc>
        <w:tc>
          <w:tcPr>
            <w:tcW w:w="1134" w:type="dxa"/>
            <w:vAlign w:val="center"/>
          </w:tcPr>
          <w:p>
            <w:pPr>
              <w:pStyle w:val="15"/>
            </w:pPr>
            <w:r>
              <w:t>314.89</w:t>
            </w:r>
          </w:p>
        </w:tc>
        <w:tc>
          <w:tcPr>
            <w:tcW w:w="1134" w:type="dxa"/>
            <w:vAlign w:val="center"/>
          </w:tcPr>
          <w:p>
            <w:pPr>
              <w:pStyle w:val="15"/>
            </w:pPr>
            <w:r>
              <w:t>314.89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15.32</w:t>
            </w:r>
          </w:p>
        </w:tc>
        <w:tc>
          <w:tcPr>
            <w:tcW w:w="1134" w:type="dxa"/>
            <w:vAlign w:val="center"/>
          </w:tcPr>
          <w:p>
            <w:pPr>
              <w:pStyle w:val="15"/>
            </w:pPr>
            <w:r>
              <w:t>15.32</w:t>
            </w:r>
          </w:p>
        </w:tc>
        <w:tc>
          <w:tcPr>
            <w:tcW w:w="1134" w:type="dxa"/>
            <w:vAlign w:val="center"/>
          </w:tcPr>
          <w:p>
            <w:pPr>
              <w:pStyle w:val="15"/>
            </w:pPr>
            <w:r>
              <w:t>15.32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15.32</w:t>
            </w:r>
          </w:p>
        </w:tc>
        <w:tc>
          <w:tcPr>
            <w:tcW w:w="1134" w:type="dxa"/>
            <w:vAlign w:val="center"/>
          </w:tcPr>
          <w:p>
            <w:pPr>
              <w:pStyle w:val="15"/>
            </w:pPr>
            <w:r>
              <w:t>15.32</w:t>
            </w:r>
          </w:p>
        </w:tc>
        <w:tc>
          <w:tcPr>
            <w:tcW w:w="1134" w:type="dxa"/>
            <w:vAlign w:val="center"/>
          </w:tcPr>
          <w:p>
            <w:pPr>
              <w:pStyle w:val="15"/>
            </w:pPr>
            <w:r>
              <w:t>15.32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11.50</w:t>
            </w:r>
          </w:p>
        </w:tc>
        <w:tc>
          <w:tcPr>
            <w:tcW w:w="1134" w:type="dxa"/>
            <w:vAlign w:val="center"/>
          </w:tcPr>
          <w:p>
            <w:pPr>
              <w:pStyle w:val="15"/>
            </w:pPr>
            <w:r>
              <w:t>11.50</w:t>
            </w:r>
          </w:p>
        </w:tc>
        <w:tc>
          <w:tcPr>
            <w:tcW w:w="1134" w:type="dxa"/>
            <w:vAlign w:val="center"/>
          </w:tcPr>
          <w:p>
            <w:pPr>
              <w:pStyle w:val="15"/>
            </w:pPr>
            <w:r>
              <w:t>11.50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3.82</w:t>
            </w:r>
          </w:p>
        </w:tc>
        <w:tc>
          <w:tcPr>
            <w:tcW w:w="1134" w:type="dxa"/>
            <w:vAlign w:val="center"/>
          </w:tcPr>
          <w:p>
            <w:pPr>
              <w:pStyle w:val="15"/>
            </w:pPr>
            <w:r>
              <w:t>3.82</w:t>
            </w:r>
          </w:p>
        </w:tc>
        <w:tc>
          <w:tcPr>
            <w:tcW w:w="1134" w:type="dxa"/>
            <w:vAlign w:val="center"/>
          </w:tcPr>
          <w:p>
            <w:pPr>
              <w:pStyle w:val="15"/>
            </w:pPr>
            <w:r>
              <w:t>3.82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10.50</w:t>
            </w:r>
          </w:p>
        </w:tc>
        <w:tc>
          <w:tcPr>
            <w:tcW w:w="1134" w:type="dxa"/>
            <w:vAlign w:val="center"/>
          </w:tcPr>
          <w:p>
            <w:pPr>
              <w:pStyle w:val="15"/>
            </w:pPr>
            <w:r>
              <w:t>10.50</w:t>
            </w:r>
          </w:p>
        </w:tc>
        <w:tc>
          <w:tcPr>
            <w:tcW w:w="1134" w:type="dxa"/>
            <w:vAlign w:val="center"/>
          </w:tcPr>
          <w:p>
            <w:pPr>
              <w:pStyle w:val="15"/>
            </w:pPr>
            <w:r>
              <w:t>10.50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21012</w:t>
            </w:r>
          </w:p>
        </w:tc>
        <w:tc>
          <w:tcPr>
            <w:tcW w:w="1559" w:type="dxa"/>
            <w:vAlign w:val="center"/>
          </w:tcPr>
          <w:p>
            <w:pPr>
              <w:pStyle w:val="16"/>
            </w:pPr>
            <w:r>
              <w:t>财政对基本医疗保险基金的补助</w:t>
            </w:r>
          </w:p>
        </w:tc>
        <w:tc>
          <w:tcPr>
            <w:tcW w:w="1134" w:type="dxa"/>
            <w:vAlign w:val="center"/>
          </w:tcPr>
          <w:p>
            <w:pPr>
              <w:pStyle w:val="15"/>
            </w:pPr>
            <w:r>
              <w:t>10.50</w:t>
            </w:r>
          </w:p>
        </w:tc>
        <w:tc>
          <w:tcPr>
            <w:tcW w:w="1134" w:type="dxa"/>
            <w:vAlign w:val="center"/>
          </w:tcPr>
          <w:p>
            <w:pPr>
              <w:pStyle w:val="15"/>
            </w:pPr>
            <w:r>
              <w:t>10.50</w:t>
            </w:r>
          </w:p>
        </w:tc>
        <w:tc>
          <w:tcPr>
            <w:tcW w:w="1134" w:type="dxa"/>
            <w:vAlign w:val="center"/>
          </w:tcPr>
          <w:p>
            <w:pPr>
              <w:pStyle w:val="15"/>
            </w:pPr>
            <w:r>
              <w:t>10.50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2101201</w:t>
            </w:r>
          </w:p>
        </w:tc>
        <w:tc>
          <w:tcPr>
            <w:tcW w:w="1559" w:type="dxa"/>
            <w:vAlign w:val="center"/>
          </w:tcPr>
          <w:p>
            <w:pPr>
              <w:pStyle w:val="16"/>
            </w:pPr>
            <w:r>
              <w:t>财政对职工基本医疗保险基金的补助</w:t>
            </w:r>
          </w:p>
        </w:tc>
        <w:tc>
          <w:tcPr>
            <w:tcW w:w="1134" w:type="dxa"/>
            <w:vAlign w:val="center"/>
          </w:tcPr>
          <w:p>
            <w:pPr>
              <w:pStyle w:val="15"/>
            </w:pPr>
            <w:r>
              <w:t>10.50</w:t>
            </w:r>
          </w:p>
        </w:tc>
        <w:tc>
          <w:tcPr>
            <w:tcW w:w="1134" w:type="dxa"/>
            <w:vAlign w:val="center"/>
          </w:tcPr>
          <w:p>
            <w:pPr>
              <w:pStyle w:val="15"/>
            </w:pPr>
            <w:r>
              <w:t>10.50</w:t>
            </w:r>
          </w:p>
        </w:tc>
        <w:tc>
          <w:tcPr>
            <w:tcW w:w="1134" w:type="dxa"/>
            <w:vAlign w:val="center"/>
          </w:tcPr>
          <w:p>
            <w:pPr>
              <w:pStyle w:val="15"/>
            </w:pPr>
            <w:r>
              <w:t>10.50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17</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12.00</w:t>
            </w:r>
          </w:p>
        </w:tc>
        <w:tc>
          <w:tcPr>
            <w:tcW w:w="1134" w:type="dxa"/>
            <w:vAlign w:val="center"/>
          </w:tcPr>
          <w:p>
            <w:pPr>
              <w:pStyle w:val="15"/>
            </w:pPr>
            <w:r>
              <w:t>12.00</w:t>
            </w:r>
          </w:p>
        </w:tc>
        <w:tc>
          <w:tcPr>
            <w:tcW w:w="1134" w:type="dxa"/>
            <w:vAlign w:val="center"/>
          </w:tcPr>
          <w:p>
            <w:pPr>
              <w:pStyle w:val="15"/>
            </w:pPr>
            <w:r>
              <w:t>12.00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18</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12.00</w:t>
            </w:r>
          </w:p>
        </w:tc>
        <w:tc>
          <w:tcPr>
            <w:tcW w:w="1134" w:type="dxa"/>
            <w:vAlign w:val="center"/>
          </w:tcPr>
          <w:p>
            <w:pPr>
              <w:pStyle w:val="15"/>
            </w:pPr>
            <w:r>
              <w:t>12.00</w:t>
            </w:r>
          </w:p>
        </w:tc>
        <w:tc>
          <w:tcPr>
            <w:tcW w:w="1134" w:type="dxa"/>
            <w:vAlign w:val="center"/>
          </w:tcPr>
          <w:p>
            <w:pPr>
              <w:pStyle w:val="15"/>
            </w:pPr>
            <w:r>
              <w:t>12.00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19</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12.00</w:t>
            </w:r>
          </w:p>
        </w:tc>
        <w:tc>
          <w:tcPr>
            <w:tcW w:w="1134" w:type="dxa"/>
            <w:vAlign w:val="center"/>
          </w:tcPr>
          <w:p>
            <w:pPr>
              <w:pStyle w:val="15"/>
            </w:pPr>
            <w:r>
              <w:t>12.00</w:t>
            </w:r>
          </w:p>
        </w:tc>
        <w:tc>
          <w:tcPr>
            <w:tcW w:w="1134" w:type="dxa"/>
            <w:vAlign w:val="center"/>
          </w:tcPr>
          <w:p>
            <w:pPr>
              <w:pStyle w:val="15"/>
            </w:pPr>
            <w:r>
              <w:t>12.00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821001成安县文化广电和旅游局本级</w:t>
            </w:r>
          </w:p>
        </w:tc>
        <w:tc>
          <w:tcPr>
            <w:tcW w:w="2721"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pPr>
            <w:r>
              <w:t>521.48</w:t>
            </w:r>
          </w:p>
        </w:tc>
        <w:tc>
          <w:tcPr>
            <w:tcW w:w="1361" w:type="dxa"/>
            <w:vAlign w:val="center"/>
          </w:tcPr>
          <w:p>
            <w:pPr>
              <w:pStyle w:val="19"/>
            </w:pPr>
            <w:r>
              <w:t>172.55</w:t>
            </w:r>
          </w:p>
        </w:tc>
        <w:tc>
          <w:tcPr>
            <w:tcW w:w="1361" w:type="dxa"/>
            <w:vAlign w:val="center"/>
          </w:tcPr>
          <w:p>
            <w:pPr>
              <w:pStyle w:val="19"/>
            </w:pPr>
            <w:r>
              <w:t>348.93</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207</w:t>
            </w:r>
          </w:p>
        </w:tc>
        <w:tc>
          <w:tcPr>
            <w:tcW w:w="4535" w:type="dxa"/>
            <w:vAlign w:val="center"/>
          </w:tcPr>
          <w:p>
            <w:pPr>
              <w:pStyle w:val="16"/>
            </w:pPr>
            <w:r>
              <w:t>文化旅游体育与传媒支出</w:t>
            </w:r>
          </w:p>
        </w:tc>
        <w:tc>
          <w:tcPr>
            <w:tcW w:w="1361" w:type="dxa"/>
            <w:vAlign w:val="center"/>
          </w:tcPr>
          <w:p>
            <w:pPr>
              <w:pStyle w:val="15"/>
            </w:pPr>
            <w:r>
              <w:t>483.66</w:t>
            </w:r>
          </w:p>
        </w:tc>
        <w:tc>
          <w:tcPr>
            <w:tcW w:w="1361" w:type="dxa"/>
            <w:vAlign w:val="center"/>
          </w:tcPr>
          <w:p>
            <w:pPr>
              <w:pStyle w:val="15"/>
            </w:pPr>
            <w:r>
              <w:t>134.73</w:t>
            </w:r>
          </w:p>
        </w:tc>
        <w:tc>
          <w:tcPr>
            <w:tcW w:w="1361" w:type="dxa"/>
            <w:vAlign w:val="center"/>
          </w:tcPr>
          <w:p>
            <w:pPr>
              <w:pStyle w:val="15"/>
            </w:pPr>
            <w:r>
              <w:t>348.93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20701</w:t>
            </w:r>
          </w:p>
        </w:tc>
        <w:tc>
          <w:tcPr>
            <w:tcW w:w="4535" w:type="dxa"/>
            <w:vAlign w:val="center"/>
          </w:tcPr>
          <w:p>
            <w:pPr>
              <w:pStyle w:val="16"/>
            </w:pPr>
            <w:r>
              <w:t>文化和旅游</w:t>
            </w:r>
          </w:p>
        </w:tc>
        <w:tc>
          <w:tcPr>
            <w:tcW w:w="1361" w:type="dxa"/>
            <w:vAlign w:val="center"/>
          </w:tcPr>
          <w:p>
            <w:pPr>
              <w:pStyle w:val="15"/>
            </w:pPr>
            <w:r>
              <w:t>157.73</w:t>
            </w:r>
          </w:p>
        </w:tc>
        <w:tc>
          <w:tcPr>
            <w:tcW w:w="1361" w:type="dxa"/>
            <w:vAlign w:val="center"/>
          </w:tcPr>
          <w:p>
            <w:pPr>
              <w:pStyle w:val="15"/>
            </w:pPr>
            <w:r>
              <w:t>134.73</w:t>
            </w:r>
          </w:p>
        </w:tc>
        <w:tc>
          <w:tcPr>
            <w:tcW w:w="1361" w:type="dxa"/>
            <w:vAlign w:val="center"/>
          </w:tcPr>
          <w:p>
            <w:pPr>
              <w:pStyle w:val="15"/>
            </w:pPr>
            <w:r>
              <w:t>23.00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2070101</w:t>
            </w:r>
          </w:p>
        </w:tc>
        <w:tc>
          <w:tcPr>
            <w:tcW w:w="4535" w:type="dxa"/>
            <w:vAlign w:val="center"/>
          </w:tcPr>
          <w:p>
            <w:pPr>
              <w:pStyle w:val="16"/>
            </w:pPr>
            <w:r>
              <w:t>行政运行</w:t>
            </w:r>
          </w:p>
        </w:tc>
        <w:tc>
          <w:tcPr>
            <w:tcW w:w="1361" w:type="dxa"/>
            <w:vAlign w:val="center"/>
          </w:tcPr>
          <w:p>
            <w:pPr>
              <w:pStyle w:val="15"/>
            </w:pPr>
            <w:r>
              <w:t>134.73</w:t>
            </w:r>
          </w:p>
        </w:tc>
        <w:tc>
          <w:tcPr>
            <w:tcW w:w="1361" w:type="dxa"/>
            <w:vAlign w:val="center"/>
          </w:tcPr>
          <w:p>
            <w:pPr>
              <w:pStyle w:val="15"/>
            </w:pPr>
            <w:r>
              <w:t>134.73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2070105</w:t>
            </w:r>
          </w:p>
        </w:tc>
        <w:tc>
          <w:tcPr>
            <w:tcW w:w="4535" w:type="dxa"/>
            <w:vAlign w:val="center"/>
          </w:tcPr>
          <w:p>
            <w:pPr>
              <w:pStyle w:val="16"/>
            </w:pPr>
            <w:r>
              <w:t>文化展示及纪念机构</w:t>
            </w:r>
          </w:p>
        </w:tc>
        <w:tc>
          <w:tcPr>
            <w:tcW w:w="1361" w:type="dxa"/>
            <w:vAlign w:val="center"/>
          </w:tcPr>
          <w:p>
            <w:pPr>
              <w:pStyle w:val="15"/>
            </w:pPr>
            <w:r>
              <w:t>23.00</w:t>
            </w:r>
          </w:p>
        </w:tc>
        <w:tc>
          <w:tcPr>
            <w:tcW w:w="1361" w:type="dxa"/>
            <w:vAlign w:val="center"/>
          </w:tcPr>
          <w:p>
            <w:pPr>
              <w:pStyle w:val="15"/>
            </w:pPr>
          </w:p>
        </w:tc>
        <w:tc>
          <w:tcPr>
            <w:tcW w:w="1361" w:type="dxa"/>
            <w:vAlign w:val="center"/>
          </w:tcPr>
          <w:p>
            <w:pPr>
              <w:pStyle w:val="15"/>
            </w:pPr>
            <w:r>
              <w:t>23.00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20702</w:t>
            </w:r>
          </w:p>
        </w:tc>
        <w:tc>
          <w:tcPr>
            <w:tcW w:w="4535" w:type="dxa"/>
            <w:vAlign w:val="center"/>
          </w:tcPr>
          <w:p>
            <w:pPr>
              <w:pStyle w:val="16"/>
            </w:pPr>
            <w:r>
              <w:t>文物</w:t>
            </w:r>
          </w:p>
        </w:tc>
        <w:tc>
          <w:tcPr>
            <w:tcW w:w="1361" w:type="dxa"/>
            <w:vAlign w:val="center"/>
          </w:tcPr>
          <w:p>
            <w:pPr>
              <w:pStyle w:val="15"/>
            </w:pPr>
            <w:r>
              <w:t>11.04</w:t>
            </w:r>
          </w:p>
        </w:tc>
        <w:tc>
          <w:tcPr>
            <w:tcW w:w="1361" w:type="dxa"/>
            <w:vAlign w:val="center"/>
          </w:tcPr>
          <w:p>
            <w:pPr>
              <w:pStyle w:val="15"/>
            </w:pPr>
          </w:p>
        </w:tc>
        <w:tc>
          <w:tcPr>
            <w:tcW w:w="1361" w:type="dxa"/>
            <w:vAlign w:val="center"/>
          </w:tcPr>
          <w:p>
            <w:pPr>
              <w:pStyle w:val="15"/>
            </w:pPr>
            <w:r>
              <w:t>11.04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2070204</w:t>
            </w:r>
          </w:p>
        </w:tc>
        <w:tc>
          <w:tcPr>
            <w:tcW w:w="4535" w:type="dxa"/>
            <w:vAlign w:val="center"/>
          </w:tcPr>
          <w:p>
            <w:pPr>
              <w:pStyle w:val="16"/>
            </w:pPr>
            <w:r>
              <w:t>文物保护</w:t>
            </w:r>
          </w:p>
        </w:tc>
        <w:tc>
          <w:tcPr>
            <w:tcW w:w="1361" w:type="dxa"/>
            <w:vAlign w:val="center"/>
          </w:tcPr>
          <w:p>
            <w:pPr>
              <w:pStyle w:val="15"/>
            </w:pPr>
            <w:r>
              <w:t>11.04</w:t>
            </w:r>
          </w:p>
        </w:tc>
        <w:tc>
          <w:tcPr>
            <w:tcW w:w="1361" w:type="dxa"/>
            <w:vAlign w:val="center"/>
          </w:tcPr>
          <w:p>
            <w:pPr>
              <w:pStyle w:val="15"/>
            </w:pPr>
          </w:p>
        </w:tc>
        <w:tc>
          <w:tcPr>
            <w:tcW w:w="1361" w:type="dxa"/>
            <w:vAlign w:val="center"/>
          </w:tcPr>
          <w:p>
            <w:pPr>
              <w:pStyle w:val="15"/>
            </w:pPr>
            <w:r>
              <w:t>11.04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20799</w:t>
            </w:r>
          </w:p>
        </w:tc>
        <w:tc>
          <w:tcPr>
            <w:tcW w:w="4535" w:type="dxa"/>
            <w:vAlign w:val="center"/>
          </w:tcPr>
          <w:p>
            <w:pPr>
              <w:pStyle w:val="16"/>
            </w:pPr>
            <w:r>
              <w:t>其他文化旅游体育与传媒支出</w:t>
            </w:r>
          </w:p>
        </w:tc>
        <w:tc>
          <w:tcPr>
            <w:tcW w:w="1361" w:type="dxa"/>
            <w:vAlign w:val="center"/>
          </w:tcPr>
          <w:p>
            <w:pPr>
              <w:pStyle w:val="15"/>
            </w:pPr>
            <w:r>
              <w:t>314.89</w:t>
            </w:r>
          </w:p>
        </w:tc>
        <w:tc>
          <w:tcPr>
            <w:tcW w:w="1361" w:type="dxa"/>
            <w:vAlign w:val="center"/>
          </w:tcPr>
          <w:p>
            <w:pPr>
              <w:pStyle w:val="15"/>
            </w:pPr>
          </w:p>
        </w:tc>
        <w:tc>
          <w:tcPr>
            <w:tcW w:w="1361" w:type="dxa"/>
            <w:vAlign w:val="center"/>
          </w:tcPr>
          <w:p>
            <w:pPr>
              <w:pStyle w:val="15"/>
            </w:pPr>
            <w:r>
              <w:t>314.89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2079999</w:t>
            </w:r>
          </w:p>
        </w:tc>
        <w:tc>
          <w:tcPr>
            <w:tcW w:w="4535" w:type="dxa"/>
            <w:vAlign w:val="center"/>
          </w:tcPr>
          <w:p>
            <w:pPr>
              <w:pStyle w:val="16"/>
            </w:pPr>
            <w:r>
              <w:t>其他文化旅游体育与传媒支出</w:t>
            </w:r>
          </w:p>
        </w:tc>
        <w:tc>
          <w:tcPr>
            <w:tcW w:w="1361" w:type="dxa"/>
            <w:vAlign w:val="center"/>
          </w:tcPr>
          <w:p>
            <w:pPr>
              <w:pStyle w:val="15"/>
            </w:pPr>
            <w:r>
              <w:t>314.89</w:t>
            </w:r>
          </w:p>
        </w:tc>
        <w:tc>
          <w:tcPr>
            <w:tcW w:w="1361" w:type="dxa"/>
            <w:vAlign w:val="center"/>
          </w:tcPr>
          <w:p>
            <w:pPr>
              <w:pStyle w:val="15"/>
            </w:pPr>
          </w:p>
        </w:tc>
        <w:tc>
          <w:tcPr>
            <w:tcW w:w="1361" w:type="dxa"/>
            <w:vAlign w:val="center"/>
          </w:tcPr>
          <w:p>
            <w:pPr>
              <w:pStyle w:val="15"/>
            </w:pPr>
            <w:r>
              <w:t>314.89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208</w:t>
            </w:r>
          </w:p>
        </w:tc>
        <w:tc>
          <w:tcPr>
            <w:tcW w:w="4535" w:type="dxa"/>
            <w:vAlign w:val="center"/>
          </w:tcPr>
          <w:p>
            <w:pPr>
              <w:pStyle w:val="16"/>
            </w:pPr>
            <w:r>
              <w:t>社会保障和就业支出</w:t>
            </w:r>
          </w:p>
        </w:tc>
        <w:tc>
          <w:tcPr>
            <w:tcW w:w="1361" w:type="dxa"/>
            <w:vAlign w:val="center"/>
          </w:tcPr>
          <w:p>
            <w:pPr>
              <w:pStyle w:val="15"/>
            </w:pPr>
            <w:r>
              <w:t>15.32</w:t>
            </w:r>
          </w:p>
        </w:tc>
        <w:tc>
          <w:tcPr>
            <w:tcW w:w="1361" w:type="dxa"/>
            <w:vAlign w:val="center"/>
          </w:tcPr>
          <w:p>
            <w:pPr>
              <w:pStyle w:val="15"/>
            </w:pPr>
            <w:r>
              <w:t>15.32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20805</w:t>
            </w:r>
          </w:p>
        </w:tc>
        <w:tc>
          <w:tcPr>
            <w:tcW w:w="4535" w:type="dxa"/>
            <w:vAlign w:val="center"/>
          </w:tcPr>
          <w:p>
            <w:pPr>
              <w:pStyle w:val="16"/>
            </w:pPr>
            <w:r>
              <w:t>行政事业单位养老支出</w:t>
            </w:r>
          </w:p>
        </w:tc>
        <w:tc>
          <w:tcPr>
            <w:tcW w:w="1361" w:type="dxa"/>
            <w:vAlign w:val="center"/>
          </w:tcPr>
          <w:p>
            <w:pPr>
              <w:pStyle w:val="15"/>
            </w:pPr>
            <w:r>
              <w:t>15.32</w:t>
            </w:r>
          </w:p>
        </w:tc>
        <w:tc>
          <w:tcPr>
            <w:tcW w:w="1361" w:type="dxa"/>
            <w:vAlign w:val="center"/>
          </w:tcPr>
          <w:p>
            <w:pPr>
              <w:pStyle w:val="15"/>
            </w:pPr>
            <w:r>
              <w:t>15.32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2080505</w:t>
            </w:r>
          </w:p>
        </w:tc>
        <w:tc>
          <w:tcPr>
            <w:tcW w:w="4535" w:type="dxa"/>
            <w:vAlign w:val="center"/>
          </w:tcPr>
          <w:p>
            <w:pPr>
              <w:pStyle w:val="16"/>
            </w:pPr>
            <w:r>
              <w:t>机关事业单位基本养老保险缴费支出</w:t>
            </w:r>
          </w:p>
        </w:tc>
        <w:tc>
          <w:tcPr>
            <w:tcW w:w="1361" w:type="dxa"/>
            <w:vAlign w:val="center"/>
          </w:tcPr>
          <w:p>
            <w:pPr>
              <w:pStyle w:val="15"/>
            </w:pPr>
            <w:r>
              <w:t>11.50</w:t>
            </w:r>
          </w:p>
        </w:tc>
        <w:tc>
          <w:tcPr>
            <w:tcW w:w="1361" w:type="dxa"/>
            <w:vAlign w:val="center"/>
          </w:tcPr>
          <w:p>
            <w:pPr>
              <w:pStyle w:val="15"/>
            </w:pPr>
            <w:r>
              <w:t>11.50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2080506</w:t>
            </w:r>
          </w:p>
        </w:tc>
        <w:tc>
          <w:tcPr>
            <w:tcW w:w="4535" w:type="dxa"/>
            <w:vAlign w:val="center"/>
          </w:tcPr>
          <w:p>
            <w:pPr>
              <w:pStyle w:val="16"/>
            </w:pPr>
            <w:r>
              <w:t>机关事业单位职业年金缴费支出</w:t>
            </w:r>
          </w:p>
        </w:tc>
        <w:tc>
          <w:tcPr>
            <w:tcW w:w="1361" w:type="dxa"/>
            <w:vAlign w:val="center"/>
          </w:tcPr>
          <w:p>
            <w:pPr>
              <w:pStyle w:val="15"/>
            </w:pPr>
            <w:r>
              <w:t>3.82</w:t>
            </w:r>
          </w:p>
        </w:tc>
        <w:tc>
          <w:tcPr>
            <w:tcW w:w="1361" w:type="dxa"/>
            <w:vAlign w:val="center"/>
          </w:tcPr>
          <w:p>
            <w:pPr>
              <w:pStyle w:val="15"/>
            </w:pPr>
            <w:r>
              <w:t>3.82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210</w:t>
            </w:r>
          </w:p>
        </w:tc>
        <w:tc>
          <w:tcPr>
            <w:tcW w:w="4535" w:type="dxa"/>
            <w:vAlign w:val="center"/>
          </w:tcPr>
          <w:p>
            <w:pPr>
              <w:pStyle w:val="16"/>
            </w:pPr>
            <w:r>
              <w:t>卫生健康支出</w:t>
            </w:r>
          </w:p>
        </w:tc>
        <w:tc>
          <w:tcPr>
            <w:tcW w:w="1361" w:type="dxa"/>
            <w:vAlign w:val="center"/>
          </w:tcPr>
          <w:p>
            <w:pPr>
              <w:pStyle w:val="15"/>
            </w:pPr>
            <w:r>
              <w:t>10.50</w:t>
            </w:r>
          </w:p>
        </w:tc>
        <w:tc>
          <w:tcPr>
            <w:tcW w:w="1361" w:type="dxa"/>
            <w:vAlign w:val="center"/>
          </w:tcPr>
          <w:p>
            <w:pPr>
              <w:pStyle w:val="15"/>
            </w:pPr>
            <w:r>
              <w:t>10.50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21012</w:t>
            </w:r>
          </w:p>
        </w:tc>
        <w:tc>
          <w:tcPr>
            <w:tcW w:w="4535" w:type="dxa"/>
            <w:vAlign w:val="center"/>
          </w:tcPr>
          <w:p>
            <w:pPr>
              <w:pStyle w:val="16"/>
            </w:pPr>
            <w:r>
              <w:t>财政对基本医疗保险基金的补助</w:t>
            </w:r>
          </w:p>
        </w:tc>
        <w:tc>
          <w:tcPr>
            <w:tcW w:w="1361" w:type="dxa"/>
            <w:vAlign w:val="center"/>
          </w:tcPr>
          <w:p>
            <w:pPr>
              <w:pStyle w:val="15"/>
            </w:pPr>
            <w:r>
              <w:t>10.50</w:t>
            </w:r>
          </w:p>
        </w:tc>
        <w:tc>
          <w:tcPr>
            <w:tcW w:w="1361" w:type="dxa"/>
            <w:vAlign w:val="center"/>
          </w:tcPr>
          <w:p>
            <w:pPr>
              <w:pStyle w:val="15"/>
            </w:pPr>
            <w:r>
              <w:t>10.50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2101201</w:t>
            </w:r>
          </w:p>
        </w:tc>
        <w:tc>
          <w:tcPr>
            <w:tcW w:w="4535" w:type="dxa"/>
            <w:vAlign w:val="center"/>
          </w:tcPr>
          <w:p>
            <w:pPr>
              <w:pStyle w:val="16"/>
            </w:pPr>
            <w:r>
              <w:t>财政对职工基本医疗保险基金的补助</w:t>
            </w:r>
          </w:p>
        </w:tc>
        <w:tc>
          <w:tcPr>
            <w:tcW w:w="1361" w:type="dxa"/>
            <w:vAlign w:val="center"/>
          </w:tcPr>
          <w:p>
            <w:pPr>
              <w:pStyle w:val="15"/>
            </w:pPr>
            <w:r>
              <w:t>10.50</w:t>
            </w:r>
          </w:p>
        </w:tc>
        <w:tc>
          <w:tcPr>
            <w:tcW w:w="1361" w:type="dxa"/>
            <w:vAlign w:val="center"/>
          </w:tcPr>
          <w:p>
            <w:pPr>
              <w:pStyle w:val="15"/>
            </w:pPr>
            <w:r>
              <w:t>10.50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992" w:type="dxa"/>
            <w:vAlign w:val="center"/>
          </w:tcPr>
          <w:p>
            <w:pPr>
              <w:pStyle w:val="16"/>
            </w:pPr>
            <w:r>
              <w:t>221</w:t>
            </w:r>
          </w:p>
        </w:tc>
        <w:tc>
          <w:tcPr>
            <w:tcW w:w="4535" w:type="dxa"/>
            <w:vAlign w:val="center"/>
          </w:tcPr>
          <w:p>
            <w:pPr>
              <w:pStyle w:val="16"/>
            </w:pPr>
            <w:r>
              <w:t>住房保障支出</w:t>
            </w:r>
          </w:p>
        </w:tc>
        <w:tc>
          <w:tcPr>
            <w:tcW w:w="1361" w:type="dxa"/>
            <w:vAlign w:val="center"/>
          </w:tcPr>
          <w:p>
            <w:pPr>
              <w:pStyle w:val="15"/>
            </w:pPr>
            <w:r>
              <w:t>12.00</w:t>
            </w:r>
          </w:p>
        </w:tc>
        <w:tc>
          <w:tcPr>
            <w:tcW w:w="1361" w:type="dxa"/>
            <w:vAlign w:val="center"/>
          </w:tcPr>
          <w:p>
            <w:pPr>
              <w:pStyle w:val="15"/>
            </w:pPr>
            <w:r>
              <w:t>12.00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992" w:type="dxa"/>
            <w:vAlign w:val="center"/>
          </w:tcPr>
          <w:p>
            <w:pPr>
              <w:pStyle w:val="16"/>
            </w:pPr>
            <w:r>
              <w:t>22102</w:t>
            </w:r>
          </w:p>
        </w:tc>
        <w:tc>
          <w:tcPr>
            <w:tcW w:w="4535" w:type="dxa"/>
            <w:vAlign w:val="center"/>
          </w:tcPr>
          <w:p>
            <w:pPr>
              <w:pStyle w:val="16"/>
            </w:pPr>
            <w:r>
              <w:t>住房改革支出</w:t>
            </w:r>
          </w:p>
        </w:tc>
        <w:tc>
          <w:tcPr>
            <w:tcW w:w="1361" w:type="dxa"/>
            <w:vAlign w:val="center"/>
          </w:tcPr>
          <w:p>
            <w:pPr>
              <w:pStyle w:val="15"/>
            </w:pPr>
            <w:r>
              <w:t>12.00</w:t>
            </w:r>
          </w:p>
        </w:tc>
        <w:tc>
          <w:tcPr>
            <w:tcW w:w="1361" w:type="dxa"/>
            <w:vAlign w:val="center"/>
          </w:tcPr>
          <w:p>
            <w:pPr>
              <w:pStyle w:val="15"/>
            </w:pPr>
            <w:r>
              <w:t>12.00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992" w:type="dxa"/>
            <w:vAlign w:val="center"/>
          </w:tcPr>
          <w:p>
            <w:pPr>
              <w:pStyle w:val="16"/>
            </w:pPr>
            <w:r>
              <w:t>2210201</w:t>
            </w:r>
          </w:p>
        </w:tc>
        <w:tc>
          <w:tcPr>
            <w:tcW w:w="4535" w:type="dxa"/>
            <w:vAlign w:val="center"/>
          </w:tcPr>
          <w:p>
            <w:pPr>
              <w:pStyle w:val="16"/>
            </w:pPr>
            <w:r>
              <w:t>住房公积金</w:t>
            </w:r>
          </w:p>
        </w:tc>
        <w:tc>
          <w:tcPr>
            <w:tcW w:w="1361" w:type="dxa"/>
            <w:vAlign w:val="center"/>
          </w:tcPr>
          <w:p>
            <w:pPr>
              <w:pStyle w:val="15"/>
            </w:pPr>
            <w:r>
              <w:t>12.00</w:t>
            </w:r>
          </w:p>
        </w:tc>
        <w:tc>
          <w:tcPr>
            <w:tcW w:w="1361" w:type="dxa"/>
            <w:vAlign w:val="center"/>
          </w:tcPr>
          <w:p>
            <w:pPr>
              <w:pStyle w:val="15"/>
            </w:pPr>
            <w:r>
              <w:t>12.00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821001成安县文化广电和旅游局本级</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521.48</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r>
              <w:t>483.66</w:t>
            </w:r>
          </w:p>
        </w:tc>
        <w:tc>
          <w:tcPr>
            <w:tcW w:w="1474" w:type="dxa"/>
            <w:vAlign w:val="center"/>
          </w:tcPr>
          <w:p>
            <w:pPr>
              <w:pStyle w:val="15"/>
            </w:pPr>
            <w:r>
              <w:t>483.66</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15.32</w:t>
            </w:r>
          </w:p>
        </w:tc>
        <w:tc>
          <w:tcPr>
            <w:tcW w:w="1474" w:type="dxa"/>
            <w:vAlign w:val="center"/>
          </w:tcPr>
          <w:p>
            <w:pPr>
              <w:pStyle w:val="15"/>
            </w:pPr>
            <w:r>
              <w:t>15.32</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10.50</w:t>
            </w:r>
          </w:p>
        </w:tc>
        <w:tc>
          <w:tcPr>
            <w:tcW w:w="1474" w:type="dxa"/>
            <w:vAlign w:val="center"/>
          </w:tcPr>
          <w:p>
            <w:pPr>
              <w:pStyle w:val="15"/>
            </w:pPr>
            <w:r>
              <w:t>10.50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12.00</w:t>
            </w:r>
          </w:p>
        </w:tc>
        <w:tc>
          <w:tcPr>
            <w:tcW w:w="1474" w:type="dxa"/>
            <w:vAlign w:val="center"/>
          </w:tcPr>
          <w:p>
            <w:pPr>
              <w:pStyle w:val="15"/>
            </w:pPr>
            <w:r>
              <w:t>12.00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521.48</w:t>
            </w:r>
          </w:p>
        </w:tc>
        <w:tc>
          <w:tcPr>
            <w:tcW w:w="3402" w:type="dxa"/>
            <w:vAlign w:val="center"/>
          </w:tcPr>
          <w:p>
            <w:pPr>
              <w:pStyle w:val="18"/>
            </w:pPr>
            <w:r>
              <w:t>本年支出合计</w:t>
            </w:r>
          </w:p>
        </w:tc>
        <w:tc>
          <w:tcPr>
            <w:tcW w:w="1474" w:type="dxa"/>
            <w:vAlign w:val="center"/>
          </w:tcPr>
          <w:p>
            <w:pPr>
              <w:pStyle w:val="19"/>
            </w:pPr>
            <w:r>
              <w:t>521.48</w:t>
            </w:r>
          </w:p>
        </w:tc>
        <w:tc>
          <w:tcPr>
            <w:tcW w:w="1474" w:type="dxa"/>
            <w:vAlign w:val="center"/>
          </w:tcPr>
          <w:p>
            <w:pPr>
              <w:pStyle w:val="19"/>
            </w:pPr>
            <w:r>
              <w:t>521.48</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521.48</w:t>
            </w:r>
          </w:p>
        </w:tc>
        <w:tc>
          <w:tcPr>
            <w:tcW w:w="3402" w:type="dxa"/>
            <w:vAlign w:val="center"/>
          </w:tcPr>
          <w:p>
            <w:pPr>
              <w:pStyle w:val="18"/>
            </w:pPr>
            <w:r>
              <w:t>支出总计</w:t>
            </w:r>
          </w:p>
        </w:tc>
        <w:tc>
          <w:tcPr>
            <w:tcW w:w="1474" w:type="dxa"/>
            <w:vAlign w:val="center"/>
          </w:tcPr>
          <w:p>
            <w:pPr>
              <w:pStyle w:val="19"/>
            </w:pPr>
            <w:r>
              <w:t>521.48</w:t>
            </w:r>
          </w:p>
        </w:tc>
        <w:tc>
          <w:tcPr>
            <w:tcW w:w="1474" w:type="dxa"/>
            <w:vAlign w:val="center"/>
          </w:tcPr>
          <w:p>
            <w:pPr>
              <w:pStyle w:val="19"/>
            </w:pPr>
            <w:r>
              <w:t>521.48</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821001成安县文化广电和旅游局本级</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521.48</w:t>
            </w:r>
          </w:p>
        </w:tc>
        <w:tc>
          <w:tcPr>
            <w:tcW w:w="2551" w:type="dxa"/>
            <w:vAlign w:val="center"/>
          </w:tcPr>
          <w:p>
            <w:pPr>
              <w:pStyle w:val="19"/>
            </w:pPr>
            <w:r>
              <w:t>172.55</w:t>
            </w:r>
          </w:p>
        </w:tc>
        <w:tc>
          <w:tcPr>
            <w:tcW w:w="2551" w:type="dxa"/>
            <w:vAlign w:val="center"/>
          </w:tcPr>
          <w:p>
            <w:pPr>
              <w:pStyle w:val="19"/>
            </w:pPr>
            <w:r>
              <w:t>348.93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207</w:t>
            </w:r>
          </w:p>
        </w:tc>
        <w:tc>
          <w:tcPr>
            <w:tcW w:w="4535" w:type="dxa"/>
            <w:vAlign w:val="center"/>
          </w:tcPr>
          <w:p>
            <w:pPr>
              <w:pStyle w:val="16"/>
            </w:pPr>
            <w:r>
              <w:t>文化旅游体育与传媒支出</w:t>
            </w:r>
          </w:p>
        </w:tc>
        <w:tc>
          <w:tcPr>
            <w:tcW w:w="2551" w:type="dxa"/>
            <w:vAlign w:val="center"/>
          </w:tcPr>
          <w:p>
            <w:pPr>
              <w:pStyle w:val="15"/>
            </w:pPr>
            <w:r>
              <w:t>483.66</w:t>
            </w:r>
          </w:p>
        </w:tc>
        <w:tc>
          <w:tcPr>
            <w:tcW w:w="2551" w:type="dxa"/>
            <w:vAlign w:val="center"/>
          </w:tcPr>
          <w:p>
            <w:pPr>
              <w:pStyle w:val="15"/>
            </w:pPr>
            <w:r>
              <w:t>134.73</w:t>
            </w:r>
          </w:p>
        </w:tc>
        <w:tc>
          <w:tcPr>
            <w:tcW w:w="2551" w:type="dxa"/>
            <w:vAlign w:val="center"/>
          </w:tcPr>
          <w:p>
            <w:pPr>
              <w:pStyle w:val="15"/>
            </w:pPr>
            <w:r>
              <w:t>348.93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20701</w:t>
            </w:r>
          </w:p>
        </w:tc>
        <w:tc>
          <w:tcPr>
            <w:tcW w:w="4535" w:type="dxa"/>
            <w:vAlign w:val="center"/>
          </w:tcPr>
          <w:p>
            <w:pPr>
              <w:pStyle w:val="16"/>
            </w:pPr>
            <w:r>
              <w:t>文化和旅游</w:t>
            </w:r>
          </w:p>
        </w:tc>
        <w:tc>
          <w:tcPr>
            <w:tcW w:w="2551" w:type="dxa"/>
            <w:vAlign w:val="center"/>
          </w:tcPr>
          <w:p>
            <w:pPr>
              <w:pStyle w:val="15"/>
            </w:pPr>
            <w:r>
              <w:t>157.73</w:t>
            </w:r>
          </w:p>
        </w:tc>
        <w:tc>
          <w:tcPr>
            <w:tcW w:w="2551" w:type="dxa"/>
            <w:vAlign w:val="center"/>
          </w:tcPr>
          <w:p>
            <w:pPr>
              <w:pStyle w:val="15"/>
            </w:pPr>
            <w:r>
              <w:t>134.73</w:t>
            </w:r>
          </w:p>
        </w:tc>
        <w:tc>
          <w:tcPr>
            <w:tcW w:w="2551" w:type="dxa"/>
            <w:vAlign w:val="center"/>
          </w:tcPr>
          <w:p>
            <w:pPr>
              <w:pStyle w:val="15"/>
            </w:pPr>
            <w:r>
              <w:t>23.00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2070101</w:t>
            </w:r>
          </w:p>
        </w:tc>
        <w:tc>
          <w:tcPr>
            <w:tcW w:w="4535" w:type="dxa"/>
            <w:vAlign w:val="center"/>
          </w:tcPr>
          <w:p>
            <w:pPr>
              <w:pStyle w:val="16"/>
            </w:pPr>
            <w:r>
              <w:t>行政运行</w:t>
            </w:r>
          </w:p>
        </w:tc>
        <w:tc>
          <w:tcPr>
            <w:tcW w:w="2551" w:type="dxa"/>
            <w:vAlign w:val="center"/>
          </w:tcPr>
          <w:p>
            <w:pPr>
              <w:pStyle w:val="15"/>
            </w:pPr>
            <w:r>
              <w:t>134.73</w:t>
            </w:r>
          </w:p>
        </w:tc>
        <w:tc>
          <w:tcPr>
            <w:tcW w:w="2551" w:type="dxa"/>
            <w:vAlign w:val="center"/>
          </w:tcPr>
          <w:p>
            <w:pPr>
              <w:pStyle w:val="15"/>
            </w:pPr>
            <w:r>
              <w:t>134.73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2070105</w:t>
            </w:r>
          </w:p>
        </w:tc>
        <w:tc>
          <w:tcPr>
            <w:tcW w:w="4535" w:type="dxa"/>
            <w:vAlign w:val="center"/>
          </w:tcPr>
          <w:p>
            <w:pPr>
              <w:pStyle w:val="16"/>
            </w:pPr>
            <w:r>
              <w:t>文化展示及纪念机构</w:t>
            </w:r>
          </w:p>
        </w:tc>
        <w:tc>
          <w:tcPr>
            <w:tcW w:w="2551" w:type="dxa"/>
            <w:vAlign w:val="center"/>
          </w:tcPr>
          <w:p>
            <w:pPr>
              <w:pStyle w:val="15"/>
            </w:pPr>
            <w:r>
              <w:t>23.00</w:t>
            </w:r>
          </w:p>
        </w:tc>
        <w:tc>
          <w:tcPr>
            <w:tcW w:w="2551" w:type="dxa"/>
            <w:vAlign w:val="center"/>
          </w:tcPr>
          <w:p>
            <w:pPr>
              <w:pStyle w:val="15"/>
            </w:pPr>
          </w:p>
        </w:tc>
        <w:tc>
          <w:tcPr>
            <w:tcW w:w="2551" w:type="dxa"/>
            <w:vAlign w:val="center"/>
          </w:tcPr>
          <w:p>
            <w:pPr>
              <w:pStyle w:val="15"/>
            </w:pPr>
            <w:r>
              <w:t>23.00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20702</w:t>
            </w:r>
          </w:p>
        </w:tc>
        <w:tc>
          <w:tcPr>
            <w:tcW w:w="4535" w:type="dxa"/>
            <w:vAlign w:val="center"/>
          </w:tcPr>
          <w:p>
            <w:pPr>
              <w:pStyle w:val="16"/>
            </w:pPr>
            <w:r>
              <w:t>文物</w:t>
            </w:r>
          </w:p>
        </w:tc>
        <w:tc>
          <w:tcPr>
            <w:tcW w:w="2551" w:type="dxa"/>
            <w:vAlign w:val="center"/>
          </w:tcPr>
          <w:p>
            <w:pPr>
              <w:pStyle w:val="15"/>
            </w:pPr>
            <w:r>
              <w:t>11.04</w:t>
            </w:r>
          </w:p>
        </w:tc>
        <w:tc>
          <w:tcPr>
            <w:tcW w:w="2551" w:type="dxa"/>
            <w:vAlign w:val="center"/>
          </w:tcPr>
          <w:p>
            <w:pPr>
              <w:pStyle w:val="15"/>
            </w:pPr>
          </w:p>
        </w:tc>
        <w:tc>
          <w:tcPr>
            <w:tcW w:w="2551" w:type="dxa"/>
            <w:vAlign w:val="center"/>
          </w:tcPr>
          <w:p>
            <w:pPr>
              <w:pStyle w:val="15"/>
            </w:pPr>
            <w:r>
              <w:t>11.04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2070204</w:t>
            </w:r>
          </w:p>
        </w:tc>
        <w:tc>
          <w:tcPr>
            <w:tcW w:w="4535" w:type="dxa"/>
            <w:vAlign w:val="center"/>
          </w:tcPr>
          <w:p>
            <w:pPr>
              <w:pStyle w:val="16"/>
            </w:pPr>
            <w:r>
              <w:t>文物保护</w:t>
            </w:r>
          </w:p>
        </w:tc>
        <w:tc>
          <w:tcPr>
            <w:tcW w:w="2551" w:type="dxa"/>
            <w:vAlign w:val="center"/>
          </w:tcPr>
          <w:p>
            <w:pPr>
              <w:pStyle w:val="15"/>
            </w:pPr>
            <w:r>
              <w:t>11.04</w:t>
            </w:r>
          </w:p>
        </w:tc>
        <w:tc>
          <w:tcPr>
            <w:tcW w:w="2551" w:type="dxa"/>
            <w:vAlign w:val="center"/>
          </w:tcPr>
          <w:p>
            <w:pPr>
              <w:pStyle w:val="15"/>
            </w:pPr>
          </w:p>
        </w:tc>
        <w:tc>
          <w:tcPr>
            <w:tcW w:w="2551" w:type="dxa"/>
            <w:vAlign w:val="center"/>
          </w:tcPr>
          <w:p>
            <w:pPr>
              <w:pStyle w:val="15"/>
            </w:pPr>
            <w:r>
              <w:t>11.04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20799</w:t>
            </w:r>
          </w:p>
        </w:tc>
        <w:tc>
          <w:tcPr>
            <w:tcW w:w="4535" w:type="dxa"/>
            <w:vAlign w:val="center"/>
          </w:tcPr>
          <w:p>
            <w:pPr>
              <w:pStyle w:val="16"/>
            </w:pPr>
            <w:r>
              <w:t>其他文化旅游体育与传媒支出</w:t>
            </w:r>
          </w:p>
        </w:tc>
        <w:tc>
          <w:tcPr>
            <w:tcW w:w="2551" w:type="dxa"/>
            <w:vAlign w:val="center"/>
          </w:tcPr>
          <w:p>
            <w:pPr>
              <w:pStyle w:val="15"/>
            </w:pPr>
            <w:r>
              <w:t>314.89</w:t>
            </w:r>
          </w:p>
        </w:tc>
        <w:tc>
          <w:tcPr>
            <w:tcW w:w="2551" w:type="dxa"/>
            <w:vAlign w:val="center"/>
          </w:tcPr>
          <w:p>
            <w:pPr>
              <w:pStyle w:val="15"/>
            </w:pPr>
          </w:p>
        </w:tc>
        <w:tc>
          <w:tcPr>
            <w:tcW w:w="2551" w:type="dxa"/>
            <w:vAlign w:val="center"/>
          </w:tcPr>
          <w:p>
            <w:pPr>
              <w:pStyle w:val="15"/>
            </w:pPr>
            <w:r>
              <w:t>314.89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2079999</w:t>
            </w:r>
          </w:p>
        </w:tc>
        <w:tc>
          <w:tcPr>
            <w:tcW w:w="4535" w:type="dxa"/>
            <w:vAlign w:val="center"/>
          </w:tcPr>
          <w:p>
            <w:pPr>
              <w:pStyle w:val="16"/>
            </w:pPr>
            <w:r>
              <w:t>其他文化旅游体育与传媒支出</w:t>
            </w:r>
          </w:p>
        </w:tc>
        <w:tc>
          <w:tcPr>
            <w:tcW w:w="2551" w:type="dxa"/>
            <w:vAlign w:val="center"/>
          </w:tcPr>
          <w:p>
            <w:pPr>
              <w:pStyle w:val="15"/>
            </w:pPr>
            <w:r>
              <w:t>314.89</w:t>
            </w:r>
          </w:p>
        </w:tc>
        <w:tc>
          <w:tcPr>
            <w:tcW w:w="2551" w:type="dxa"/>
            <w:vAlign w:val="center"/>
          </w:tcPr>
          <w:p>
            <w:pPr>
              <w:pStyle w:val="15"/>
            </w:pPr>
          </w:p>
        </w:tc>
        <w:tc>
          <w:tcPr>
            <w:tcW w:w="2551" w:type="dxa"/>
            <w:vAlign w:val="center"/>
          </w:tcPr>
          <w:p>
            <w:pPr>
              <w:pStyle w:val="15"/>
            </w:pPr>
            <w:r>
              <w:t>314.89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15.32</w:t>
            </w:r>
          </w:p>
        </w:tc>
        <w:tc>
          <w:tcPr>
            <w:tcW w:w="2551" w:type="dxa"/>
            <w:vAlign w:val="center"/>
          </w:tcPr>
          <w:p>
            <w:pPr>
              <w:pStyle w:val="15"/>
            </w:pPr>
            <w:r>
              <w:t>15.32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15.32</w:t>
            </w:r>
          </w:p>
        </w:tc>
        <w:tc>
          <w:tcPr>
            <w:tcW w:w="2551" w:type="dxa"/>
            <w:vAlign w:val="center"/>
          </w:tcPr>
          <w:p>
            <w:pPr>
              <w:pStyle w:val="15"/>
            </w:pPr>
            <w:r>
              <w:t>15.32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11.50</w:t>
            </w:r>
          </w:p>
        </w:tc>
        <w:tc>
          <w:tcPr>
            <w:tcW w:w="2551" w:type="dxa"/>
            <w:vAlign w:val="center"/>
          </w:tcPr>
          <w:p>
            <w:pPr>
              <w:pStyle w:val="15"/>
            </w:pPr>
            <w:r>
              <w:t>11.50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3.82</w:t>
            </w:r>
          </w:p>
        </w:tc>
        <w:tc>
          <w:tcPr>
            <w:tcW w:w="2551" w:type="dxa"/>
            <w:vAlign w:val="center"/>
          </w:tcPr>
          <w:p>
            <w:pPr>
              <w:pStyle w:val="15"/>
            </w:pPr>
            <w:r>
              <w:t>3.82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10.50</w:t>
            </w:r>
          </w:p>
        </w:tc>
        <w:tc>
          <w:tcPr>
            <w:tcW w:w="2551" w:type="dxa"/>
            <w:vAlign w:val="center"/>
          </w:tcPr>
          <w:p>
            <w:pPr>
              <w:pStyle w:val="15"/>
            </w:pPr>
            <w:r>
              <w:t>10.50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21012</w:t>
            </w:r>
          </w:p>
        </w:tc>
        <w:tc>
          <w:tcPr>
            <w:tcW w:w="4535" w:type="dxa"/>
            <w:vAlign w:val="center"/>
          </w:tcPr>
          <w:p>
            <w:pPr>
              <w:pStyle w:val="16"/>
            </w:pPr>
            <w:r>
              <w:t>财政对基本医疗保险基金的补助</w:t>
            </w:r>
          </w:p>
        </w:tc>
        <w:tc>
          <w:tcPr>
            <w:tcW w:w="2551" w:type="dxa"/>
            <w:vAlign w:val="center"/>
          </w:tcPr>
          <w:p>
            <w:pPr>
              <w:pStyle w:val="15"/>
            </w:pPr>
            <w:r>
              <w:t>10.50</w:t>
            </w:r>
          </w:p>
        </w:tc>
        <w:tc>
          <w:tcPr>
            <w:tcW w:w="2551" w:type="dxa"/>
            <w:vAlign w:val="center"/>
          </w:tcPr>
          <w:p>
            <w:pPr>
              <w:pStyle w:val="15"/>
            </w:pPr>
            <w:r>
              <w:t>10.50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2101201</w:t>
            </w:r>
          </w:p>
        </w:tc>
        <w:tc>
          <w:tcPr>
            <w:tcW w:w="4535" w:type="dxa"/>
            <w:vAlign w:val="center"/>
          </w:tcPr>
          <w:p>
            <w:pPr>
              <w:pStyle w:val="16"/>
            </w:pPr>
            <w:r>
              <w:t>财政对职工基本医疗保险基金的补助</w:t>
            </w:r>
          </w:p>
        </w:tc>
        <w:tc>
          <w:tcPr>
            <w:tcW w:w="2551" w:type="dxa"/>
            <w:vAlign w:val="center"/>
          </w:tcPr>
          <w:p>
            <w:pPr>
              <w:pStyle w:val="15"/>
            </w:pPr>
            <w:r>
              <w:t>10.50</w:t>
            </w:r>
          </w:p>
        </w:tc>
        <w:tc>
          <w:tcPr>
            <w:tcW w:w="2551" w:type="dxa"/>
            <w:vAlign w:val="center"/>
          </w:tcPr>
          <w:p>
            <w:pPr>
              <w:pStyle w:val="15"/>
            </w:pPr>
            <w:r>
              <w:t>10.50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12.00</w:t>
            </w:r>
          </w:p>
        </w:tc>
        <w:tc>
          <w:tcPr>
            <w:tcW w:w="2551" w:type="dxa"/>
            <w:vAlign w:val="center"/>
          </w:tcPr>
          <w:p>
            <w:pPr>
              <w:pStyle w:val="15"/>
            </w:pPr>
            <w:r>
              <w:t>12.00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12.00</w:t>
            </w:r>
          </w:p>
        </w:tc>
        <w:tc>
          <w:tcPr>
            <w:tcW w:w="2551" w:type="dxa"/>
            <w:vAlign w:val="center"/>
          </w:tcPr>
          <w:p>
            <w:pPr>
              <w:pStyle w:val="15"/>
            </w:pPr>
            <w:r>
              <w:t>12.00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12.00</w:t>
            </w:r>
          </w:p>
        </w:tc>
        <w:tc>
          <w:tcPr>
            <w:tcW w:w="2551" w:type="dxa"/>
            <w:vAlign w:val="center"/>
          </w:tcPr>
          <w:p>
            <w:pPr>
              <w:pStyle w:val="15"/>
            </w:pPr>
            <w:r>
              <w:t>12.00</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821001成安县文化广电和旅游局本级</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172.55</w:t>
            </w:r>
          </w:p>
        </w:tc>
        <w:tc>
          <w:tcPr>
            <w:tcW w:w="2551" w:type="dxa"/>
            <w:vAlign w:val="center"/>
          </w:tcPr>
          <w:p>
            <w:pPr>
              <w:pStyle w:val="19"/>
            </w:pPr>
            <w:r>
              <w:t>154.97</w:t>
            </w:r>
          </w:p>
        </w:tc>
        <w:tc>
          <w:tcPr>
            <w:tcW w:w="2551" w:type="dxa"/>
            <w:vAlign w:val="center"/>
          </w:tcPr>
          <w:p>
            <w:pPr>
              <w:pStyle w:val="19"/>
            </w:pPr>
            <w:r>
              <w:t>17.58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154.97</w:t>
            </w:r>
          </w:p>
        </w:tc>
        <w:tc>
          <w:tcPr>
            <w:tcW w:w="2551" w:type="dxa"/>
            <w:vAlign w:val="center"/>
          </w:tcPr>
          <w:p>
            <w:pPr>
              <w:pStyle w:val="15"/>
            </w:pPr>
            <w:r>
              <w:t>154.97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92.75</w:t>
            </w:r>
          </w:p>
        </w:tc>
        <w:tc>
          <w:tcPr>
            <w:tcW w:w="2551" w:type="dxa"/>
            <w:vAlign w:val="center"/>
          </w:tcPr>
          <w:p>
            <w:pPr>
              <w:pStyle w:val="15"/>
            </w:pPr>
            <w:r>
              <w:t>92.75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14.15</w:t>
            </w:r>
          </w:p>
        </w:tc>
        <w:tc>
          <w:tcPr>
            <w:tcW w:w="2551" w:type="dxa"/>
            <w:vAlign w:val="center"/>
          </w:tcPr>
          <w:p>
            <w:pPr>
              <w:pStyle w:val="15"/>
            </w:pPr>
            <w:r>
              <w:t>14.15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2.50</w:t>
            </w:r>
          </w:p>
        </w:tc>
        <w:tc>
          <w:tcPr>
            <w:tcW w:w="2551" w:type="dxa"/>
            <w:vAlign w:val="center"/>
          </w:tcPr>
          <w:p>
            <w:pPr>
              <w:pStyle w:val="15"/>
            </w:pPr>
            <w:r>
              <w:t>2.50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7.20</w:t>
            </w:r>
          </w:p>
        </w:tc>
        <w:tc>
          <w:tcPr>
            <w:tcW w:w="2551" w:type="dxa"/>
            <w:vAlign w:val="center"/>
          </w:tcPr>
          <w:p>
            <w:pPr>
              <w:pStyle w:val="15"/>
            </w:pPr>
            <w:r>
              <w:t>7.20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11.50</w:t>
            </w:r>
          </w:p>
        </w:tc>
        <w:tc>
          <w:tcPr>
            <w:tcW w:w="2551" w:type="dxa"/>
            <w:vAlign w:val="center"/>
          </w:tcPr>
          <w:p>
            <w:pPr>
              <w:pStyle w:val="15"/>
            </w:pPr>
            <w:r>
              <w:t>11.50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3.82</w:t>
            </w:r>
          </w:p>
        </w:tc>
        <w:tc>
          <w:tcPr>
            <w:tcW w:w="2551" w:type="dxa"/>
            <w:vAlign w:val="center"/>
          </w:tcPr>
          <w:p>
            <w:pPr>
              <w:pStyle w:val="15"/>
            </w:pPr>
            <w:r>
              <w:t>3.82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30110</w:t>
            </w:r>
          </w:p>
        </w:tc>
        <w:tc>
          <w:tcPr>
            <w:tcW w:w="4535" w:type="dxa"/>
            <w:vAlign w:val="center"/>
          </w:tcPr>
          <w:p>
            <w:pPr>
              <w:pStyle w:val="16"/>
            </w:pPr>
            <w:r>
              <w:t>城镇职工基本医疗保险缴费</w:t>
            </w:r>
          </w:p>
        </w:tc>
        <w:tc>
          <w:tcPr>
            <w:tcW w:w="2551" w:type="dxa"/>
            <w:vAlign w:val="center"/>
          </w:tcPr>
          <w:p>
            <w:pPr>
              <w:pStyle w:val="15"/>
            </w:pPr>
            <w:r>
              <w:t>10.50</w:t>
            </w:r>
          </w:p>
        </w:tc>
        <w:tc>
          <w:tcPr>
            <w:tcW w:w="2551" w:type="dxa"/>
            <w:vAlign w:val="center"/>
          </w:tcPr>
          <w:p>
            <w:pPr>
              <w:pStyle w:val="15"/>
            </w:pPr>
            <w:r>
              <w:t>10.50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0.55</w:t>
            </w:r>
          </w:p>
        </w:tc>
        <w:tc>
          <w:tcPr>
            <w:tcW w:w="2551" w:type="dxa"/>
            <w:vAlign w:val="center"/>
          </w:tcPr>
          <w:p>
            <w:pPr>
              <w:pStyle w:val="15"/>
            </w:pPr>
            <w:r>
              <w:t>0.55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12.00</w:t>
            </w:r>
          </w:p>
        </w:tc>
        <w:tc>
          <w:tcPr>
            <w:tcW w:w="2551" w:type="dxa"/>
            <w:vAlign w:val="center"/>
          </w:tcPr>
          <w:p>
            <w:pPr>
              <w:pStyle w:val="15"/>
            </w:pPr>
            <w:r>
              <w:t>12.00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17.58</w:t>
            </w:r>
          </w:p>
        </w:tc>
        <w:tc>
          <w:tcPr>
            <w:tcW w:w="2551" w:type="dxa"/>
            <w:vAlign w:val="center"/>
          </w:tcPr>
          <w:p>
            <w:pPr>
              <w:pStyle w:val="15"/>
            </w:pPr>
          </w:p>
        </w:tc>
        <w:tc>
          <w:tcPr>
            <w:tcW w:w="2551" w:type="dxa"/>
            <w:vAlign w:val="center"/>
          </w:tcPr>
          <w:p>
            <w:pPr>
              <w:pStyle w:val="15"/>
            </w:pPr>
            <w:r>
              <w:t>17.58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5.00</w:t>
            </w:r>
          </w:p>
        </w:tc>
        <w:tc>
          <w:tcPr>
            <w:tcW w:w="2551" w:type="dxa"/>
            <w:vAlign w:val="center"/>
          </w:tcPr>
          <w:p>
            <w:pPr>
              <w:pStyle w:val="15"/>
            </w:pPr>
          </w:p>
        </w:tc>
        <w:tc>
          <w:tcPr>
            <w:tcW w:w="2551"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30202</w:t>
            </w:r>
          </w:p>
        </w:tc>
        <w:tc>
          <w:tcPr>
            <w:tcW w:w="4535" w:type="dxa"/>
            <w:vAlign w:val="center"/>
          </w:tcPr>
          <w:p>
            <w:pPr>
              <w:pStyle w:val="16"/>
            </w:pPr>
            <w:r>
              <w:t>印刷费</w:t>
            </w:r>
          </w:p>
        </w:tc>
        <w:tc>
          <w:tcPr>
            <w:tcW w:w="2551" w:type="dxa"/>
            <w:vAlign w:val="center"/>
          </w:tcPr>
          <w:p>
            <w:pPr>
              <w:pStyle w:val="15"/>
            </w:pPr>
            <w:r>
              <w:t>3.00</w:t>
            </w:r>
          </w:p>
        </w:tc>
        <w:tc>
          <w:tcPr>
            <w:tcW w:w="2551" w:type="dxa"/>
            <w:vAlign w:val="center"/>
          </w:tcPr>
          <w:p>
            <w:pPr>
              <w:pStyle w:val="15"/>
            </w:pPr>
          </w:p>
        </w:tc>
        <w:tc>
          <w:tcPr>
            <w:tcW w:w="2551"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1.50</w:t>
            </w:r>
          </w:p>
        </w:tc>
        <w:tc>
          <w:tcPr>
            <w:tcW w:w="2551" w:type="dxa"/>
            <w:vAlign w:val="center"/>
          </w:tcPr>
          <w:p>
            <w:pPr>
              <w:pStyle w:val="15"/>
            </w:pPr>
          </w:p>
        </w:tc>
        <w:tc>
          <w:tcPr>
            <w:tcW w:w="2551" w:type="dxa"/>
            <w:vAlign w:val="center"/>
          </w:tcPr>
          <w:p>
            <w:pPr>
              <w:pStyle w:val="15"/>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30231</w:t>
            </w:r>
          </w:p>
        </w:tc>
        <w:tc>
          <w:tcPr>
            <w:tcW w:w="4535" w:type="dxa"/>
            <w:vAlign w:val="center"/>
          </w:tcPr>
          <w:p>
            <w:pPr>
              <w:pStyle w:val="16"/>
            </w:pPr>
            <w:r>
              <w:t>公务用车运行维护费</w:t>
            </w:r>
          </w:p>
        </w:tc>
        <w:tc>
          <w:tcPr>
            <w:tcW w:w="2551" w:type="dxa"/>
            <w:vAlign w:val="center"/>
          </w:tcPr>
          <w:p>
            <w:pPr>
              <w:pStyle w:val="15"/>
            </w:pPr>
            <w:r>
              <w:t>1.00</w:t>
            </w:r>
          </w:p>
        </w:tc>
        <w:tc>
          <w:tcPr>
            <w:tcW w:w="2551" w:type="dxa"/>
            <w:vAlign w:val="center"/>
          </w:tcPr>
          <w:p>
            <w:pPr>
              <w:pStyle w:val="15"/>
            </w:pPr>
          </w:p>
        </w:tc>
        <w:tc>
          <w:tcPr>
            <w:tcW w:w="2551"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30239</w:t>
            </w:r>
          </w:p>
        </w:tc>
        <w:tc>
          <w:tcPr>
            <w:tcW w:w="4535" w:type="dxa"/>
            <w:vAlign w:val="center"/>
          </w:tcPr>
          <w:p>
            <w:pPr>
              <w:pStyle w:val="16"/>
            </w:pPr>
            <w:r>
              <w:t>其他交通费用</w:t>
            </w:r>
          </w:p>
        </w:tc>
        <w:tc>
          <w:tcPr>
            <w:tcW w:w="2551" w:type="dxa"/>
            <w:vAlign w:val="center"/>
          </w:tcPr>
          <w:p>
            <w:pPr>
              <w:pStyle w:val="15"/>
            </w:pPr>
            <w:r>
              <w:t>5.58</w:t>
            </w:r>
          </w:p>
        </w:tc>
        <w:tc>
          <w:tcPr>
            <w:tcW w:w="2551" w:type="dxa"/>
            <w:vAlign w:val="center"/>
          </w:tcPr>
          <w:p>
            <w:pPr>
              <w:pStyle w:val="15"/>
            </w:pPr>
          </w:p>
        </w:tc>
        <w:tc>
          <w:tcPr>
            <w:tcW w:w="2551" w:type="dxa"/>
            <w:vAlign w:val="center"/>
          </w:tcPr>
          <w:p>
            <w:pPr>
              <w:pStyle w:val="15"/>
            </w:pPr>
            <w:r>
              <w:t>5.58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1.50</w:t>
            </w:r>
          </w:p>
        </w:tc>
        <w:tc>
          <w:tcPr>
            <w:tcW w:w="2551" w:type="dxa"/>
            <w:vAlign w:val="center"/>
          </w:tcPr>
          <w:p>
            <w:pPr>
              <w:pStyle w:val="15"/>
            </w:pPr>
          </w:p>
        </w:tc>
        <w:tc>
          <w:tcPr>
            <w:tcW w:w="2551" w:type="dxa"/>
            <w:vAlign w:val="center"/>
          </w:tcPr>
          <w:p>
            <w:pPr>
              <w:pStyle w:val="15"/>
            </w:pPr>
            <w:r>
              <w:t>1.50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821001成安县文化广电和旅游局本级</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821001成安县文化广电和旅游局本级</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3"/>
            </w:pPr>
            <w:r>
              <w:t>821001成安县文化广电和旅游局本级</w:t>
            </w:r>
          </w:p>
        </w:tc>
        <w:tc>
          <w:tcPr>
            <w:tcW w:w="1643" w:type="dxa"/>
            <w:tcBorders>
              <w:top w:val="single" w:color="FFFFFF" w:sz="6" w:space="0"/>
              <w:left w:val="single" w:color="FFFFFF" w:sz="6" w:space="0"/>
              <w:right w:val="single" w:color="FFFFFF" w:sz="6" w:space="0"/>
            </w:tcBorders>
            <w:vAlign w:val="center"/>
          </w:tcPr>
          <w:p>
            <w:pPr>
              <w:pStyle w:val="12"/>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4"/>
            </w:pPr>
            <w:r>
              <w:t>序号</w:t>
            </w:r>
          </w:p>
        </w:tc>
        <w:tc>
          <w:tcPr>
            <w:tcW w:w="1643" w:type="dxa"/>
            <w:vMerge w:val="restart"/>
            <w:vAlign w:val="center"/>
          </w:tcPr>
          <w:p>
            <w:pPr>
              <w:pStyle w:val="14"/>
            </w:pPr>
            <w:r>
              <w:t>项  目</w:t>
            </w:r>
          </w:p>
        </w:tc>
        <w:tc>
          <w:tcPr>
            <w:tcW w:w="6572"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4"/>
            </w:pPr>
            <w:r>
              <w:t>合计</w:t>
            </w:r>
          </w:p>
        </w:tc>
        <w:tc>
          <w:tcPr>
            <w:tcW w:w="1643" w:type="dxa"/>
            <w:vAlign w:val="center"/>
          </w:tcPr>
          <w:p>
            <w:pPr>
              <w:pStyle w:val="14"/>
            </w:pPr>
            <w:r>
              <w:t>一般公共预算              财政拨款</w:t>
            </w:r>
          </w:p>
        </w:tc>
        <w:tc>
          <w:tcPr>
            <w:tcW w:w="1643" w:type="dxa"/>
            <w:vAlign w:val="center"/>
          </w:tcPr>
          <w:p>
            <w:pPr>
              <w:pStyle w:val="14"/>
            </w:pPr>
            <w:r>
              <w:t>政府性基金                  预算拨款</w:t>
            </w:r>
          </w:p>
        </w:tc>
        <w:tc>
          <w:tcPr>
            <w:tcW w:w="1643"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14"/>
            </w:pPr>
            <w:r>
              <w:t>栏次</w:t>
            </w:r>
          </w:p>
        </w:tc>
        <w:tc>
          <w:tcPr>
            <w:tcW w:w="1643" w:type="dxa"/>
            <w:vAlign w:val="center"/>
          </w:tcPr>
          <w:p>
            <w:pPr>
              <w:pStyle w:val="14"/>
            </w:pPr>
            <w:r>
              <w:t>1</w:t>
            </w:r>
          </w:p>
        </w:tc>
        <w:tc>
          <w:tcPr>
            <w:tcW w:w="1643" w:type="dxa"/>
            <w:vAlign w:val="center"/>
          </w:tcPr>
          <w:p>
            <w:pPr>
              <w:pStyle w:val="14"/>
            </w:pPr>
            <w:r>
              <w:t>2</w:t>
            </w:r>
          </w:p>
        </w:tc>
        <w:tc>
          <w:tcPr>
            <w:tcW w:w="1643" w:type="dxa"/>
            <w:vAlign w:val="center"/>
          </w:tcPr>
          <w:p>
            <w:pPr>
              <w:pStyle w:val="14"/>
            </w:pPr>
            <w:r>
              <w:t>3</w:t>
            </w:r>
          </w:p>
        </w:tc>
        <w:tc>
          <w:tcPr>
            <w:tcW w:w="1643"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7"/>
            </w:pPr>
            <w:r>
              <w:t>1</w:t>
            </w:r>
          </w:p>
        </w:tc>
        <w:tc>
          <w:tcPr>
            <w:tcW w:w="1643" w:type="dxa"/>
            <w:vAlign w:val="center"/>
          </w:tcPr>
          <w:p>
            <w:pPr>
              <w:pStyle w:val="18"/>
            </w:pPr>
            <w:r>
              <w:t>合计</w:t>
            </w:r>
          </w:p>
        </w:tc>
        <w:tc>
          <w:tcPr>
            <w:tcW w:w="1643" w:type="dxa"/>
            <w:vAlign w:val="center"/>
          </w:tcPr>
          <w:p>
            <w:pPr>
              <w:pStyle w:val="19"/>
              <w:rPr>
                <w:rFonts w:hint="default" w:eastAsia="方正书宋_GBK"/>
                <w:lang w:val="en-US" w:eastAsia="zh-CN"/>
              </w:rPr>
            </w:pPr>
            <w:r>
              <w:rPr>
                <w:rFonts w:hint="eastAsia"/>
                <w:lang w:val="en-US" w:eastAsia="zh-CN"/>
              </w:rPr>
              <w:t>1.00</w:t>
            </w:r>
          </w:p>
        </w:tc>
        <w:tc>
          <w:tcPr>
            <w:tcW w:w="1643" w:type="dxa"/>
            <w:vAlign w:val="center"/>
          </w:tcPr>
          <w:p>
            <w:pPr>
              <w:pStyle w:val="19"/>
              <w:ind w:firstLine="0" w:firstLineChars="0"/>
              <w:rPr>
                <w:rFonts w:hint="default" w:ascii="方正书宋_GBK" w:hAnsi="方正书宋_GBK" w:eastAsia="方正书宋_GBK" w:cs="方正书宋_GBK"/>
                <w:b/>
                <w:sz w:val="21"/>
                <w:szCs w:val="24"/>
                <w:lang w:val="en-US" w:eastAsia="zh-CN" w:bidi="ar-SA"/>
              </w:rPr>
            </w:pPr>
            <w:r>
              <w:rPr>
                <w:rFonts w:hint="eastAsia"/>
                <w:lang w:val="en-US" w:eastAsia="zh-CN"/>
              </w:rPr>
              <w:t>1.00</w:t>
            </w:r>
          </w:p>
        </w:tc>
        <w:tc>
          <w:tcPr>
            <w:tcW w:w="1643" w:type="dxa"/>
            <w:vAlign w:val="center"/>
          </w:tcPr>
          <w:p>
            <w:pPr>
              <w:pStyle w:val="19"/>
            </w:pPr>
          </w:p>
        </w:tc>
        <w:tc>
          <w:tcPr>
            <w:tcW w:w="16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7"/>
            </w:pPr>
            <w:r>
              <w:t>2</w:t>
            </w:r>
          </w:p>
        </w:tc>
        <w:tc>
          <w:tcPr>
            <w:tcW w:w="1643" w:type="dxa"/>
            <w:vAlign w:val="center"/>
          </w:tcPr>
          <w:p>
            <w:pPr>
              <w:pStyle w:val="16"/>
            </w:pPr>
            <w:r>
              <w:t>“三公”经费小计</w:t>
            </w:r>
          </w:p>
        </w:tc>
        <w:tc>
          <w:tcPr>
            <w:tcW w:w="1643" w:type="dxa"/>
            <w:vAlign w:val="center"/>
          </w:tcPr>
          <w:p>
            <w:pPr>
              <w:pStyle w:val="15"/>
              <w:rPr>
                <w:rFonts w:hint="default" w:eastAsia="方正书宋_GBK"/>
                <w:lang w:val="en-US" w:eastAsia="zh-CN"/>
              </w:rPr>
            </w:pPr>
            <w:r>
              <w:rPr>
                <w:rFonts w:hint="eastAsia"/>
                <w:lang w:val="en-US" w:eastAsia="zh-CN"/>
              </w:rPr>
              <w:t>1.00</w:t>
            </w:r>
          </w:p>
        </w:tc>
        <w:tc>
          <w:tcPr>
            <w:tcW w:w="1643" w:type="dxa"/>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1.00</w:t>
            </w: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7"/>
            </w:pPr>
            <w:r>
              <w:t>3</w:t>
            </w:r>
          </w:p>
        </w:tc>
        <w:tc>
          <w:tcPr>
            <w:tcW w:w="1643" w:type="dxa"/>
            <w:vAlign w:val="center"/>
          </w:tcPr>
          <w:p>
            <w:pPr>
              <w:pStyle w:val="16"/>
            </w:pPr>
            <w:r>
              <w:t>一、因公出国（境）费</w:t>
            </w: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7"/>
            </w:pPr>
            <w:r>
              <w:t>4</w:t>
            </w:r>
          </w:p>
        </w:tc>
        <w:tc>
          <w:tcPr>
            <w:tcW w:w="1643" w:type="dxa"/>
            <w:vAlign w:val="center"/>
          </w:tcPr>
          <w:p>
            <w:pPr>
              <w:pStyle w:val="16"/>
            </w:pPr>
            <w:r>
              <w:t xml:space="preserve">    其中：教学科研人员因公出国（境）费</w:t>
            </w: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7"/>
            </w:pPr>
            <w:r>
              <w:t>5</w:t>
            </w:r>
          </w:p>
        </w:tc>
        <w:tc>
          <w:tcPr>
            <w:tcW w:w="1643" w:type="dxa"/>
            <w:vAlign w:val="center"/>
          </w:tcPr>
          <w:p>
            <w:pPr>
              <w:pStyle w:val="16"/>
            </w:pPr>
            <w:r>
              <w:t xml:space="preserve">          其他因公出国（境）费</w:t>
            </w: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7"/>
            </w:pPr>
            <w:r>
              <w:t>6</w:t>
            </w:r>
          </w:p>
        </w:tc>
        <w:tc>
          <w:tcPr>
            <w:tcW w:w="1643" w:type="dxa"/>
            <w:vAlign w:val="center"/>
          </w:tcPr>
          <w:p>
            <w:pPr>
              <w:pStyle w:val="16"/>
            </w:pPr>
            <w:r>
              <w:t>二、公务用车购置及运维费</w:t>
            </w: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7"/>
            </w:pPr>
            <w:r>
              <w:t>7</w:t>
            </w:r>
          </w:p>
        </w:tc>
        <w:tc>
          <w:tcPr>
            <w:tcW w:w="1643" w:type="dxa"/>
            <w:vAlign w:val="center"/>
          </w:tcPr>
          <w:p>
            <w:pPr>
              <w:pStyle w:val="16"/>
            </w:pPr>
            <w:r>
              <w:t xml:space="preserve">    其中：公务用车购置费</w:t>
            </w: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7"/>
            </w:pPr>
            <w:r>
              <w:t>8</w:t>
            </w:r>
          </w:p>
        </w:tc>
        <w:tc>
          <w:tcPr>
            <w:tcW w:w="1643" w:type="dxa"/>
            <w:vAlign w:val="center"/>
          </w:tcPr>
          <w:p>
            <w:pPr>
              <w:pStyle w:val="16"/>
            </w:pPr>
            <w:r>
              <w:t xml:space="preserve">          公务用车运行维护费</w:t>
            </w:r>
          </w:p>
        </w:tc>
        <w:tc>
          <w:tcPr>
            <w:tcW w:w="1643" w:type="dxa"/>
            <w:vAlign w:val="center"/>
          </w:tcPr>
          <w:p>
            <w:pPr>
              <w:pStyle w:val="15"/>
            </w:pPr>
            <w:r>
              <w:t>1.00</w:t>
            </w:r>
          </w:p>
        </w:tc>
        <w:tc>
          <w:tcPr>
            <w:tcW w:w="1643" w:type="dxa"/>
            <w:vAlign w:val="center"/>
          </w:tcPr>
          <w:p>
            <w:pPr>
              <w:pStyle w:val="15"/>
            </w:pPr>
            <w:r>
              <w:t>1.00</w:t>
            </w: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7"/>
            </w:pPr>
            <w:r>
              <w:t>9</w:t>
            </w:r>
          </w:p>
        </w:tc>
        <w:tc>
          <w:tcPr>
            <w:tcW w:w="1643" w:type="dxa"/>
            <w:vAlign w:val="center"/>
          </w:tcPr>
          <w:p>
            <w:pPr>
              <w:pStyle w:val="16"/>
            </w:pPr>
            <w:r>
              <w:t>三、公务接待费</w:t>
            </w: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7"/>
            </w:pPr>
            <w:r>
              <w:t>10</w:t>
            </w:r>
          </w:p>
        </w:tc>
        <w:tc>
          <w:tcPr>
            <w:tcW w:w="1643" w:type="dxa"/>
            <w:vAlign w:val="center"/>
          </w:tcPr>
          <w:p>
            <w:pPr>
              <w:pStyle w:val="16"/>
            </w:pPr>
            <w:r>
              <w:t>四、会议费</w:t>
            </w: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7"/>
            </w:pPr>
            <w:r>
              <w:t>11</w:t>
            </w:r>
          </w:p>
        </w:tc>
        <w:tc>
          <w:tcPr>
            <w:tcW w:w="1643" w:type="dxa"/>
            <w:vAlign w:val="center"/>
          </w:tcPr>
          <w:p>
            <w:pPr>
              <w:pStyle w:val="16"/>
            </w:pPr>
            <w:r>
              <w:t>五、培训费</w:t>
            </w: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r>
    </w:tbl>
    <w:p>
      <w:pPr>
        <w:sectPr>
          <w:pgSz w:w="16840" w:h="11900" w:orient="landscape"/>
          <w:pgMar w:top="1361" w:right="1020" w:bottom="1361" w:left="1020" w:header="720" w:footer="720" w:gutter="0"/>
          <w:cols w:space="720" w:num="1"/>
        </w:sectPr>
      </w:pPr>
    </w:p>
    <w:p>
      <w:pPr>
        <w:keepNext w:val="0"/>
        <w:keepLines w:val="0"/>
        <w:pageBreakBefore w:val="0"/>
        <w:widowControl/>
        <w:kinsoku/>
        <w:wordWrap/>
        <w:overflowPunct/>
        <w:topLinePunct w:val="0"/>
        <w:autoSpaceDE/>
        <w:autoSpaceDN/>
        <w:bidi w:val="0"/>
        <w:adjustRightInd/>
        <w:snapToGrid/>
        <w:spacing w:line="560" w:lineRule="exact"/>
        <w:ind w:firstLine="0"/>
        <w:jc w:val="center"/>
        <w:textAlignment w:val="auto"/>
        <w:outlineLvl w:val="4"/>
      </w:pPr>
      <w:r>
        <w:rPr>
          <w:rFonts w:ascii="方正小标宋_GBK" w:hAnsi="方正小标宋_GBK" w:eastAsia="方正小标宋_GBK" w:cs="方正小标宋_GBK"/>
          <w:b w:val="0"/>
          <w:color w:val="000000"/>
          <w:sz w:val="44"/>
        </w:rPr>
        <w:t>成安县文化广电和旅游局本级2022年单位预算信息公开情况说明</w:t>
      </w:r>
    </w:p>
    <w:p>
      <w:pPr>
        <w:keepNext w:val="0"/>
        <w:keepLines w:val="0"/>
        <w:pageBreakBefore w:val="0"/>
        <w:widowControl/>
        <w:kinsoku/>
        <w:wordWrap/>
        <w:overflowPunct/>
        <w:topLinePunct w:val="0"/>
        <w:autoSpaceDE/>
        <w:autoSpaceDN/>
        <w:bidi w:val="0"/>
        <w:adjustRightInd/>
        <w:snapToGrid/>
        <w:spacing w:line="560" w:lineRule="exact"/>
        <w:ind w:firstLine="560"/>
        <w:jc w:val="left"/>
        <w:textAlignment w:val="auto"/>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按照《预算法》、《地方预决算公开操作规程》和《关于进一步推进预算公开工作的实施意见》规定，现将成安县文化广电和旅游局本级2022年单位预算公开如下：</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outlineLvl w:val="5"/>
      </w:pPr>
      <w:r>
        <w:rPr>
          <w:rFonts w:ascii="黑体" w:hAnsi="黑体" w:eastAsia="黑体" w:cs="黑体"/>
          <w:color w:val="000000"/>
          <w:sz w:val="32"/>
        </w:rPr>
        <w:t>一、单位职责及机构设置情况</w:t>
      </w:r>
    </w:p>
    <w:p>
      <w:pPr>
        <w:keepNext w:val="0"/>
        <w:keepLines w:val="0"/>
        <w:pageBreakBefore w:val="0"/>
        <w:widowControl/>
        <w:kinsoku/>
        <w:wordWrap/>
        <w:overflowPunct/>
        <w:topLinePunct w:val="0"/>
        <w:autoSpaceDE/>
        <w:autoSpaceDN/>
        <w:bidi w:val="0"/>
        <w:adjustRightInd/>
        <w:snapToGrid/>
        <w:spacing w:line="560" w:lineRule="exact"/>
        <w:ind w:firstLine="642" w:firstLineChars="200"/>
        <w:textAlignment w:val="auto"/>
        <w:rPr>
          <w:rFonts w:ascii="Times New Roman" w:hAnsi="Times New Roman" w:eastAsia="方正仿宋_GBK" w:cs="Times New Roman"/>
          <w:b w:val="0"/>
          <w:color w:val="000000"/>
          <w:sz w:val="28"/>
        </w:rPr>
      </w:pPr>
      <w:r>
        <w:rPr>
          <w:rFonts w:ascii="方正楷体_GBK" w:hAnsi="方正楷体_GBK" w:eastAsia="方正楷体_GBK" w:cs="方正楷体_GBK"/>
          <w:b/>
          <w:color w:val="000000"/>
          <w:sz w:val="32"/>
        </w:rPr>
        <w:t>单位职责：</w:t>
      </w:r>
      <w:r>
        <w:rPr>
          <w:rFonts w:hint="eastAsia" w:ascii="Times New Roman" w:hAnsi="Times New Roman" w:eastAsia="方正仿宋_GBK" w:cs="Times New Roman"/>
          <w:b w:val="0"/>
          <w:color w:val="000000"/>
          <w:sz w:val="28"/>
        </w:rPr>
        <w:t>贯彻落实党中央、省委、市委和县委关于文化、创作、广播电视、网络视听节目和旅游工作的方针政策和决策部署，坚持和加强党对文化、广播电视、网络视听节目和旅游工作的集中统一领导。主要职责是：</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（一）贯彻执行党和国家文化、广播电视、网络视听节目和旅游工作方针政策和法律法规。研究拟订全县文化、广播电视和旅游办法措施。</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（二）拟订全县文化事业、文化产业、广播电视领域和旅游业发展规划并组织实施，推进文化、广播电视和旅游融合发展，推进文化、广播电视和旅游体制机制改革。</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三）管理和组织全县性重大文化和旅游活动，组织实施全县广播电视公共服务重大公益工程和公益活动。监管全县重点文化和旅游设施建设，组织成安文化和旅游整体形象推广，促进对外合作和国际市场推广；组织推进全域旅游。</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（四）管理全县文艺事业。指导艺术创作生产，扶持体现社会主义核心价值观、具有导向性代表性示范性的文艺作品，推动全县各门类艺术、各艺术品种发展。指导全县电视剧行业发展和电视剧创作生产。</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（五）负责全县文化、广播电视和旅游事业发展。推动全县文化、广播电视和旅游公共服务体系建设，深入实施文化惠民工程，统筹推进全县文化、广播电视和旅游服务标准化、均等化。</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六）推进全县文化、广播电视和旅游科技创新发展，推进文化和旅游行业信息化、标准化建设；负责对广播电视节目传输覆盖、监听、监看、监测的监管，指导、监管全县广播电视广告播放；推进全县应急广播体系建设，监管协调调度全县广播电视安全播出。</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（七）负责对广播电视机构进行业务指导和监管，会同有关部门对全县网络视听节目服务机构进行管理，推进广播电视与新媒体新技术新业态融合发展，推进广电网与电信网、互联网三网融合。</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（八）负责全县非物质文化遗产保护，推动非物质文化遗产的保护、传承、普及、弘扬和振兴。</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（九）统筹规划全县文化产业、广播电视产业和旅游产业。组织实施文化和旅游资源普查、挖掘、保护和开发利用工作，促进文化产业、广播电视产业和旅游产业发展。</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（十）指导全县文化、广播电视和旅游市场发展。对文化、广播电视和旅游市场经营进行行业监管，推进全县文化、广播电视和旅游行业信用体系建设，依法规范文化、广播电视和旅游市场。</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（十一）监督全县文化、文物、出版、广播电视、电影、旅游等市场综合执法。督查督办大案要案，维护市场秩序。</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（十二）组织协调文化遗产的管理和保护，指导和管理文物事业，组织指导文物的保护抢救、考古发掘和开发利用工作。</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（十三）承担全县文化、广播电视和旅游行业安全综合协调和监督管理工作，负责全县文化、广播电视和旅游行业突发应急事件的处理工作。</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（十四）完成县委、县政府交办的其他任务。</w:t>
      </w:r>
    </w:p>
    <w:p>
      <w:pPr>
        <w:pStyle w:val="29"/>
        <w:keepNext w:val="0"/>
        <w:keepLines w:val="0"/>
        <w:pageBreakBefore w:val="0"/>
        <w:widowControl/>
        <w:kinsoku/>
        <w:wordWrap/>
        <w:overflowPunct/>
        <w:topLinePunct w:val="0"/>
        <w:autoSpaceDE/>
        <w:autoSpaceDN/>
        <w:bidi w:val="0"/>
        <w:adjustRightInd/>
        <w:snapToGrid/>
        <w:spacing w:before="0" w:after="0" w:line="560" w:lineRule="exact"/>
        <w:ind w:left="0" w:leftChars="0" w:firstLine="0" w:firstLineChars="0"/>
        <w:textAlignment w:val="auto"/>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成安县文化广电和旅游局本级</w:t>
            </w:r>
          </w:p>
        </w:tc>
        <w:tc>
          <w:tcPr>
            <w:tcW w:w="1843" w:type="dxa"/>
            <w:vAlign w:val="center"/>
          </w:tcPr>
          <w:p>
            <w:pPr>
              <w:pStyle w:val="17"/>
            </w:pPr>
            <w:r>
              <w:t>行政</w:t>
            </w:r>
          </w:p>
        </w:tc>
        <w:tc>
          <w:tcPr>
            <w:tcW w:w="2126" w:type="dxa"/>
            <w:vAlign w:val="center"/>
          </w:tcPr>
          <w:p>
            <w:pPr>
              <w:pStyle w:val="17"/>
            </w:pPr>
            <w:r>
              <w:t>正科级</w:t>
            </w:r>
          </w:p>
        </w:tc>
        <w:tc>
          <w:tcPr>
            <w:tcW w:w="3827" w:type="dxa"/>
            <w:vAlign w:val="center"/>
          </w:tcPr>
          <w:p>
            <w:pPr>
              <w:pStyle w:val="17"/>
            </w:pPr>
            <w:r>
              <w:t>财政拨款</w:t>
            </w:r>
          </w:p>
        </w:tc>
      </w:tr>
    </w:tbl>
    <w:p>
      <w:pPr>
        <w:keepNext w:val="0"/>
        <w:keepLines w:val="0"/>
        <w:pageBreakBefore w:val="0"/>
        <w:widowControl/>
        <w:kinsoku/>
        <w:wordWrap/>
        <w:overflowPunct/>
        <w:topLinePunct w:val="0"/>
        <w:bidi w:val="0"/>
        <w:snapToGrid/>
        <w:spacing w:line="560" w:lineRule="exact"/>
        <w:ind w:firstLine="640"/>
        <w:jc w:val="left"/>
        <w:textAlignment w:val="auto"/>
        <w:outlineLvl w:val="5"/>
        <w:rPr>
          <w:rFonts w:ascii="黑体" w:hAnsi="黑体" w:eastAsia="黑体" w:cs="黑体"/>
          <w:color w:val="000000"/>
          <w:sz w:val="32"/>
        </w:rPr>
      </w:pPr>
    </w:p>
    <w:p>
      <w:pPr>
        <w:keepNext w:val="0"/>
        <w:keepLines w:val="0"/>
        <w:pageBreakBefore w:val="0"/>
        <w:widowControl/>
        <w:kinsoku/>
        <w:wordWrap/>
        <w:overflowPunct/>
        <w:topLinePunct w:val="0"/>
        <w:bidi w:val="0"/>
        <w:snapToGrid/>
        <w:spacing w:line="560" w:lineRule="exact"/>
        <w:ind w:firstLine="640"/>
        <w:jc w:val="left"/>
        <w:textAlignment w:val="auto"/>
        <w:outlineLvl w:val="5"/>
      </w:pPr>
      <w:r>
        <w:rPr>
          <w:rFonts w:ascii="黑体" w:hAnsi="黑体" w:eastAsia="黑体" w:cs="黑体"/>
          <w:color w:val="000000"/>
          <w:sz w:val="32"/>
        </w:rPr>
        <w:t>二、单位预算安排的总体情况</w:t>
      </w:r>
    </w:p>
    <w:p>
      <w:pPr>
        <w:keepNext w:val="0"/>
        <w:keepLines w:val="0"/>
        <w:pageBreakBefore w:val="0"/>
        <w:widowControl/>
        <w:kinsoku/>
        <w:wordWrap/>
        <w:overflowPunct/>
        <w:topLinePunct w:val="0"/>
        <w:bidi w:val="0"/>
        <w:snapToGrid/>
        <w:spacing w:line="560" w:lineRule="exact"/>
        <w:ind w:firstLine="640"/>
        <w:textAlignment w:val="auto"/>
        <w:rPr>
          <w:rFonts w:ascii="楷体" w:hAnsi="楷体" w:eastAsia="楷体" w:cs="楷体"/>
          <w:b/>
          <w:bCs/>
          <w:sz w:val="32"/>
          <w:szCs w:val="32"/>
        </w:rPr>
      </w:pPr>
      <w:r>
        <w:rPr>
          <w:rFonts w:ascii="楷体" w:hAnsi="楷体" w:eastAsia="楷体" w:cs="楷体"/>
          <w:b/>
          <w:bCs/>
          <w:sz w:val="32"/>
          <w:szCs w:val="32"/>
        </w:rPr>
        <w:t>1</w:t>
      </w:r>
      <w:r>
        <w:rPr>
          <w:rFonts w:hint="eastAsia" w:ascii="楷体" w:hAnsi="楷体" w:eastAsia="楷体" w:cs="楷体"/>
          <w:b/>
          <w:bCs/>
          <w:sz w:val="32"/>
          <w:szCs w:val="32"/>
        </w:rPr>
        <w:t>、收入说明</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lang w:eastAsia="zh-CN"/>
        </w:rPr>
        <w:t>2022</w:t>
      </w:r>
      <w:r>
        <w:rPr>
          <w:rFonts w:hint="eastAsia" w:ascii="Times New Roman" w:hAnsi="Times New Roman" w:eastAsia="方正仿宋_GBK" w:cs="Times New Roman"/>
          <w:b w:val="0"/>
          <w:color w:val="000000"/>
          <w:sz w:val="28"/>
        </w:rPr>
        <w:t>年预算收入</w:t>
      </w:r>
      <w:r>
        <w:rPr>
          <w:rFonts w:hint="eastAsia" w:ascii="Times New Roman" w:hAnsi="Times New Roman" w:eastAsia="方正仿宋_GBK" w:cs="Times New Roman"/>
          <w:b w:val="0"/>
          <w:color w:val="000000"/>
          <w:sz w:val="28"/>
          <w:lang w:val="en-US" w:eastAsia="zh-CN"/>
        </w:rPr>
        <w:t>709.34</w:t>
      </w:r>
      <w:r>
        <w:rPr>
          <w:rFonts w:hint="eastAsia" w:ascii="Times New Roman" w:hAnsi="Times New Roman" w:eastAsia="方正仿宋_GBK" w:cs="Times New Roman"/>
          <w:b w:val="0"/>
          <w:color w:val="000000"/>
          <w:sz w:val="28"/>
        </w:rPr>
        <w:t>万元，其中：一般公共预算收入</w:t>
      </w:r>
      <w:r>
        <w:rPr>
          <w:rFonts w:hint="eastAsia" w:ascii="Times New Roman" w:hAnsi="Times New Roman" w:eastAsia="方正仿宋_GBK" w:cs="Times New Roman"/>
          <w:b w:val="0"/>
          <w:color w:val="000000"/>
          <w:sz w:val="28"/>
          <w:lang w:val="en-US" w:eastAsia="zh-CN"/>
        </w:rPr>
        <w:t>709.34</w:t>
      </w:r>
      <w:r>
        <w:rPr>
          <w:rFonts w:hint="eastAsia" w:ascii="Times New Roman" w:hAnsi="Times New Roman" w:eastAsia="方正仿宋_GBK" w:cs="Times New Roman"/>
          <w:b w:val="0"/>
          <w:color w:val="000000"/>
          <w:sz w:val="28"/>
        </w:rPr>
        <w:t>万元，政府性基金收入0万元，国有资本经营收入0万元，事业收入0万元，其他收入0万元。</w:t>
      </w:r>
    </w:p>
    <w:p>
      <w:pPr>
        <w:keepNext w:val="0"/>
        <w:keepLines w:val="0"/>
        <w:pageBreakBefore w:val="0"/>
        <w:widowControl/>
        <w:kinsoku/>
        <w:wordWrap/>
        <w:overflowPunct/>
        <w:topLinePunct w:val="0"/>
        <w:bidi w:val="0"/>
        <w:snapToGrid/>
        <w:spacing w:line="560" w:lineRule="exact"/>
        <w:ind w:firstLine="640"/>
        <w:textAlignment w:val="auto"/>
        <w:rPr>
          <w:rFonts w:ascii="楷体" w:hAnsi="楷体" w:eastAsia="楷体" w:cs="Times New Roman"/>
          <w:b/>
          <w:bCs/>
          <w:sz w:val="32"/>
          <w:szCs w:val="32"/>
        </w:rPr>
      </w:pPr>
      <w:r>
        <w:rPr>
          <w:rFonts w:ascii="楷体" w:hAnsi="楷体" w:eastAsia="楷体" w:cs="楷体"/>
          <w:b/>
          <w:bCs/>
          <w:sz w:val="32"/>
          <w:szCs w:val="32"/>
        </w:rPr>
        <w:t>2</w:t>
      </w:r>
      <w:r>
        <w:rPr>
          <w:rFonts w:hint="eastAsia" w:ascii="楷体" w:hAnsi="楷体" w:eastAsia="楷体" w:cs="楷体"/>
          <w:b/>
          <w:bCs/>
          <w:sz w:val="32"/>
          <w:szCs w:val="32"/>
        </w:rPr>
        <w:t>、支出说明</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lang w:eastAsia="zh-CN"/>
        </w:rPr>
        <w:t>2022</w:t>
      </w:r>
      <w:r>
        <w:rPr>
          <w:rFonts w:hint="eastAsia" w:ascii="Times New Roman" w:hAnsi="Times New Roman" w:eastAsia="方正仿宋_GBK" w:cs="Times New Roman"/>
          <w:b w:val="0"/>
          <w:color w:val="000000"/>
          <w:sz w:val="28"/>
        </w:rPr>
        <w:t>年支出预算</w:t>
      </w:r>
      <w:r>
        <w:rPr>
          <w:rFonts w:hint="eastAsia" w:ascii="Times New Roman" w:hAnsi="Times New Roman" w:eastAsia="方正仿宋_GBK" w:cs="Times New Roman"/>
          <w:b w:val="0"/>
          <w:color w:val="000000"/>
          <w:sz w:val="28"/>
          <w:lang w:val="en-US" w:eastAsia="zh-CN"/>
        </w:rPr>
        <w:t>709.34</w:t>
      </w:r>
      <w:r>
        <w:rPr>
          <w:rFonts w:hint="eastAsia" w:ascii="Times New Roman" w:hAnsi="Times New Roman" w:eastAsia="方正仿宋_GBK" w:cs="Times New Roman"/>
          <w:b w:val="0"/>
          <w:color w:val="000000"/>
          <w:sz w:val="28"/>
        </w:rPr>
        <w:t>万元，其中基本支出</w:t>
      </w:r>
      <w:r>
        <w:rPr>
          <w:rFonts w:hint="eastAsia" w:ascii="Times New Roman" w:hAnsi="Times New Roman" w:eastAsia="方正仿宋_GBK" w:cs="Times New Roman"/>
          <w:b w:val="0"/>
          <w:color w:val="000000"/>
          <w:sz w:val="28"/>
          <w:lang w:val="en-US" w:eastAsia="zh-CN"/>
        </w:rPr>
        <w:t>91.8</w:t>
      </w:r>
      <w:r>
        <w:rPr>
          <w:rFonts w:hint="eastAsia" w:ascii="Times New Roman" w:hAnsi="Times New Roman" w:eastAsia="方正仿宋_GBK" w:cs="Times New Roman"/>
          <w:b w:val="0"/>
          <w:color w:val="000000"/>
          <w:sz w:val="28"/>
        </w:rPr>
        <w:t>万元，包括人员经费和日常公用经费；项目支出</w:t>
      </w:r>
      <w:r>
        <w:rPr>
          <w:rFonts w:hint="eastAsia" w:ascii="Times New Roman" w:hAnsi="Times New Roman" w:eastAsia="方正仿宋_GBK" w:cs="Times New Roman"/>
          <w:b w:val="0"/>
          <w:color w:val="000000"/>
          <w:sz w:val="28"/>
          <w:lang w:val="en-US" w:eastAsia="zh-CN"/>
        </w:rPr>
        <w:t>617.54</w:t>
      </w:r>
      <w:r>
        <w:rPr>
          <w:rFonts w:hint="eastAsia" w:ascii="Times New Roman" w:hAnsi="Times New Roman" w:eastAsia="方正仿宋_GBK" w:cs="Times New Roman"/>
          <w:b w:val="0"/>
          <w:color w:val="000000"/>
          <w:sz w:val="28"/>
        </w:rPr>
        <w:t>万元，主要为上级下达的文化旅游专项资金。</w:t>
      </w:r>
    </w:p>
    <w:p>
      <w:pPr>
        <w:keepNext w:val="0"/>
        <w:keepLines w:val="0"/>
        <w:pageBreakBefore w:val="0"/>
        <w:widowControl/>
        <w:kinsoku/>
        <w:wordWrap/>
        <w:overflowPunct/>
        <w:topLinePunct w:val="0"/>
        <w:bidi w:val="0"/>
        <w:snapToGrid/>
        <w:spacing w:line="560" w:lineRule="exact"/>
        <w:ind w:firstLine="640"/>
        <w:textAlignment w:val="auto"/>
        <w:rPr>
          <w:rFonts w:ascii="楷体" w:hAnsi="楷体" w:eastAsia="楷体" w:cs="Times New Roman"/>
          <w:b/>
          <w:bCs/>
          <w:sz w:val="32"/>
          <w:szCs w:val="32"/>
        </w:rPr>
      </w:pPr>
      <w:r>
        <w:rPr>
          <w:rFonts w:ascii="楷体" w:hAnsi="楷体" w:eastAsia="楷体" w:cs="楷体"/>
          <w:b/>
          <w:bCs/>
          <w:sz w:val="32"/>
          <w:szCs w:val="32"/>
        </w:rPr>
        <w:t>3</w:t>
      </w:r>
      <w:r>
        <w:rPr>
          <w:rFonts w:hint="eastAsia" w:ascii="楷体" w:hAnsi="楷体" w:eastAsia="楷体" w:cs="楷体"/>
          <w:b/>
          <w:bCs/>
          <w:sz w:val="32"/>
          <w:szCs w:val="32"/>
        </w:rPr>
        <w:t>、比上年增减变化情况</w:t>
      </w:r>
    </w:p>
    <w:p>
      <w:pPr>
        <w:keepNext w:val="0"/>
        <w:keepLines w:val="0"/>
        <w:pageBreakBefore w:val="0"/>
        <w:widowControl/>
        <w:kinsoku/>
        <w:wordWrap/>
        <w:overflowPunct/>
        <w:topLinePunct w:val="0"/>
        <w:bidi w:val="0"/>
        <w:snapToGrid/>
        <w:spacing w:line="560" w:lineRule="exact"/>
        <w:ind w:firstLine="640"/>
        <w:textAlignment w:val="auto"/>
        <w:rPr>
          <w:rFonts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lang w:eastAsia="zh-CN"/>
        </w:rPr>
        <w:t>2022</w:t>
      </w:r>
      <w:r>
        <w:rPr>
          <w:rFonts w:hint="eastAsia" w:ascii="Times New Roman" w:hAnsi="Times New Roman" w:eastAsia="方正仿宋_GBK" w:cs="Times New Roman"/>
          <w:b w:val="0"/>
          <w:color w:val="000000"/>
          <w:sz w:val="28"/>
        </w:rPr>
        <w:t>年预算收支安排</w:t>
      </w:r>
      <w:r>
        <w:rPr>
          <w:rFonts w:hint="eastAsia" w:eastAsia="方正仿宋_GBK" w:cs="Times New Roman"/>
          <w:b w:val="0"/>
          <w:color w:val="000000"/>
          <w:sz w:val="28"/>
          <w:lang w:val="en-US" w:eastAsia="zh-CN"/>
        </w:rPr>
        <w:t>709.34</w:t>
      </w:r>
      <w:r>
        <w:rPr>
          <w:rFonts w:hint="eastAsia" w:ascii="Times New Roman" w:hAnsi="Times New Roman" w:eastAsia="方正仿宋_GBK" w:cs="Times New Roman"/>
          <w:b w:val="0"/>
          <w:color w:val="000000"/>
          <w:sz w:val="28"/>
        </w:rPr>
        <w:t>万元，较20</w:t>
      </w:r>
      <w:r>
        <w:rPr>
          <w:rFonts w:hint="eastAsia" w:ascii="Times New Roman" w:hAnsi="Times New Roman" w:eastAsia="方正仿宋_GBK" w:cs="Times New Roman"/>
          <w:b w:val="0"/>
          <w:color w:val="000000"/>
          <w:sz w:val="28"/>
          <w:lang w:val="en-US" w:eastAsia="zh-CN"/>
        </w:rPr>
        <w:t>21</w:t>
      </w:r>
      <w:r>
        <w:rPr>
          <w:rFonts w:hint="eastAsia" w:ascii="Times New Roman" w:hAnsi="Times New Roman" w:eastAsia="方正仿宋_GBK" w:cs="Times New Roman"/>
          <w:b w:val="0"/>
          <w:color w:val="000000"/>
          <w:sz w:val="28"/>
        </w:rPr>
        <w:t>年预算</w:t>
      </w:r>
      <w:r>
        <w:rPr>
          <w:rFonts w:hint="eastAsia" w:ascii="Times New Roman" w:hAnsi="Times New Roman" w:eastAsia="方正仿宋_GBK" w:cs="Times New Roman"/>
          <w:b w:val="0"/>
          <w:color w:val="000000"/>
          <w:sz w:val="28"/>
          <w:lang w:val="en-US" w:eastAsia="zh-CN"/>
        </w:rPr>
        <w:t>增加439.08</w:t>
      </w:r>
      <w:r>
        <w:rPr>
          <w:rFonts w:hint="eastAsia" w:ascii="Times New Roman" w:hAnsi="Times New Roman" w:eastAsia="方正仿宋_GBK" w:cs="Times New Roman"/>
          <w:b w:val="0"/>
          <w:color w:val="000000"/>
          <w:sz w:val="28"/>
        </w:rPr>
        <w:t>万元，主要</w:t>
      </w:r>
      <w:r>
        <w:rPr>
          <w:rFonts w:hint="eastAsia" w:ascii="Times New Roman" w:hAnsi="Times New Roman" w:eastAsia="方正仿宋_GBK" w:cs="Times New Roman"/>
          <w:b w:val="0"/>
          <w:color w:val="000000"/>
          <w:sz w:val="28"/>
          <w:lang w:eastAsia="zh-CN"/>
        </w:rPr>
        <w:t>2022</w:t>
      </w:r>
      <w:r>
        <w:rPr>
          <w:rFonts w:hint="eastAsia" w:ascii="Times New Roman" w:hAnsi="Times New Roman" w:eastAsia="方正仿宋_GBK" w:cs="Times New Roman"/>
          <w:b w:val="0"/>
          <w:color w:val="000000"/>
          <w:sz w:val="28"/>
        </w:rPr>
        <w:t>年提前下达专款</w:t>
      </w:r>
      <w:r>
        <w:rPr>
          <w:rFonts w:hint="eastAsia" w:ascii="Times New Roman" w:hAnsi="Times New Roman" w:eastAsia="方正仿宋_GBK" w:cs="Times New Roman"/>
          <w:b w:val="0"/>
          <w:color w:val="000000"/>
          <w:sz w:val="28"/>
          <w:lang w:val="en-US" w:eastAsia="zh-CN"/>
        </w:rPr>
        <w:t>增加</w:t>
      </w:r>
      <w:r>
        <w:rPr>
          <w:rFonts w:hint="eastAsia" w:ascii="Times New Roman" w:hAnsi="Times New Roman" w:eastAsia="方正仿宋_GBK" w:cs="Times New Roman"/>
          <w:b w:val="0"/>
          <w:color w:val="000000"/>
          <w:sz w:val="28"/>
        </w:rPr>
        <w:t>。</w:t>
      </w:r>
    </w:p>
    <w:p>
      <w:pPr>
        <w:keepNext w:val="0"/>
        <w:keepLines w:val="0"/>
        <w:pageBreakBefore w:val="0"/>
        <w:widowControl/>
        <w:numPr>
          <w:ilvl w:val="0"/>
          <w:numId w:val="1"/>
        </w:numPr>
        <w:kinsoku/>
        <w:wordWrap/>
        <w:overflowPunct/>
        <w:topLinePunct w:val="0"/>
        <w:bidi w:val="0"/>
        <w:snapToGrid/>
        <w:spacing w:line="560" w:lineRule="exact"/>
        <w:ind w:firstLine="640"/>
        <w:jc w:val="left"/>
        <w:textAlignment w:val="auto"/>
        <w:outlineLvl w:val="5"/>
        <w:rPr>
          <w:rFonts w:ascii="黑体" w:hAnsi="黑体" w:eastAsia="黑体" w:cs="黑体"/>
          <w:color w:val="000000"/>
          <w:sz w:val="32"/>
        </w:rPr>
      </w:pPr>
      <w:r>
        <w:rPr>
          <w:rFonts w:ascii="黑体" w:hAnsi="黑体" w:eastAsia="黑体" w:cs="黑体"/>
          <w:color w:val="000000"/>
          <w:sz w:val="32"/>
        </w:rPr>
        <w:t>机关运行经费安排情况</w:t>
      </w:r>
    </w:p>
    <w:p>
      <w:pPr>
        <w:keepNext w:val="0"/>
        <w:keepLines w:val="0"/>
        <w:pageBreakBefore w:val="0"/>
        <w:widowControl/>
        <w:kinsoku/>
        <w:wordWrap/>
        <w:overflowPunct/>
        <w:topLinePunct w:val="0"/>
        <w:autoSpaceDE w:val="0"/>
        <w:autoSpaceDN w:val="0"/>
        <w:bidi w:val="0"/>
        <w:adjustRightInd w:val="0"/>
        <w:snapToGrid/>
        <w:spacing w:line="560" w:lineRule="exact"/>
        <w:ind w:left="198" w:firstLine="640" w:firstLineChars="200"/>
        <w:jc w:val="left"/>
        <w:textAlignment w:val="auto"/>
        <w:rPr>
          <w:rFonts w:hint="eastAsia" w:ascii="Times New Roman" w:hAnsi="Times New Roman" w:eastAsia="方正仿宋_GBK" w:cs="Times New Roman"/>
          <w:b w:val="0"/>
          <w:color w:val="000000"/>
          <w:sz w:val="28"/>
        </w:rPr>
      </w:pPr>
      <w:r>
        <w:rPr>
          <w:rFonts w:hint="eastAsia" w:ascii="黑体" w:hAnsi="黑体" w:eastAsia="黑体" w:cs="黑体"/>
          <w:color w:val="000000"/>
          <w:sz w:val="32"/>
          <w:lang w:val="en-US" w:eastAsia="zh-CN"/>
        </w:rPr>
        <w:t xml:space="preserve">  </w:t>
      </w:r>
      <w:r>
        <w:rPr>
          <w:rFonts w:hint="eastAsia" w:ascii="Times New Roman" w:hAnsi="Times New Roman" w:eastAsia="方正仿宋_GBK" w:cs="Times New Roman"/>
          <w:b w:val="0"/>
          <w:color w:val="000000"/>
          <w:sz w:val="28"/>
        </w:rPr>
        <w:t>机关运行经费共计安排</w:t>
      </w:r>
      <w:r>
        <w:rPr>
          <w:rFonts w:hint="eastAsia" w:ascii="Times New Roman" w:hAnsi="Times New Roman" w:eastAsia="方正仿宋_GBK" w:cs="Times New Roman"/>
          <w:b w:val="0"/>
          <w:color w:val="000000"/>
          <w:sz w:val="28"/>
          <w:lang w:val="en-US" w:eastAsia="zh-CN"/>
        </w:rPr>
        <w:t>91.8</w:t>
      </w:r>
      <w:r>
        <w:rPr>
          <w:rFonts w:hint="eastAsia" w:ascii="Times New Roman" w:hAnsi="Times New Roman" w:eastAsia="方正仿宋_GBK" w:cs="Times New Roman"/>
          <w:b w:val="0"/>
          <w:color w:val="000000"/>
          <w:sz w:val="28"/>
        </w:rPr>
        <w:t>万元，主要用于办公区的日常维修、办公用房水电费、邮电费、办公用房取暖费、办公用房物业管理费等日常运行支出。</w:t>
      </w:r>
    </w:p>
    <w:p>
      <w:pPr>
        <w:keepNext w:val="0"/>
        <w:keepLines w:val="0"/>
        <w:pageBreakBefore w:val="0"/>
        <w:widowControl/>
        <w:kinsoku/>
        <w:wordWrap/>
        <w:overflowPunct/>
        <w:topLinePunct w:val="0"/>
        <w:autoSpaceDE w:val="0"/>
        <w:autoSpaceDN w:val="0"/>
        <w:bidi w:val="0"/>
        <w:adjustRightInd w:val="0"/>
        <w:snapToGrid/>
        <w:spacing w:line="560" w:lineRule="exact"/>
        <w:ind w:left="198" w:firstLine="560" w:firstLineChars="200"/>
        <w:jc w:val="left"/>
        <w:textAlignment w:val="auto"/>
        <w:rPr>
          <w:rFonts w:hint="eastAsia" w:ascii="Times New Roman" w:hAnsi="Times New Roman" w:eastAsia="方正仿宋_GBK" w:cs="Times New Roman"/>
          <w:b w:val="0"/>
          <w:color w:val="000000"/>
          <w:sz w:val="28"/>
        </w:rPr>
      </w:pPr>
    </w:p>
    <w:p>
      <w:pPr>
        <w:keepNext w:val="0"/>
        <w:keepLines w:val="0"/>
        <w:pageBreakBefore w:val="0"/>
        <w:widowControl/>
        <w:numPr>
          <w:ilvl w:val="0"/>
          <w:numId w:val="1"/>
        </w:numPr>
        <w:kinsoku/>
        <w:wordWrap/>
        <w:overflowPunct/>
        <w:topLinePunct w:val="0"/>
        <w:bidi w:val="0"/>
        <w:snapToGrid/>
        <w:spacing w:line="560" w:lineRule="exact"/>
        <w:ind w:left="0" w:leftChars="0" w:firstLine="640" w:firstLineChars="0"/>
        <w:jc w:val="left"/>
        <w:textAlignment w:val="auto"/>
        <w:outlineLvl w:val="5"/>
        <w:rPr>
          <w:rFonts w:ascii="黑体" w:hAnsi="黑体" w:eastAsia="黑体" w:cs="黑体"/>
          <w:color w:val="000000"/>
          <w:sz w:val="32"/>
        </w:rPr>
      </w:pPr>
      <w:r>
        <w:rPr>
          <w:rFonts w:ascii="黑体" w:hAnsi="黑体" w:eastAsia="黑体" w:cs="黑体"/>
          <w:color w:val="000000"/>
          <w:sz w:val="32"/>
        </w:rPr>
        <w:t>财政拨款“三公”经费预算情况及增减变化原因</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lang w:eastAsia="zh-CN"/>
        </w:rPr>
        <w:t>2022</w:t>
      </w:r>
      <w:r>
        <w:rPr>
          <w:rFonts w:hint="eastAsia" w:ascii="Times New Roman" w:hAnsi="Times New Roman" w:eastAsia="方正仿宋_GBK" w:cs="Times New Roman"/>
          <w:b w:val="0"/>
          <w:color w:val="000000"/>
          <w:sz w:val="28"/>
        </w:rPr>
        <w:t>年度“三公”预算支出</w:t>
      </w:r>
      <w:r>
        <w:rPr>
          <w:rFonts w:hint="eastAsia" w:ascii="Times New Roman" w:hAnsi="Times New Roman" w:eastAsia="方正仿宋_GBK" w:cs="Times New Roman"/>
          <w:b w:val="0"/>
          <w:color w:val="000000"/>
          <w:sz w:val="28"/>
          <w:lang w:val="en-US" w:eastAsia="zh-CN"/>
        </w:rPr>
        <w:t>1</w:t>
      </w:r>
      <w:r>
        <w:rPr>
          <w:rFonts w:hint="eastAsia" w:ascii="Times New Roman" w:hAnsi="Times New Roman" w:eastAsia="方正仿宋_GBK" w:cs="Times New Roman"/>
          <w:b w:val="0"/>
          <w:color w:val="000000"/>
          <w:sz w:val="28"/>
        </w:rPr>
        <w:t>万元，其中：因公出国（境）费零元，与上年</w:t>
      </w:r>
      <w:r>
        <w:rPr>
          <w:rFonts w:hint="eastAsia" w:eastAsia="方正仿宋_GBK" w:cs="Times New Roman"/>
          <w:b w:val="0"/>
          <w:color w:val="000000"/>
          <w:sz w:val="28"/>
          <w:lang w:eastAsia="zh-CN"/>
        </w:rPr>
        <w:t>持</w:t>
      </w:r>
      <w:r>
        <w:rPr>
          <w:rFonts w:hint="eastAsia" w:ascii="Times New Roman" w:hAnsi="Times New Roman" w:eastAsia="方正仿宋_GBK" w:cs="Times New Roman"/>
          <w:b w:val="0"/>
          <w:color w:val="000000"/>
          <w:sz w:val="28"/>
        </w:rPr>
        <w:t>平；安排公务用车维护费</w:t>
      </w:r>
      <w:r>
        <w:rPr>
          <w:rFonts w:hint="eastAsia" w:ascii="Times New Roman" w:hAnsi="Times New Roman" w:eastAsia="方正仿宋_GBK" w:cs="Times New Roman"/>
          <w:b w:val="0"/>
          <w:color w:val="000000"/>
          <w:sz w:val="28"/>
          <w:lang w:val="en-US" w:eastAsia="zh-CN"/>
        </w:rPr>
        <w:t>1</w:t>
      </w:r>
      <w:r>
        <w:rPr>
          <w:rFonts w:hint="eastAsia" w:ascii="Times New Roman" w:hAnsi="Times New Roman" w:eastAsia="方正仿宋_GBK" w:cs="Times New Roman"/>
          <w:b w:val="0"/>
          <w:color w:val="000000"/>
          <w:sz w:val="28"/>
        </w:rPr>
        <w:t>万元。（其中：公务用车购置费零元，与上年</w:t>
      </w:r>
      <w:r>
        <w:rPr>
          <w:rFonts w:hint="eastAsia" w:eastAsia="方正仿宋_GBK" w:cs="Times New Roman"/>
          <w:b w:val="0"/>
          <w:color w:val="000000"/>
          <w:sz w:val="28"/>
          <w:lang w:eastAsia="zh-CN"/>
        </w:rPr>
        <w:t>持</w:t>
      </w:r>
      <w:r>
        <w:rPr>
          <w:rFonts w:hint="eastAsia" w:ascii="Times New Roman" w:hAnsi="Times New Roman" w:eastAsia="方正仿宋_GBK" w:cs="Times New Roman"/>
          <w:b w:val="0"/>
          <w:color w:val="000000"/>
          <w:sz w:val="28"/>
        </w:rPr>
        <w:t>平；公务用车运行维护费</w:t>
      </w:r>
      <w:r>
        <w:rPr>
          <w:rFonts w:hint="eastAsia" w:ascii="Times New Roman" w:hAnsi="Times New Roman" w:eastAsia="方正仿宋_GBK" w:cs="Times New Roman"/>
          <w:b w:val="0"/>
          <w:color w:val="000000"/>
          <w:sz w:val="28"/>
          <w:lang w:val="en-US" w:eastAsia="zh-CN"/>
        </w:rPr>
        <w:t>1</w:t>
      </w:r>
      <w:r>
        <w:rPr>
          <w:rFonts w:hint="eastAsia" w:ascii="Times New Roman" w:hAnsi="Times New Roman" w:eastAsia="方正仿宋_GBK" w:cs="Times New Roman"/>
          <w:b w:val="0"/>
          <w:color w:val="000000"/>
          <w:sz w:val="28"/>
        </w:rPr>
        <w:t>万元，较上年</w:t>
      </w:r>
      <w:r>
        <w:rPr>
          <w:rFonts w:hint="eastAsia" w:ascii="Times New Roman" w:hAnsi="Times New Roman" w:eastAsia="方正仿宋_GBK" w:cs="Times New Roman"/>
          <w:b w:val="0"/>
          <w:color w:val="000000"/>
          <w:sz w:val="28"/>
          <w:lang w:val="en-US" w:eastAsia="zh-CN"/>
        </w:rPr>
        <w:t>减少25</w:t>
      </w:r>
      <w:r>
        <w:rPr>
          <w:rFonts w:hint="eastAsia" w:ascii="Times New Roman" w:hAnsi="Times New Roman" w:eastAsia="方正仿宋_GBK" w:cs="Times New Roman"/>
          <w:b w:val="0"/>
          <w:color w:val="000000"/>
          <w:sz w:val="28"/>
        </w:rPr>
        <w:t>%，主要原因为</w:t>
      </w:r>
      <w:r>
        <w:rPr>
          <w:rFonts w:hint="eastAsia" w:ascii="Times New Roman" w:hAnsi="Times New Roman" w:eastAsia="方正仿宋_GBK" w:cs="Times New Roman"/>
          <w:b w:val="0"/>
          <w:color w:val="000000"/>
          <w:sz w:val="28"/>
          <w:lang w:val="en-US" w:eastAsia="zh-CN"/>
        </w:rPr>
        <w:t>严格遵守八项规定，减少支出</w:t>
      </w:r>
      <w:r>
        <w:rPr>
          <w:rFonts w:hint="eastAsia" w:ascii="Times New Roman" w:hAnsi="Times New Roman" w:eastAsia="方正仿宋_GBK" w:cs="Times New Roman"/>
          <w:b w:val="0"/>
          <w:color w:val="000000"/>
          <w:sz w:val="28"/>
        </w:rPr>
        <w:t>。）公务接等费0万元，与上年持平。</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_GBK" w:cs="Times New Roman"/>
          <w:b w:val="0"/>
          <w:color w:val="000000"/>
          <w:sz w:val="28"/>
        </w:rPr>
      </w:pPr>
    </w:p>
    <w:p>
      <w:pPr>
        <w:keepNext w:val="0"/>
        <w:keepLines w:val="0"/>
        <w:pageBreakBefore w:val="0"/>
        <w:widowControl/>
        <w:numPr>
          <w:ilvl w:val="0"/>
          <w:numId w:val="1"/>
        </w:numPr>
        <w:kinsoku/>
        <w:wordWrap/>
        <w:overflowPunct/>
        <w:topLinePunct w:val="0"/>
        <w:bidi w:val="0"/>
        <w:snapToGrid/>
        <w:spacing w:line="560" w:lineRule="exact"/>
        <w:ind w:left="0" w:leftChars="0" w:firstLine="640" w:firstLineChars="0"/>
        <w:jc w:val="left"/>
        <w:textAlignment w:val="auto"/>
        <w:outlineLvl w:val="5"/>
        <w:rPr>
          <w:rFonts w:ascii="黑体" w:hAnsi="黑体" w:eastAsia="黑体" w:cs="黑体"/>
          <w:color w:val="000000"/>
          <w:sz w:val="32"/>
          <w:highlight w:val="none"/>
        </w:rPr>
      </w:pPr>
      <w:r>
        <w:rPr>
          <w:rFonts w:ascii="黑体" w:hAnsi="黑体" w:eastAsia="黑体" w:cs="黑体"/>
          <w:color w:val="000000"/>
          <w:sz w:val="32"/>
          <w:highlight w:val="none"/>
        </w:rPr>
        <w:t>预算绩效信息</w:t>
      </w:r>
    </w:p>
    <w:p>
      <w:pPr>
        <w:keepNext w:val="0"/>
        <w:keepLines w:val="0"/>
        <w:pageBreakBefore w:val="0"/>
        <w:widowControl/>
        <w:numPr>
          <w:ilvl w:val="0"/>
          <w:numId w:val="0"/>
        </w:numPr>
        <w:kinsoku/>
        <w:wordWrap/>
        <w:overflowPunct/>
        <w:topLinePunct w:val="0"/>
        <w:bidi w:val="0"/>
        <w:snapToGrid/>
        <w:spacing w:line="560" w:lineRule="exact"/>
        <w:jc w:val="left"/>
        <w:textAlignment w:val="auto"/>
        <w:outlineLvl w:val="5"/>
        <w:rPr>
          <w:rFonts w:ascii="黑体" w:hAnsi="黑体" w:eastAsia="黑体" w:cs="黑体"/>
          <w:color w:val="000000"/>
          <w:sz w:val="32"/>
          <w:highlight w:val="yellow"/>
        </w:rPr>
      </w:pPr>
    </w:p>
    <w:p>
      <w:pPr>
        <w:keepNext w:val="0"/>
        <w:keepLines w:val="0"/>
        <w:pageBreakBefore w:val="0"/>
        <w:widowControl/>
        <w:kinsoku/>
        <w:wordWrap/>
        <w:overflowPunct/>
        <w:topLinePunct w:val="0"/>
        <w:bidi w:val="0"/>
        <w:snapToGrid/>
        <w:spacing w:line="560" w:lineRule="exact"/>
        <w:ind w:firstLine="640" w:firstLineChars="200"/>
        <w:jc w:val="left"/>
        <w:textAlignment w:val="auto"/>
        <w:rPr>
          <w:rFonts w:hint="eastAsia" w:ascii="方正楷体_GBK" w:eastAsia="方正楷体_GBK"/>
          <w:b/>
          <w:sz w:val="28"/>
        </w:rPr>
      </w:pPr>
      <w:r>
        <w:rPr>
          <w:rFonts w:hint="eastAsia" w:ascii="黑体" w:hAnsi="黑体" w:eastAsia="黑体" w:cs="黑体"/>
          <w:color w:val="000000"/>
          <w:sz w:val="32"/>
          <w:highlight w:val="none"/>
          <w:lang w:val="en-US" w:eastAsia="zh-CN"/>
        </w:rPr>
        <w:t xml:space="preserve">   </w:t>
      </w:r>
      <w:r>
        <w:rPr>
          <w:rFonts w:hint="eastAsia" w:ascii="方正楷体_GBK" w:eastAsia="方正楷体_GBK"/>
          <w:b/>
          <w:sz w:val="28"/>
        </w:rPr>
        <w:t>年度发展规划目标</w:t>
      </w:r>
    </w:p>
    <w:p>
      <w:pPr>
        <w:keepNext w:val="0"/>
        <w:keepLines w:val="0"/>
        <w:pageBreakBefore w:val="0"/>
        <w:widowControl/>
        <w:kinsoku/>
        <w:wordWrap/>
        <w:overflowPunct/>
        <w:topLinePunct w:val="0"/>
        <w:bidi w:val="0"/>
        <w:snapToGrid/>
        <w:spacing w:line="560" w:lineRule="exact"/>
        <w:ind w:firstLine="1124" w:firstLineChars="400"/>
        <w:jc w:val="left"/>
        <w:textAlignment w:val="auto"/>
        <w:rPr>
          <w:rFonts w:hint="eastAsia" w:ascii="方正楷体_GBK" w:eastAsia="方正楷体_GBK"/>
          <w:b/>
          <w:sz w:val="28"/>
        </w:rPr>
      </w:pPr>
      <w:r>
        <w:rPr>
          <w:rFonts w:hint="eastAsia" w:ascii="方正楷体_GBK" w:eastAsia="方正楷体_GBK"/>
          <w:b/>
          <w:sz w:val="28"/>
        </w:rPr>
        <w:t>总体目标：</w:t>
      </w:r>
    </w:p>
    <w:p>
      <w:pPr>
        <w:pStyle w:val="2"/>
        <w:keepNext w:val="0"/>
        <w:keepLines w:val="0"/>
        <w:pageBreakBefore w:val="0"/>
        <w:widowControl/>
        <w:kinsoku/>
        <w:wordWrap/>
        <w:overflowPunct/>
        <w:topLinePunct w:val="0"/>
        <w:bidi w:val="0"/>
        <w:snapToGrid/>
        <w:spacing w:after="0" w:line="560" w:lineRule="exact"/>
        <w:ind w:firstLine="560" w:firstLineChars="200"/>
        <w:textAlignment w:val="auto"/>
        <w:rPr>
          <w:rFonts w:hint="eastAsia" w:ascii="Times New Roman" w:hAnsi="Times New Roman" w:eastAsia="方正仿宋_GBK" w:cs="Times New Roman"/>
          <w:b w:val="0"/>
          <w:color w:val="000000"/>
          <w:sz w:val="28"/>
          <w:szCs w:val="24"/>
          <w:lang w:val="en-US" w:eastAsia="uk-UA" w:bidi="ar-SA"/>
        </w:rPr>
      </w:pPr>
      <w:r>
        <w:rPr>
          <w:rFonts w:hint="eastAsia" w:ascii="Times New Roman" w:hAnsi="Times New Roman" w:eastAsia="方正仿宋_GBK" w:cs="Times New Roman"/>
          <w:b w:val="0"/>
          <w:color w:val="000000"/>
          <w:sz w:val="28"/>
          <w:szCs w:val="24"/>
          <w:lang w:val="en-US" w:eastAsia="uk-UA" w:bidi="ar-SA"/>
        </w:rPr>
        <w:t>202</w:t>
      </w:r>
      <w:r>
        <w:rPr>
          <w:rFonts w:hint="eastAsia" w:ascii="Times New Roman" w:hAnsi="Times New Roman" w:eastAsia="方正仿宋_GBK" w:cs="Times New Roman"/>
          <w:b w:val="0"/>
          <w:color w:val="000000"/>
          <w:sz w:val="28"/>
          <w:szCs w:val="24"/>
          <w:lang w:val="en-US" w:eastAsia="zh-CN" w:bidi="ar-SA"/>
        </w:rPr>
        <w:t>2</w:t>
      </w:r>
      <w:r>
        <w:rPr>
          <w:rFonts w:hint="eastAsia" w:ascii="Times New Roman" w:hAnsi="Times New Roman" w:eastAsia="方正仿宋_GBK" w:cs="Times New Roman"/>
          <w:b w:val="0"/>
          <w:color w:val="000000"/>
          <w:sz w:val="28"/>
          <w:szCs w:val="24"/>
          <w:lang w:val="en-US" w:eastAsia="uk-UA" w:bidi="ar-SA"/>
        </w:rPr>
        <w:t>我局将立足文化旅游强市建设总体目标，围绕不断满足人民群众日益增长的美好生活需要工作目标，深入贯彻落实党的精神和</w:t>
      </w:r>
      <w:r>
        <w:rPr>
          <w:rFonts w:hint="eastAsia" w:ascii="Times New Roman" w:hAnsi="Times New Roman" w:eastAsia="方正仿宋_GBK" w:cs="Times New Roman"/>
          <w:b w:val="0"/>
          <w:color w:val="000000"/>
          <w:sz w:val="28"/>
          <w:szCs w:val="24"/>
          <w:lang w:val="en-US" w:eastAsia="zh-CN" w:bidi="ar-SA"/>
        </w:rPr>
        <w:t>县委县政府</w:t>
      </w:r>
      <w:r>
        <w:rPr>
          <w:rFonts w:hint="eastAsia" w:ascii="Times New Roman" w:hAnsi="Times New Roman" w:eastAsia="方正仿宋_GBK" w:cs="Times New Roman"/>
          <w:b w:val="0"/>
          <w:color w:val="000000"/>
          <w:sz w:val="28"/>
          <w:szCs w:val="24"/>
          <w:lang w:val="en-US" w:eastAsia="uk-UA" w:bidi="ar-SA"/>
        </w:rPr>
        <w:t>部署，重点做好以下工作，切实把“不忘初心、</w:t>
      </w:r>
      <w:bookmarkStart w:id="1" w:name="_GoBack"/>
      <w:bookmarkEnd w:id="1"/>
      <w:r>
        <w:rPr>
          <w:rFonts w:hint="eastAsia" w:ascii="Times New Roman" w:hAnsi="Times New Roman" w:eastAsia="方正仿宋_GBK" w:cs="Times New Roman"/>
          <w:b w:val="0"/>
          <w:color w:val="000000"/>
          <w:sz w:val="28"/>
          <w:szCs w:val="24"/>
          <w:lang w:val="en-US" w:eastAsia="uk-UA" w:bidi="ar-SA"/>
        </w:rPr>
        <w:t>牢记使命”主题教育成果转化为工作实效。</w:t>
      </w:r>
    </w:p>
    <w:p>
      <w:pPr>
        <w:keepNext w:val="0"/>
        <w:keepLines w:val="0"/>
        <w:pageBreakBefore w:val="0"/>
        <w:widowControl/>
        <w:kinsoku/>
        <w:wordWrap/>
        <w:overflowPunct/>
        <w:topLinePunct w:val="0"/>
        <w:bidi w:val="0"/>
        <w:snapToGrid/>
        <w:spacing w:line="560" w:lineRule="exact"/>
        <w:jc w:val="left"/>
        <w:textAlignment w:val="auto"/>
        <w:rPr>
          <w:rFonts w:hint="eastAsia" w:ascii="仿宋_GB2312" w:hAnsi="仿宋_GB2312" w:eastAsia="仿宋_GB2312" w:cs="仿宋_GB2312"/>
          <w:sz w:val="32"/>
          <w:szCs w:val="32"/>
        </w:rPr>
      </w:pPr>
      <w:r>
        <w:rPr>
          <w:rFonts w:hint="eastAsia" w:ascii="方正楷体_GBK" w:eastAsia="方正楷体_GBK"/>
          <w:b/>
          <w:sz w:val="28"/>
        </w:rPr>
        <w:t xml:space="preserve"> </w:t>
      </w:r>
      <w:r>
        <w:rPr>
          <w:rFonts w:hint="eastAsia" w:ascii="方正楷体_GBK" w:eastAsia="方正楷体_GBK"/>
          <w:b/>
          <w:sz w:val="28"/>
          <w:lang w:val="en-US" w:eastAsia="zh-CN"/>
        </w:rPr>
        <w:t xml:space="preserve">   </w:t>
      </w:r>
      <w:r>
        <w:rPr>
          <w:rFonts w:hint="eastAsia" w:ascii="方正楷体_GBK" w:eastAsia="方正楷体_GBK"/>
          <w:b/>
          <w:sz w:val="28"/>
        </w:rPr>
        <w:t xml:space="preserve"> </w:t>
      </w:r>
      <w:r>
        <w:rPr>
          <w:rFonts w:hint="eastAsia" w:ascii="方正楷体_GBK" w:eastAsia="方正楷体_GBK"/>
          <w:b/>
          <w:sz w:val="28"/>
          <w:lang w:val="en-US" w:eastAsia="zh-CN"/>
        </w:rPr>
        <w:t xml:space="preserve">       </w:t>
      </w:r>
      <w:r>
        <w:rPr>
          <w:rFonts w:hint="eastAsia" w:ascii="方正楷体_GBK" w:eastAsia="方正楷体_GBK"/>
          <w:b/>
          <w:sz w:val="28"/>
        </w:rPr>
        <w:t>职责分类绩效目标：</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部门职责分类绩效目标</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_GBK" w:cs="Times New Roman"/>
          <w:b w:val="0"/>
          <w:color w:val="000000"/>
          <w:sz w:val="28"/>
        </w:rPr>
      </w:pPr>
      <w:r>
        <w:rPr>
          <w:rFonts w:hint="eastAsia" w:eastAsia="方正仿宋_GBK" w:cs="Times New Roman"/>
          <w:b w:val="0"/>
          <w:color w:val="000000"/>
          <w:sz w:val="28"/>
          <w:lang w:val="en-US" w:eastAsia="zh-CN"/>
        </w:rPr>
        <w:t>1</w:t>
      </w:r>
      <w:r>
        <w:rPr>
          <w:rFonts w:hint="eastAsia" w:ascii="Times New Roman" w:hAnsi="Times New Roman" w:eastAsia="方正仿宋_GBK" w:cs="Times New Roman"/>
          <w:b w:val="0"/>
          <w:color w:val="000000"/>
          <w:sz w:val="28"/>
        </w:rPr>
        <w:t>、公共文化服务管理工作绩效目标。加快构建现代公共文化服务体系建设，积极推进重点文化项目、文化设施建设。</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b w:val="0"/>
          <w:color w:val="000000"/>
          <w:sz w:val="28"/>
          <w:lang w:val="en-US" w:eastAsia="zh-CN"/>
        </w:rPr>
      </w:pPr>
      <w:r>
        <w:rPr>
          <w:rFonts w:hint="eastAsia" w:eastAsia="方正仿宋_GBK" w:cs="Times New Roman"/>
          <w:b w:val="0"/>
          <w:color w:val="000000"/>
          <w:sz w:val="28"/>
          <w:lang w:val="en-US" w:eastAsia="zh-CN"/>
        </w:rPr>
        <w:t>2</w:t>
      </w:r>
      <w:r>
        <w:rPr>
          <w:rFonts w:hint="eastAsia" w:ascii="Times New Roman" w:hAnsi="Times New Roman" w:eastAsia="方正仿宋_GBK" w:cs="Times New Roman"/>
          <w:b w:val="0"/>
          <w:color w:val="000000"/>
          <w:sz w:val="28"/>
        </w:rPr>
        <w:t>、艺术管理工作绩效目标。深入实施重点文化惠民工程，提升群众对文化的满意度。</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_GBK" w:cs="Times New Roman"/>
          <w:b w:val="0"/>
          <w:color w:val="000000"/>
          <w:sz w:val="28"/>
        </w:rPr>
      </w:pPr>
      <w:r>
        <w:rPr>
          <w:rFonts w:hint="eastAsia" w:eastAsia="方正仿宋_GBK" w:cs="Times New Roman"/>
          <w:b w:val="0"/>
          <w:color w:val="000000"/>
          <w:sz w:val="28"/>
          <w:lang w:val="en-US" w:eastAsia="zh-CN"/>
        </w:rPr>
        <w:t>3</w:t>
      </w:r>
      <w:r>
        <w:rPr>
          <w:rFonts w:hint="eastAsia" w:ascii="Times New Roman" w:hAnsi="Times New Roman" w:eastAsia="方正仿宋_GBK" w:cs="Times New Roman"/>
          <w:b w:val="0"/>
          <w:color w:val="000000"/>
          <w:sz w:val="28"/>
        </w:rPr>
        <w:t>、文物保护工作绩效目标。推动文化遗产保护利用“五个一”。</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4</w:t>
      </w:r>
      <w:r>
        <w:rPr>
          <w:rFonts w:hint="eastAsia" w:ascii="Times New Roman" w:hAnsi="Times New Roman" w:eastAsia="方正仿宋_GBK" w:cs="Times New Roman"/>
          <w:b w:val="0"/>
          <w:color w:val="000000"/>
          <w:sz w:val="28"/>
        </w:rPr>
        <w:t>、文化市场和产业管理工作绩效目标。开展邯郸市“阳光娱乐”系列活动，群众满意度达95%以上。</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sz w:val="32"/>
          <w:szCs w:val="32"/>
        </w:rPr>
        <w:t>实现年度发展规划目标的保障措施</w:t>
      </w:r>
    </w:p>
    <w:p>
      <w:pPr>
        <w:pStyle w:val="2"/>
        <w:keepNext w:val="0"/>
        <w:keepLines w:val="0"/>
        <w:pageBreakBefore w:val="0"/>
        <w:widowControl/>
        <w:numPr>
          <w:ilvl w:val="0"/>
          <w:numId w:val="2"/>
        </w:numPr>
        <w:kinsoku/>
        <w:wordWrap/>
        <w:overflowPunct/>
        <w:topLinePunct w:val="0"/>
        <w:autoSpaceDE/>
        <w:autoSpaceDN/>
        <w:bidi w:val="0"/>
        <w:adjustRightInd/>
        <w:snapToGrid/>
        <w:spacing w:after="0" w:line="560" w:lineRule="exact"/>
        <w:ind w:firstLine="560" w:firstLineChars="200"/>
        <w:textAlignment w:val="auto"/>
        <w:rPr>
          <w:rFonts w:hint="eastAsia" w:ascii="Times New Roman" w:hAnsi="Times New Roman" w:eastAsia="方正仿宋_GBK" w:cs="Times New Roman"/>
          <w:b w:val="0"/>
          <w:color w:val="000000"/>
          <w:sz w:val="28"/>
          <w:szCs w:val="24"/>
          <w:lang w:val="en-US" w:eastAsia="zh-CN" w:bidi="ar-SA"/>
        </w:rPr>
      </w:pPr>
      <w:r>
        <w:rPr>
          <w:rFonts w:hint="eastAsia" w:ascii="Times New Roman" w:hAnsi="Times New Roman" w:eastAsia="方正仿宋_GBK" w:cs="Times New Roman"/>
          <w:b w:val="0"/>
          <w:color w:val="000000"/>
          <w:sz w:val="28"/>
          <w:szCs w:val="24"/>
          <w:lang w:val="en-US" w:eastAsia="uk-UA" w:bidi="ar-SA"/>
        </w:rPr>
        <w:t>高质量举办重大节会。以“彰文化、活旅游、聚产业、促发展、惠民生”为宗旨，高质量举办</w:t>
      </w:r>
      <w:r>
        <w:rPr>
          <w:rFonts w:hint="eastAsia" w:ascii="Times New Roman" w:hAnsi="Times New Roman" w:eastAsia="方正仿宋_GBK" w:cs="Times New Roman"/>
          <w:b w:val="0"/>
          <w:color w:val="000000"/>
          <w:sz w:val="28"/>
          <w:szCs w:val="24"/>
          <w:lang w:val="en-US" w:eastAsia="zh-CN" w:bidi="ar-SA"/>
        </w:rPr>
        <w:t>成安红色</w:t>
      </w:r>
      <w:r>
        <w:rPr>
          <w:rFonts w:hint="eastAsia" w:ascii="Times New Roman" w:hAnsi="Times New Roman" w:eastAsia="方正仿宋_GBK" w:cs="Times New Roman"/>
          <w:b w:val="0"/>
          <w:color w:val="000000"/>
          <w:sz w:val="28"/>
          <w:szCs w:val="24"/>
          <w:lang w:val="en-US" w:eastAsia="uk-UA" w:bidi="ar-SA"/>
        </w:rPr>
        <w:t>旅游</w:t>
      </w:r>
      <w:r>
        <w:rPr>
          <w:rFonts w:hint="eastAsia" w:ascii="Times New Roman" w:hAnsi="Times New Roman" w:eastAsia="方正仿宋_GBK" w:cs="Times New Roman"/>
          <w:b w:val="0"/>
          <w:color w:val="000000"/>
          <w:sz w:val="28"/>
          <w:szCs w:val="24"/>
          <w:lang w:val="en-US" w:eastAsia="zh-CN" w:bidi="ar-SA"/>
        </w:rPr>
        <w:t>节</w:t>
      </w:r>
      <w:r>
        <w:rPr>
          <w:rFonts w:hint="eastAsia" w:ascii="Times New Roman" w:hAnsi="Times New Roman" w:eastAsia="方正仿宋_GBK" w:cs="Times New Roman"/>
          <w:b w:val="0"/>
          <w:color w:val="000000"/>
          <w:sz w:val="28"/>
          <w:szCs w:val="24"/>
          <w:lang w:val="en-US" w:eastAsia="uk-UA" w:bidi="ar-SA"/>
        </w:rPr>
        <w:t>，进一步搭建文化旅游产业发展平台，提升</w:t>
      </w:r>
      <w:r>
        <w:rPr>
          <w:rFonts w:hint="eastAsia" w:ascii="Times New Roman" w:hAnsi="Times New Roman" w:eastAsia="方正仿宋_GBK" w:cs="Times New Roman"/>
          <w:b w:val="0"/>
          <w:color w:val="000000"/>
          <w:sz w:val="28"/>
          <w:szCs w:val="24"/>
          <w:lang w:val="en-US" w:eastAsia="zh-CN" w:bidi="ar-SA"/>
        </w:rPr>
        <w:t>成安</w:t>
      </w:r>
      <w:r>
        <w:rPr>
          <w:rFonts w:hint="eastAsia" w:ascii="Times New Roman" w:hAnsi="Times New Roman" w:eastAsia="方正仿宋_GBK" w:cs="Times New Roman"/>
          <w:b w:val="0"/>
          <w:color w:val="000000"/>
          <w:sz w:val="28"/>
          <w:szCs w:val="24"/>
          <w:lang w:val="en-US" w:eastAsia="uk-UA" w:bidi="ar-SA"/>
        </w:rPr>
        <w:t>知名度、美誉度，扩大</w:t>
      </w:r>
      <w:r>
        <w:rPr>
          <w:rFonts w:hint="eastAsia" w:ascii="Times New Roman" w:hAnsi="Times New Roman" w:eastAsia="方正仿宋_GBK" w:cs="Times New Roman"/>
          <w:b w:val="0"/>
          <w:color w:val="000000"/>
          <w:sz w:val="28"/>
          <w:szCs w:val="24"/>
          <w:lang w:val="en-US" w:eastAsia="zh-CN" w:bidi="ar-SA"/>
        </w:rPr>
        <w:t>成安</w:t>
      </w:r>
      <w:r>
        <w:rPr>
          <w:rFonts w:hint="eastAsia" w:ascii="Times New Roman" w:hAnsi="Times New Roman" w:eastAsia="方正仿宋_GBK" w:cs="Times New Roman"/>
          <w:b w:val="0"/>
          <w:color w:val="000000"/>
          <w:sz w:val="28"/>
          <w:szCs w:val="24"/>
          <w:lang w:val="en-US" w:eastAsia="uk-UA" w:bidi="ar-SA"/>
        </w:rPr>
        <w:t>文旅品牌影响力。同时积极探索创新市场化、社会化办会机制，精准对接市场需求，带动有效投资，确保可持续发展。</w:t>
      </w:r>
      <w:r>
        <w:rPr>
          <w:rFonts w:hint="eastAsia" w:ascii="Times New Roman" w:hAnsi="Times New Roman" w:eastAsia="方正仿宋_GBK" w:cs="Times New Roman"/>
          <w:b w:val="0"/>
          <w:color w:val="000000"/>
          <w:sz w:val="28"/>
          <w:szCs w:val="24"/>
          <w:lang w:val="en-US" w:eastAsia="zh-CN" w:bidi="ar-SA"/>
        </w:rPr>
        <w:t xml:space="preserve">   </w:t>
      </w:r>
    </w:p>
    <w:p>
      <w:pPr>
        <w:pStyle w:val="2"/>
        <w:keepNext w:val="0"/>
        <w:keepLines w:val="0"/>
        <w:pageBreakBefore w:val="0"/>
        <w:widowControl/>
        <w:numPr>
          <w:ilvl w:val="0"/>
          <w:numId w:val="2"/>
        </w:numPr>
        <w:kinsoku/>
        <w:wordWrap/>
        <w:overflowPunct/>
        <w:topLinePunct w:val="0"/>
        <w:autoSpaceDE/>
        <w:autoSpaceDN/>
        <w:bidi w:val="0"/>
        <w:adjustRightInd/>
        <w:snapToGrid/>
        <w:spacing w:after="0" w:line="560" w:lineRule="exact"/>
        <w:ind w:firstLine="560" w:firstLineChars="200"/>
        <w:textAlignment w:val="auto"/>
        <w:rPr>
          <w:rFonts w:hint="default" w:ascii="Times New Roman" w:hAnsi="Times New Roman" w:eastAsia="方正仿宋_GBK" w:cs="Times New Roman"/>
          <w:b w:val="0"/>
          <w:color w:val="000000"/>
          <w:sz w:val="28"/>
          <w:szCs w:val="24"/>
          <w:lang w:val="en-US" w:eastAsia="zh-CN" w:bidi="ar-SA"/>
        </w:rPr>
      </w:pPr>
      <w:r>
        <w:rPr>
          <w:rFonts w:hint="eastAsia" w:ascii="Times New Roman" w:hAnsi="Times New Roman" w:eastAsia="方正仿宋_GBK" w:cs="Times New Roman"/>
          <w:b w:val="0"/>
          <w:color w:val="000000"/>
          <w:sz w:val="28"/>
          <w:szCs w:val="24"/>
          <w:lang w:val="en-US" w:eastAsia="uk-UA" w:bidi="ar-SA"/>
        </w:rPr>
        <w:t>加快推进重点项目建设。</w:t>
      </w:r>
      <w:r>
        <w:rPr>
          <w:rFonts w:hint="eastAsia" w:ascii="Times New Roman" w:hAnsi="Times New Roman" w:eastAsia="方正仿宋_GBK" w:cs="Times New Roman"/>
          <w:b w:val="0"/>
          <w:color w:val="000000"/>
          <w:sz w:val="28"/>
          <w:szCs w:val="24"/>
          <w:lang w:val="en-US" w:eastAsia="zh-CN" w:bidi="ar-SA"/>
        </w:rPr>
        <w:t>推进图书馆定级，进一步完善县文化馆,图书馆以及乡镇文化站的免费开放.</w:t>
      </w:r>
      <w:r>
        <w:rPr>
          <w:rFonts w:hint="eastAsia" w:ascii="Times New Roman" w:hAnsi="Times New Roman" w:eastAsia="方正仿宋_GBK" w:cs="Times New Roman"/>
          <w:b w:val="0"/>
          <w:color w:val="000000"/>
          <w:sz w:val="28"/>
          <w:szCs w:val="24"/>
          <w:lang w:val="en-US" w:eastAsia="uk-UA" w:bidi="ar-SA"/>
        </w:rPr>
        <w:t>持续推进旅游“厕所革命”，促进旅游交通标识牌、旅游集散与咨询服务体系建设，持续完善公共服务设施网络。积极推进文化公园建设，提升人文品位，彰显文化特色。</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_GBK" w:cs="Times New Roman"/>
          <w:b w:val="0"/>
          <w:color w:val="000000"/>
          <w:sz w:val="28"/>
          <w:szCs w:val="24"/>
          <w:lang w:val="en-US" w:eastAsia="uk-UA" w:bidi="ar-SA"/>
        </w:rPr>
      </w:pPr>
      <w:r>
        <w:rPr>
          <w:rFonts w:hint="eastAsia" w:ascii="Times New Roman" w:hAnsi="Times New Roman" w:eastAsia="方正仿宋_GBK" w:cs="Times New Roman"/>
          <w:b w:val="0"/>
          <w:color w:val="000000"/>
          <w:sz w:val="28"/>
          <w:szCs w:val="24"/>
          <w:lang w:val="en-US" w:eastAsia="uk-UA" w:bidi="ar-SA"/>
        </w:rPr>
        <w:t>（</w:t>
      </w:r>
      <w:r>
        <w:rPr>
          <w:rFonts w:hint="eastAsia" w:ascii="Times New Roman" w:hAnsi="Times New Roman" w:eastAsia="方正仿宋_GBK" w:cs="Times New Roman"/>
          <w:b w:val="0"/>
          <w:color w:val="000000"/>
          <w:sz w:val="28"/>
          <w:szCs w:val="24"/>
          <w:lang w:val="en-US" w:eastAsia="zh-CN" w:bidi="ar-SA"/>
        </w:rPr>
        <w:t>三</w:t>
      </w:r>
      <w:r>
        <w:rPr>
          <w:rFonts w:hint="eastAsia" w:ascii="Times New Roman" w:hAnsi="Times New Roman" w:eastAsia="方正仿宋_GBK" w:cs="Times New Roman"/>
          <w:b w:val="0"/>
          <w:color w:val="000000"/>
          <w:sz w:val="28"/>
          <w:szCs w:val="24"/>
          <w:lang w:val="en-US" w:eastAsia="uk-UA" w:bidi="ar-SA"/>
        </w:rPr>
        <w:t xml:space="preserve">）深入实施文化惠民工程。持续办好“周周有好戏”、彩色周末、送戏下乡、广播电视户户通、旅游惠民一卡通、“七进”演出等文化惠民工程，开发系列独居邯郸特色的研学旅游产品，扎实推进旅游扶贫，不断满足人民群众日益增长的美好生活需要。推进公共文化服务设施免费开放，支持邯郸大剧院大力引进国内外优秀剧目，满足市民文化欣赏需求。深化拓展“阳光娱乐”系列活动，谋划开展“阳光娱乐”文化惠民卡试点工作。 </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left"/>
        <w:textAlignment w:val="auto"/>
        <w:outlineLvl w:val="5"/>
        <w:rPr>
          <w:rFonts w:hint="default" w:ascii="Times New Roman" w:hAnsi="Times New Roman" w:eastAsia="方正仿宋_GBK" w:cs="Times New Roman"/>
          <w:b w:val="0"/>
          <w:color w:val="000000"/>
          <w:sz w:val="28"/>
          <w:szCs w:val="24"/>
          <w:lang w:val="en-US" w:eastAsia="zh-CN" w:bidi="ar-SA"/>
        </w:rPr>
        <w:sectPr>
          <w:pgSz w:w="16840" w:h="11900" w:orient="landscape"/>
          <w:pgMar w:top="1361" w:right="1020" w:bottom="1361"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1、成安县文广旅局关于申请主题教育党建馆资金的报告绩效目标表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墙体密度板造型，墙面等平方数</w:t>
            </w:r>
          </w:p>
        </w:tc>
        <w:tc>
          <w:tcPr>
            <w:tcW w:w="2835" w:type="dxa"/>
            <w:vAlign w:val="center"/>
          </w:tcPr>
          <w:p>
            <w:pPr>
              <w:pStyle w:val="16"/>
            </w:pPr>
            <w:r>
              <w:t>墙体密度板造型，墙面等平方数</w:t>
            </w:r>
          </w:p>
        </w:tc>
        <w:tc>
          <w:tcPr>
            <w:tcW w:w="2551" w:type="dxa"/>
            <w:vAlign w:val="center"/>
          </w:tcPr>
          <w:p>
            <w:pPr>
              <w:pStyle w:val="16"/>
            </w:pPr>
            <w:r>
              <w:t>125.2平方米</w:t>
            </w:r>
          </w:p>
        </w:tc>
        <w:tc>
          <w:tcPr>
            <w:tcW w:w="2268" w:type="dxa"/>
            <w:vAlign w:val="center"/>
          </w:tcPr>
          <w:p>
            <w:pPr>
              <w:pStyle w:val="16"/>
            </w:pPr>
            <w:r>
              <w:t>工程量清单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2835" w:type="dxa"/>
            <w:vAlign w:val="center"/>
          </w:tcPr>
          <w:p>
            <w:pPr>
              <w:pStyle w:val="16"/>
            </w:pPr>
            <w:r>
              <w:t>工程验收合格率</w:t>
            </w:r>
          </w:p>
        </w:tc>
        <w:tc>
          <w:tcPr>
            <w:tcW w:w="2551" w:type="dxa"/>
            <w:vAlign w:val="center"/>
          </w:tcPr>
          <w:p>
            <w:pPr>
              <w:pStyle w:val="16"/>
            </w:pPr>
            <w:r>
              <w:t>≥98验收表</w:t>
            </w:r>
          </w:p>
        </w:tc>
        <w:tc>
          <w:tcPr>
            <w:tcW w:w="2268" w:type="dxa"/>
            <w:vAlign w:val="center"/>
          </w:tcPr>
          <w:p>
            <w:pPr>
              <w:pStyle w:val="16"/>
            </w:pPr>
            <w:r>
              <w:t>工程验收单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工程周期</w:t>
            </w:r>
          </w:p>
        </w:tc>
        <w:tc>
          <w:tcPr>
            <w:tcW w:w="2835" w:type="dxa"/>
            <w:vAlign w:val="center"/>
          </w:tcPr>
          <w:p>
            <w:pPr>
              <w:pStyle w:val="16"/>
            </w:pPr>
            <w:r>
              <w:t>该项目进行周期</w:t>
            </w:r>
          </w:p>
        </w:tc>
        <w:tc>
          <w:tcPr>
            <w:tcW w:w="2551" w:type="dxa"/>
            <w:vAlign w:val="center"/>
          </w:tcPr>
          <w:p>
            <w:pPr>
              <w:pStyle w:val="16"/>
            </w:pPr>
            <w:r>
              <w:t>85天</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墙体密度板造型，墙面等每平方单价</w:t>
            </w:r>
          </w:p>
        </w:tc>
        <w:tc>
          <w:tcPr>
            <w:tcW w:w="2835" w:type="dxa"/>
            <w:vAlign w:val="center"/>
          </w:tcPr>
          <w:p>
            <w:pPr>
              <w:pStyle w:val="16"/>
            </w:pPr>
            <w:r>
              <w:t>墙体密度板造型，墙面等每平方单价</w:t>
            </w:r>
          </w:p>
        </w:tc>
        <w:tc>
          <w:tcPr>
            <w:tcW w:w="2551" w:type="dxa"/>
            <w:vAlign w:val="center"/>
          </w:tcPr>
          <w:p>
            <w:pPr>
              <w:pStyle w:val="16"/>
            </w:pPr>
            <w:r>
              <w:t>228元</w:t>
            </w:r>
          </w:p>
        </w:tc>
        <w:tc>
          <w:tcPr>
            <w:tcW w:w="2268" w:type="dxa"/>
            <w:vAlign w:val="center"/>
          </w:tcPr>
          <w:p>
            <w:pPr>
              <w:pStyle w:val="16"/>
            </w:pPr>
            <w:r>
              <w:t>工程量清单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党史宣传普及度</w:t>
            </w:r>
          </w:p>
        </w:tc>
        <w:tc>
          <w:tcPr>
            <w:tcW w:w="2835" w:type="dxa"/>
            <w:vAlign w:val="center"/>
          </w:tcPr>
          <w:p>
            <w:pPr>
              <w:pStyle w:val="16"/>
            </w:pPr>
            <w:r>
              <w:t>党史宣传普及面大范围提升</w:t>
            </w:r>
          </w:p>
        </w:tc>
        <w:tc>
          <w:tcPr>
            <w:tcW w:w="2551" w:type="dxa"/>
            <w:vAlign w:val="center"/>
          </w:tcPr>
          <w:p>
            <w:pPr>
              <w:pStyle w:val="16"/>
            </w:pPr>
            <w:r>
              <w:t>稳步提升</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党史文化得到很好的宣传</w:t>
            </w:r>
          </w:p>
        </w:tc>
        <w:tc>
          <w:tcPr>
            <w:tcW w:w="2835" w:type="dxa"/>
            <w:vAlign w:val="center"/>
          </w:tcPr>
          <w:p>
            <w:pPr>
              <w:pStyle w:val="16"/>
            </w:pPr>
            <w:r>
              <w:t>党史文化得到很好的宣传</w:t>
            </w:r>
          </w:p>
        </w:tc>
        <w:tc>
          <w:tcPr>
            <w:tcW w:w="2551" w:type="dxa"/>
            <w:vAlign w:val="center"/>
          </w:tcPr>
          <w:p>
            <w:pPr>
              <w:pStyle w:val="16"/>
            </w:pPr>
            <w:r>
              <w:t>大力宣传</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2835" w:type="dxa"/>
            <w:vAlign w:val="center"/>
          </w:tcPr>
          <w:p>
            <w:pPr>
              <w:pStyle w:val="16"/>
            </w:pPr>
            <w:r>
              <w:t>服务对象满意度</w:t>
            </w:r>
          </w:p>
        </w:tc>
        <w:tc>
          <w:tcPr>
            <w:tcW w:w="2551" w:type="dxa"/>
            <w:vAlign w:val="center"/>
          </w:tcPr>
          <w:p>
            <w:pPr>
              <w:pStyle w:val="16"/>
            </w:pPr>
            <w:r>
              <w:t>≥98百分比</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2、成安县文化广电和旅游局关于申请文物保护经费的报告绩效目标表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文物下乡普查的次数</w:t>
            </w:r>
          </w:p>
        </w:tc>
        <w:tc>
          <w:tcPr>
            <w:tcW w:w="2835" w:type="dxa"/>
            <w:vAlign w:val="center"/>
          </w:tcPr>
          <w:p>
            <w:pPr>
              <w:pStyle w:val="16"/>
            </w:pPr>
            <w:r>
              <w:t>每年下乡文物普查的次数</w:t>
            </w:r>
          </w:p>
        </w:tc>
        <w:tc>
          <w:tcPr>
            <w:tcW w:w="2551" w:type="dxa"/>
            <w:vAlign w:val="center"/>
          </w:tcPr>
          <w:p>
            <w:pPr>
              <w:pStyle w:val="16"/>
            </w:pPr>
            <w:r>
              <w:t>2次</w:t>
            </w:r>
          </w:p>
        </w:tc>
        <w:tc>
          <w:tcPr>
            <w:tcW w:w="2268" w:type="dxa"/>
            <w:vAlign w:val="center"/>
          </w:tcPr>
          <w:p>
            <w:pPr>
              <w:pStyle w:val="16"/>
            </w:pPr>
            <w:r>
              <w:t>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发放看护费工资的人数</w:t>
            </w:r>
          </w:p>
        </w:tc>
        <w:tc>
          <w:tcPr>
            <w:tcW w:w="2835" w:type="dxa"/>
            <w:vAlign w:val="center"/>
          </w:tcPr>
          <w:p>
            <w:pPr>
              <w:pStyle w:val="16"/>
            </w:pPr>
            <w:r>
              <w:t>发放看护费工资的人数</w:t>
            </w:r>
          </w:p>
        </w:tc>
        <w:tc>
          <w:tcPr>
            <w:tcW w:w="2551" w:type="dxa"/>
            <w:vAlign w:val="center"/>
          </w:tcPr>
          <w:p>
            <w:pPr>
              <w:pStyle w:val="16"/>
            </w:pPr>
            <w:r>
              <w:t>18人</w:t>
            </w:r>
          </w:p>
        </w:tc>
        <w:tc>
          <w:tcPr>
            <w:tcW w:w="2268" w:type="dxa"/>
            <w:vAlign w:val="center"/>
          </w:tcPr>
          <w:p>
            <w:pPr>
              <w:pStyle w:val="16"/>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所保管文物的完好率</w:t>
            </w:r>
          </w:p>
        </w:tc>
        <w:tc>
          <w:tcPr>
            <w:tcW w:w="2835" w:type="dxa"/>
            <w:vAlign w:val="center"/>
          </w:tcPr>
          <w:p>
            <w:pPr>
              <w:pStyle w:val="16"/>
            </w:pPr>
            <w:r>
              <w:t>所保管文物的完好率</w:t>
            </w:r>
          </w:p>
        </w:tc>
        <w:tc>
          <w:tcPr>
            <w:tcW w:w="2551" w:type="dxa"/>
            <w:vAlign w:val="center"/>
          </w:tcPr>
          <w:p>
            <w:pPr>
              <w:pStyle w:val="16"/>
            </w:pPr>
            <w:r>
              <w:t>≥98百分比</w:t>
            </w:r>
          </w:p>
        </w:tc>
        <w:tc>
          <w:tcPr>
            <w:tcW w:w="2268" w:type="dxa"/>
            <w:vAlign w:val="center"/>
          </w:tcPr>
          <w:p>
            <w:pPr>
              <w:pStyle w:val="16"/>
            </w:pPr>
            <w:r>
              <w:t>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文物下乡普查的周期</w:t>
            </w:r>
          </w:p>
        </w:tc>
        <w:tc>
          <w:tcPr>
            <w:tcW w:w="2835" w:type="dxa"/>
            <w:vAlign w:val="center"/>
          </w:tcPr>
          <w:p>
            <w:pPr>
              <w:pStyle w:val="16"/>
            </w:pPr>
            <w:r>
              <w:t>每次下乡文物普查的周期</w:t>
            </w:r>
          </w:p>
        </w:tc>
        <w:tc>
          <w:tcPr>
            <w:tcW w:w="2551" w:type="dxa"/>
            <w:vAlign w:val="center"/>
          </w:tcPr>
          <w:p>
            <w:pPr>
              <w:pStyle w:val="16"/>
            </w:pPr>
            <w:r>
              <w:t>60天</w:t>
            </w:r>
          </w:p>
        </w:tc>
        <w:tc>
          <w:tcPr>
            <w:tcW w:w="2268" w:type="dxa"/>
            <w:vAlign w:val="center"/>
          </w:tcPr>
          <w:p>
            <w:pPr>
              <w:pStyle w:val="16"/>
            </w:pPr>
            <w:r>
              <w:t>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文物下乡普查租车费</w:t>
            </w:r>
          </w:p>
        </w:tc>
        <w:tc>
          <w:tcPr>
            <w:tcW w:w="2835" w:type="dxa"/>
            <w:vAlign w:val="center"/>
          </w:tcPr>
          <w:p>
            <w:pPr>
              <w:pStyle w:val="16"/>
            </w:pPr>
            <w:r>
              <w:t>每次下乡文物普查租车费</w:t>
            </w:r>
          </w:p>
        </w:tc>
        <w:tc>
          <w:tcPr>
            <w:tcW w:w="2551" w:type="dxa"/>
            <w:vAlign w:val="center"/>
          </w:tcPr>
          <w:p>
            <w:pPr>
              <w:pStyle w:val="16"/>
            </w:pPr>
            <w:r>
              <w:t>9000元</w:t>
            </w:r>
          </w:p>
        </w:tc>
        <w:tc>
          <w:tcPr>
            <w:tcW w:w="2268" w:type="dxa"/>
            <w:vAlign w:val="center"/>
          </w:tcPr>
          <w:p>
            <w:pPr>
              <w:pStyle w:val="16"/>
            </w:pPr>
            <w:r>
              <w:t>发票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文物保护利用成果的社会效果</w:t>
            </w:r>
          </w:p>
        </w:tc>
        <w:tc>
          <w:tcPr>
            <w:tcW w:w="2835" w:type="dxa"/>
            <w:vAlign w:val="center"/>
          </w:tcPr>
          <w:p>
            <w:pPr>
              <w:pStyle w:val="16"/>
            </w:pPr>
            <w:r>
              <w:t>文物保护利用成果的社会效果</w:t>
            </w:r>
          </w:p>
        </w:tc>
        <w:tc>
          <w:tcPr>
            <w:tcW w:w="2551" w:type="dxa"/>
            <w:vAlign w:val="center"/>
          </w:tcPr>
          <w:p>
            <w:pPr>
              <w:pStyle w:val="16"/>
            </w:pPr>
            <w:r>
              <w:t>稳步提升</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推动文物保护长远发展</w:t>
            </w:r>
          </w:p>
        </w:tc>
        <w:tc>
          <w:tcPr>
            <w:tcW w:w="2835" w:type="dxa"/>
            <w:vAlign w:val="center"/>
          </w:tcPr>
          <w:p>
            <w:pPr>
              <w:pStyle w:val="16"/>
            </w:pPr>
            <w:r>
              <w:t>推动文物保护长远发展</w:t>
            </w:r>
          </w:p>
        </w:tc>
        <w:tc>
          <w:tcPr>
            <w:tcW w:w="2551" w:type="dxa"/>
            <w:vAlign w:val="center"/>
          </w:tcPr>
          <w:p>
            <w:pPr>
              <w:pStyle w:val="16"/>
            </w:pPr>
            <w:r>
              <w:t>大力推动</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2835" w:type="dxa"/>
            <w:vAlign w:val="center"/>
          </w:tcPr>
          <w:p>
            <w:pPr>
              <w:pStyle w:val="16"/>
            </w:pPr>
            <w:r>
              <w:t>服务对象满意度</w:t>
            </w:r>
          </w:p>
        </w:tc>
        <w:tc>
          <w:tcPr>
            <w:tcW w:w="2551" w:type="dxa"/>
            <w:vAlign w:val="center"/>
          </w:tcPr>
          <w:p>
            <w:pPr>
              <w:pStyle w:val="16"/>
            </w:pPr>
            <w:r>
              <w:t>≥98百分比</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3、成安县文化广电和旅游局申请毛主席纪念馆工作经费绩效目标表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支付工资的人数</w:t>
            </w:r>
          </w:p>
        </w:tc>
        <w:tc>
          <w:tcPr>
            <w:tcW w:w="2835" w:type="dxa"/>
            <w:vAlign w:val="center"/>
          </w:tcPr>
          <w:p>
            <w:pPr>
              <w:pStyle w:val="16"/>
            </w:pPr>
            <w:r>
              <w:t>支付工资的人数</w:t>
            </w:r>
          </w:p>
        </w:tc>
        <w:tc>
          <w:tcPr>
            <w:tcW w:w="2551" w:type="dxa"/>
            <w:vAlign w:val="center"/>
          </w:tcPr>
          <w:p>
            <w:pPr>
              <w:pStyle w:val="16"/>
            </w:pPr>
            <w:r>
              <w:t>9人</w:t>
            </w:r>
          </w:p>
        </w:tc>
        <w:tc>
          <w:tcPr>
            <w:tcW w:w="2268" w:type="dxa"/>
            <w:vAlign w:val="center"/>
          </w:tcPr>
          <w:p>
            <w:pPr>
              <w:pStyle w:val="16"/>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工资发放保障率</w:t>
            </w:r>
          </w:p>
        </w:tc>
        <w:tc>
          <w:tcPr>
            <w:tcW w:w="2835" w:type="dxa"/>
            <w:vAlign w:val="center"/>
          </w:tcPr>
          <w:p>
            <w:pPr>
              <w:pStyle w:val="16"/>
            </w:pPr>
            <w:r>
              <w:t>保障工资发放到位率</w:t>
            </w:r>
          </w:p>
        </w:tc>
        <w:tc>
          <w:tcPr>
            <w:tcW w:w="2551" w:type="dxa"/>
            <w:vAlign w:val="center"/>
          </w:tcPr>
          <w:p>
            <w:pPr>
              <w:pStyle w:val="16"/>
            </w:pPr>
            <w:r>
              <w:t>100百分比</w:t>
            </w:r>
          </w:p>
        </w:tc>
        <w:tc>
          <w:tcPr>
            <w:tcW w:w="2268" w:type="dxa"/>
            <w:vAlign w:val="center"/>
          </w:tcPr>
          <w:p>
            <w:pPr>
              <w:pStyle w:val="16"/>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保障纪念馆正常运行周期</w:t>
            </w:r>
          </w:p>
        </w:tc>
        <w:tc>
          <w:tcPr>
            <w:tcW w:w="2835" w:type="dxa"/>
            <w:vAlign w:val="center"/>
          </w:tcPr>
          <w:p>
            <w:pPr>
              <w:pStyle w:val="16"/>
            </w:pPr>
            <w:r>
              <w:t>纪念馆正常运行周期</w:t>
            </w:r>
          </w:p>
        </w:tc>
        <w:tc>
          <w:tcPr>
            <w:tcW w:w="2551" w:type="dxa"/>
            <w:vAlign w:val="center"/>
          </w:tcPr>
          <w:p>
            <w:pPr>
              <w:pStyle w:val="16"/>
            </w:pPr>
            <w:r>
              <w:t>1年</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摆放花坛的完整率</w:t>
            </w:r>
          </w:p>
        </w:tc>
        <w:tc>
          <w:tcPr>
            <w:tcW w:w="2835" w:type="dxa"/>
            <w:vAlign w:val="center"/>
          </w:tcPr>
          <w:p>
            <w:pPr>
              <w:pStyle w:val="16"/>
            </w:pPr>
            <w:r>
              <w:t>租摆的花坛的成活率及完整率</w:t>
            </w:r>
          </w:p>
        </w:tc>
        <w:tc>
          <w:tcPr>
            <w:tcW w:w="2551" w:type="dxa"/>
            <w:vAlign w:val="center"/>
          </w:tcPr>
          <w:p>
            <w:pPr>
              <w:pStyle w:val="16"/>
            </w:pPr>
            <w:r>
              <w:t>100百分比</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花坛摆设费</w:t>
            </w:r>
          </w:p>
        </w:tc>
        <w:tc>
          <w:tcPr>
            <w:tcW w:w="2835" w:type="dxa"/>
            <w:vAlign w:val="center"/>
          </w:tcPr>
          <w:p>
            <w:pPr>
              <w:pStyle w:val="16"/>
            </w:pPr>
            <w:r>
              <w:t>月花坛摆放费</w:t>
            </w:r>
          </w:p>
        </w:tc>
        <w:tc>
          <w:tcPr>
            <w:tcW w:w="2551" w:type="dxa"/>
            <w:vAlign w:val="center"/>
          </w:tcPr>
          <w:p>
            <w:pPr>
              <w:pStyle w:val="16"/>
            </w:pPr>
            <w:r>
              <w:t>3000元</w:t>
            </w:r>
          </w:p>
        </w:tc>
        <w:tc>
          <w:tcPr>
            <w:tcW w:w="2268" w:type="dxa"/>
            <w:vAlign w:val="center"/>
          </w:tcPr>
          <w:p>
            <w:pPr>
              <w:pStyle w:val="16"/>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提升红色文化服务水平</w:t>
            </w:r>
          </w:p>
        </w:tc>
        <w:tc>
          <w:tcPr>
            <w:tcW w:w="2835" w:type="dxa"/>
            <w:vAlign w:val="center"/>
          </w:tcPr>
          <w:p>
            <w:pPr>
              <w:pStyle w:val="16"/>
            </w:pPr>
            <w:r>
              <w:t>提升红色文化服务水平</w:t>
            </w:r>
          </w:p>
        </w:tc>
        <w:tc>
          <w:tcPr>
            <w:tcW w:w="2551" w:type="dxa"/>
            <w:vAlign w:val="center"/>
          </w:tcPr>
          <w:p>
            <w:pPr>
              <w:pStyle w:val="16"/>
            </w:pPr>
            <w:r>
              <w:t>稳步提升</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红色文化得到更好的传承</w:t>
            </w:r>
          </w:p>
        </w:tc>
        <w:tc>
          <w:tcPr>
            <w:tcW w:w="2835" w:type="dxa"/>
            <w:vAlign w:val="center"/>
          </w:tcPr>
          <w:p>
            <w:pPr>
              <w:pStyle w:val="16"/>
            </w:pPr>
            <w:r>
              <w:t>红色文化得到更好的传承</w:t>
            </w:r>
          </w:p>
        </w:tc>
        <w:tc>
          <w:tcPr>
            <w:tcW w:w="2551" w:type="dxa"/>
            <w:vAlign w:val="center"/>
          </w:tcPr>
          <w:p>
            <w:pPr>
              <w:pStyle w:val="16"/>
            </w:pPr>
            <w:r>
              <w:t>稳步提升</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2835" w:type="dxa"/>
            <w:vAlign w:val="center"/>
          </w:tcPr>
          <w:p>
            <w:pPr>
              <w:pStyle w:val="16"/>
            </w:pPr>
            <w:r>
              <w:t>服务对象满意度</w:t>
            </w:r>
          </w:p>
        </w:tc>
        <w:tc>
          <w:tcPr>
            <w:tcW w:w="2551" w:type="dxa"/>
            <w:vAlign w:val="center"/>
          </w:tcPr>
          <w:p>
            <w:pPr>
              <w:pStyle w:val="16"/>
            </w:pPr>
            <w:r>
              <w:t>≥98百分比</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4、冀财教【2018】117号中央补助地方美术馆公共图书馆 文化馆（站）免费开放专项资金绩效目标表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配备文化用品行政村数量</w:t>
            </w:r>
          </w:p>
        </w:tc>
        <w:tc>
          <w:tcPr>
            <w:tcW w:w="2835" w:type="dxa"/>
            <w:vAlign w:val="center"/>
          </w:tcPr>
          <w:p>
            <w:pPr>
              <w:pStyle w:val="16"/>
            </w:pPr>
            <w:r>
              <w:t>所配备文化用品行政村的数量</w:t>
            </w:r>
          </w:p>
        </w:tc>
        <w:tc>
          <w:tcPr>
            <w:tcW w:w="2551" w:type="dxa"/>
            <w:vAlign w:val="center"/>
          </w:tcPr>
          <w:p>
            <w:pPr>
              <w:pStyle w:val="16"/>
            </w:pPr>
            <w:r>
              <w:t>45个</w:t>
            </w:r>
          </w:p>
        </w:tc>
        <w:tc>
          <w:tcPr>
            <w:tcW w:w="2268" w:type="dxa"/>
            <w:vAlign w:val="center"/>
          </w:tcPr>
          <w:p>
            <w:pPr>
              <w:pStyle w:val="16"/>
            </w:pPr>
            <w:r>
              <w:t>资产移交清单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采购文化用品合格率</w:t>
            </w:r>
          </w:p>
        </w:tc>
        <w:tc>
          <w:tcPr>
            <w:tcW w:w="2835" w:type="dxa"/>
            <w:vAlign w:val="center"/>
          </w:tcPr>
          <w:p>
            <w:pPr>
              <w:pStyle w:val="16"/>
            </w:pPr>
            <w:r>
              <w:t>所采购文化用品的合格率</w:t>
            </w:r>
          </w:p>
        </w:tc>
        <w:tc>
          <w:tcPr>
            <w:tcW w:w="2551" w:type="dxa"/>
            <w:vAlign w:val="center"/>
          </w:tcPr>
          <w:p>
            <w:pPr>
              <w:pStyle w:val="16"/>
            </w:pPr>
            <w:r>
              <w:t>≥98百分比</w:t>
            </w:r>
          </w:p>
        </w:tc>
        <w:tc>
          <w:tcPr>
            <w:tcW w:w="2268" w:type="dxa"/>
            <w:vAlign w:val="center"/>
          </w:tcPr>
          <w:p>
            <w:pPr>
              <w:pStyle w:val="16"/>
            </w:pPr>
            <w:r>
              <w:t>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采购的周期</w:t>
            </w:r>
          </w:p>
        </w:tc>
        <w:tc>
          <w:tcPr>
            <w:tcW w:w="2835" w:type="dxa"/>
            <w:vAlign w:val="center"/>
          </w:tcPr>
          <w:p>
            <w:pPr>
              <w:pStyle w:val="16"/>
            </w:pPr>
            <w:r>
              <w:t>采购文化用品的周期</w:t>
            </w:r>
          </w:p>
        </w:tc>
        <w:tc>
          <w:tcPr>
            <w:tcW w:w="2551" w:type="dxa"/>
            <w:vAlign w:val="center"/>
          </w:tcPr>
          <w:p>
            <w:pPr>
              <w:pStyle w:val="16"/>
            </w:pPr>
            <w:r>
              <w:t>≥2月</w:t>
            </w:r>
          </w:p>
        </w:tc>
        <w:tc>
          <w:tcPr>
            <w:tcW w:w="2268" w:type="dxa"/>
            <w:vAlign w:val="center"/>
          </w:tcPr>
          <w:p>
            <w:pPr>
              <w:pStyle w:val="16"/>
            </w:pPr>
            <w:r>
              <w:t>招投标文件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采购电脑的单价</w:t>
            </w:r>
          </w:p>
        </w:tc>
        <w:tc>
          <w:tcPr>
            <w:tcW w:w="2835" w:type="dxa"/>
            <w:vAlign w:val="center"/>
          </w:tcPr>
          <w:p>
            <w:pPr>
              <w:pStyle w:val="16"/>
            </w:pPr>
            <w:r>
              <w:t>所采购电脑的单价</w:t>
            </w:r>
          </w:p>
        </w:tc>
        <w:tc>
          <w:tcPr>
            <w:tcW w:w="2551" w:type="dxa"/>
            <w:vAlign w:val="center"/>
          </w:tcPr>
          <w:p>
            <w:pPr>
              <w:pStyle w:val="16"/>
            </w:pPr>
            <w:r>
              <w:t>≥4000元</w:t>
            </w:r>
          </w:p>
        </w:tc>
        <w:tc>
          <w:tcPr>
            <w:tcW w:w="2268" w:type="dxa"/>
            <w:vAlign w:val="center"/>
          </w:tcPr>
          <w:p>
            <w:pPr>
              <w:pStyle w:val="16"/>
            </w:pPr>
            <w:r>
              <w:t>发票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基层文化服务水平稳步上升</w:t>
            </w:r>
          </w:p>
        </w:tc>
        <w:tc>
          <w:tcPr>
            <w:tcW w:w="2835" w:type="dxa"/>
            <w:vAlign w:val="center"/>
          </w:tcPr>
          <w:p>
            <w:pPr>
              <w:pStyle w:val="16"/>
            </w:pPr>
            <w:r>
              <w:t>基层文化服务水平稳步上升</w:t>
            </w:r>
          </w:p>
        </w:tc>
        <w:tc>
          <w:tcPr>
            <w:tcW w:w="2551" w:type="dxa"/>
            <w:vAlign w:val="center"/>
          </w:tcPr>
          <w:p>
            <w:pPr>
              <w:pStyle w:val="16"/>
            </w:pPr>
            <w:r>
              <w:t>稳步上升</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经济效益指标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传播推广群众文化</w:t>
            </w:r>
          </w:p>
        </w:tc>
        <w:tc>
          <w:tcPr>
            <w:tcW w:w="2835" w:type="dxa"/>
            <w:vAlign w:val="center"/>
          </w:tcPr>
          <w:p>
            <w:pPr>
              <w:pStyle w:val="16"/>
            </w:pPr>
            <w:r>
              <w:t>传播推广群众文化</w:t>
            </w:r>
          </w:p>
        </w:tc>
        <w:tc>
          <w:tcPr>
            <w:tcW w:w="2551" w:type="dxa"/>
            <w:vAlign w:val="center"/>
          </w:tcPr>
          <w:p>
            <w:pPr>
              <w:pStyle w:val="16"/>
            </w:pPr>
            <w:r>
              <w:t>有效传播</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2835" w:type="dxa"/>
            <w:vAlign w:val="center"/>
          </w:tcPr>
          <w:p>
            <w:pPr>
              <w:pStyle w:val="16"/>
            </w:pPr>
            <w:r>
              <w:t>服务对象满意度</w:t>
            </w:r>
          </w:p>
        </w:tc>
        <w:tc>
          <w:tcPr>
            <w:tcW w:w="2551" w:type="dxa"/>
            <w:vAlign w:val="center"/>
          </w:tcPr>
          <w:p>
            <w:pPr>
              <w:pStyle w:val="16"/>
            </w:pPr>
            <w:r>
              <w:t>≥98百分比</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5、冀财教【2018】156号提前下达2019年省级宣传文化（发展）专项资金的通知绩效目标表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采购文化用品的种类</w:t>
            </w:r>
          </w:p>
        </w:tc>
        <w:tc>
          <w:tcPr>
            <w:tcW w:w="2835" w:type="dxa"/>
            <w:vAlign w:val="center"/>
          </w:tcPr>
          <w:p>
            <w:pPr>
              <w:pStyle w:val="16"/>
            </w:pPr>
            <w:r>
              <w:t>所采购文化用品的种类</w:t>
            </w:r>
          </w:p>
        </w:tc>
        <w:tc>
          <w:tcPr>
            <w:tcW w:w="2551" w:type="dxa"/>
            <w:vAlign w:val="center"/>
          </w:tcPr>
          <w:p>
            <w:pPr>
              <w:pStyle w:val="16"/>
            </w:pPr>
            <w:r>
              <w:t>6种</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采购用品合格率</w:t>
            </w:r>
          </w:p>
        </w:tc>
        <w:tc>
          <w:tcPr>
            <w:tcW w:w="2835" w:type="dxa"/>
            <w:vAlign w:val="center"/>
          </w:tcPr>
          <w:p>
            <w:pPr>
              <w:pStyle w:val="16"/>
            </w:pPr>
            <w:r>
              <w:t>所采购的文化用品合格率</w:t>
            </w:r>
          </w:p>
        </w:tc>
        <w:tc>
          <w:tcPr>
            <w:tcW w:w="2551" w:type="dxa"/>
            <w:vAlign w:val="center"/>
          </w:tcPr>
          <w:p>
            <w:pPr>
              <w:pStyle w:val="16"/>
            </w:pPr>
            <w:r>
              <w:t>≥98百分比</w:t>
            </w:r>
          </w:p>
        </w:tc>
        <w:tc>
          <w:tcPr>
            <w:tcW w:w="2268" w:type="dxa"/>
            <w:vAlign w:val="center"/>
          </w:tcPr>
          <w:p>
            <w:pPr>
              <w:pStyle w:val="1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采购用品的周期</w:t>
            </w:r>
          </w:p>
        </w:tc>
        <w:tc>
          <w:tcPr>
            <w:tcW w:w="2835" w:type="dxa"/>
            <w:vAlign w:val="center"/>
          </w:tcPr>
          <w:p>
            <w:pPr>
              <w:pStyle w:val="16"/>
            </w:pPr>
            <w:r>
              <w:t>采购文化用品的周期</w:t>
            </w:r>
          </w:p>
        </w:tc>
        <w:tc>
          <w:tcPr>
            <w:tcW w:w="2551" w:type="dxa"/>
            <w:vAlign w:val="center"/>
          </w:tcPr>
          <w:p>
            <w:pPr>
              <w:pStyle w:val="16"/>
            </w:pPr>
            <w:r>
              <w:t>≥3月</w:t>
            </w:r>
          </w:p>
        </w:tc>
        <w:tc>
          <w:tcPr>
            <w:tcW w:w="2268" w:type="dxa"/>
            <w:vAlign w:val="center"/>
          </w:tcPr>
          <w:p>
            <w:pPr>
              <w:pStyle w:val="16"/>
            </w:pPr>
            <w:r>
              <w:t>招投标文件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采购笔记本电脑的单价</w:t>
            </w:r>
          </w:p>
        </w:tc>
        <w:tc>
          <w:tcPr>
            <w:tcW w:w="2835" w:type="dxa"/>
            <w:vAlign w:val="center"/>
          </w:tcPr>
          <w:p>
            <w:pPr>
              <w:pStyle w:val="16"/>
            </w:pPr>
            <w:r>
              <w:t>所采购笔记本电脑的单价</w:t>
            </w:r>
          </w:p>
        </w:tc>
        <w:tc>
          <w:tcPr>
            <w:tcW w:w="2551" w:type="dxa"/>
            <w:vAlign w:val="center"/>
          </w:tcPr>
          <w:p>
            <w:pPr>
              <w:pStyle w:val="16"/>
            </w:pPr>
            <w:r>
              <w:t>≥5300元</w:t>
            </w:r>
          </w:p>
        </w:tc>
        <w:tc>
          <w:tcPr>
            <w:tcW w:w="2268" w:type="dxa"/>
            <w:vAlign w:val="center"/>
          </w:tcPr>
          <w:p>
            <w:pPr>
              <w:pStyle w:val="16"/>
            </w:pPr>
            <w:r>
              <w:t>发票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文化服务水平提升</w:t>
            </w:r>
          </w:p>
        </w:tc>
        <w:tc>
          <w:tcPr>
            <w:tcW w:w="2835" w:type="dxa"/>
            <w:vAlign w:val="center"/>
          </w:tcPr>
          <w:p>
            <w:pPr>
              <w:pStyle w:val="16"/>
            </w:pPr>
            <w:r>
              <w:t>我县文化服务水平得到提升</w:t>
            </w:r>
          </w:p>
        </w:tc>
        <w:tc>
          <w:tcPr>
            <w:tcW w:w="2551" w:type="dxa"/>
            <w:vAlign w:val="center"/>
          </w:tcPr>
          <w:p>
            <w:pPr>
              <w:pStyle w:val="16"/>
            </w:pPr>
            <w:r>
              <w:t>大力提升</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文化艺术中心免费开放的运转率</w:t>
            </w:r>
          </w:p>
        </w:tc>
        <w:tc>
          <w:tcPr>
            <w:tcW w:w="2835" w:type="dxa"/>
            <w:vAlign w:val="center"/>
          </w:tcPr>
          <w:p>
            <w:pPr>
              <w:pStyle w:val="16"/>
            </w:pPr>
            <w:r>
              <w:t>文化艺术中心免费开放的运转率</w:t>
            </w:r>
          </w:p>
        </w:tc>
        <w:tc>
          <w:tcPr>
            <w:tcW w:w="2551" w:type="dxa"/>
            <w:vAlign w:val="center"/>
          </w:tcPr>
          <w:p>
            <w:pPr>
              <w:pStyle w:val="16"/>
            </w:pPr>
            <w:r>
              <w:t>稳步提升</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2835" w:type="dxa"/>
            <w:vAlign w:val="center"/>
          </w:tcPr>
          <w:p>
            <w:pPr>
              <w:pStyle w:val="16"/>
            </w:pPr>
            <w:r>
              <w:t>服务对象满意度</w:t>
            </w:r>
          </w:p>
        </w:tc>
        <w:tc>
          <w:tcPr>
            <w:tcW w:w="2551" w:type="dxa"/>
            <w:vAlign w:val="center"/>
          </w:tcPr>
          <w:p>
            <w:pPr>
              <w:pStyle w:val="16"/>
            </w:pPr>
            <w:r>
              <w:t>≥98百分比</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6、冀财教【2019】134号提前下达2020中央补助地方公共文化服务体系建设专项资金绩效目标表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配备文化用品行政村的数量</w:t>
            </w:r>
          </w:p>
        </w:tc>
        <w:tc>
          <w:tcPr>
            <w:tcW w:w="2835" w:type="dxa"/>
            <w:vAlign w:val="center"/>
          </w:tcPr>
          <w:p>
            <w:pPr>
              <w:pStyle w:val="16"/>
            </w:pPr>
            <w:r>
              <w:t>需配备文化用品的行政村数量</w:t>
            </w:r>
          </w:p>
        </w:tc>
        <w:tc>
          <w:tcPr>
            <w:tcW w:w="2551" w:type="dxa"/>
            <w:vAlign w:val="center"/>
          </w:tcPr>
          <w:p>
            <w:pPr>
              <w:pStyle w:val="16"/>
            </w:pPr>
            <w:r>
              <w:t>54个</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文化用品合格率</w:t>
            </w:r>
          </w:p>
        </w:tc>
        <w:tc>
          <w:tcPr>
            <w:tcW w:w="2835" w:type="dxa"/>
            <w:vAlign w:val="center"/>
          </w:tcPr>
          <w:p>
            <w:pPr>
              <w:pStyle w:val="16"/>
            </w:pPr>
            <w:r>
              <w:t>购买文化用品合格率</w:t>
            </w:r>
          </w:p>
        </w:tc>
        <w:tc>
          <w:tcPr>
            <w:tcW w:w="2551" w:type="dxa"/>
            <w:vAlign w:val="center"/>
          </w:tcPr>
          <w:p>
            <w:pPr>
              <w:pStyle w:val="16"/>
            </w:pPr>
            <w:r>
              <w:t>≥98百分比</w:t>
            </w:r>
          </w:p>
        </w:tc>
        <w:tc>
          <w:tcPr>
            <w:tcW w:w="2268" w:type="dxa"/>
            <w:vAlign w:val="center"/>
          </w:tcPr>
          <w:p>
            <w:pPr>
              <w:pStyle w:val="1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文化用品购买周期</w:t>
            </w:r>
          </w:p>
        </w:tc>
        <w:tc>
          <w:tcPr>
            <w:tcW w:w="2835" w:type="dxa"/>
            <w:vAlign w:val="center"/>
          </w:tcPr>
          <w:p>
            <w:pPr>
              <w:pStyle w:val="16"/>
            </w:pPr>
            <w:r>
              <w:t>购买文化用品所需周期</w:t>
            </w:r>
          </w:p>
        </w:tc>
        <w:tc>
          <w:tcPr>
            <w:tcW w:w="2551" w:type="dxa"/>
            <w:vAlign w:val="center"/>
          </w:tcPr>
          <w:p>
            <w:pPr>
              <w:pStyle w:val="16"/>
            </w:pPr>
            <w:r>
              <w:t>≥3月</w:t>
            </w:r>
          </w:p>
        </w:tc>
        <w:tc>
          <w:tcPr>
            <w:tcW w:w="2268" w:type="dxa"/>
            <w:vAlign w:val="center"/>
          </w:tcPr>
          <w:p>
            <w:pPr>
              <w:pStyle w:val="16"/>
            </w:pPr>
            <w:r>
              <w:t>招投标文件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广场舞服的单价</w:t>
            </w:r>
          </w:p>
        </w:tc>
        <w:tc>
          <w:tcPr>
            <w:tcW w:w="2835" w:type="dxa"/>
            <w:vAlign w:val="center"/>
          </w:tcPr>
          <w:p>
            <w:pPr>
              <w:pStyle w:val="16"/>
            </w:pPr>
            <w:r>
              <w:t>购买广场舞服的单价</w:t>
            </w:r>
          </w:p>
        </w:tc>
        <w:tc>
          <w:tcPr>
            <w:tcW w:w="2551" w:type="dxa"/>
            <w:vAlign w:val="center"/>
          </w:tcPr>
          <w:p>
            <w:pPr>
              <w:pStyle w:val="16"/>
            </w:pPr>
            <w:r>
              <w:t>182元</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基层文化服务水平提升</w:t>
            </w:r>
          </w:p>
        </w:tc>
        <w:tc>
          <w:tcPr>
            <w:tcW w:w="2835" w:type="dxa"/>
            <w:vAlign w:val="center"/>
          </w:tcPr>
          <w:p>
            <w:pPr>
              <w:pStyle w:val="16"/>
            </w:pPr>
            <w:r>
              <w:t>基层文化服务水平得到提升</w:t>
            </w:r>
          </w:p>
        </w:tc>
        <w:tc>
          <w:tcPr>
            <w:tcW w:w="2551" w:type="dxa"/>
            <w:vAlign w:val="center"/>
          </w:tcPr>
          <w:p>
            <w:pPr>
              <w:pStyle w:val="16"/>
            </w:pPr>
            <w:r>
              <w:t>大力提升</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群众文化得到推广</w:t>
            </w:r>
          </w:p>
        </w:tc>
        <w:tc>
          <w:tcPr>
            <w:tcW w:w="2835" w:type="dxa"/>
            <w:vAlign w:val="center"/>
          </w:tcPr>
          <w:p>
            <w:pPr>
              <w:pStyle w:val="16"/>
            </w:pPr>
            <w:r>
              <w:t>群众文化得到推广</w:t>
            </w:r>
          </w:p>
        </w:tc>
        <w:tc>
          <w:tcPr>
            <w:tcW w:w="2551" w:type="dxa"/>
            <w:vAlign w:val="center"/>
          </w:tcPr>
          <w:p>
            <w:pPr>
              <w:pStyle w:val="16"/>
            </w:pPr>
            <w:r>
              <w:t>大力推广</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服务对象的满意度</w:t>
            </w:r>
          </w:p>
        </w:tc>
        <w:tc>
          <w:tcPr>
            <w:tcW w:w="2835" w:type="dxa"/>
            <w:vAlign w:val="center"/>
          </w:tcPr>
          <w:p>
            <w:pPr>
              <w:pStyle w:val="16"/>
            </w:pPr>
            <w:r>
              <w:t>服务对象的满意度</w:t>
            </w:r>
          </w:p>
        </w:tc>
        <w:tc>
          <w:tcPr>
            <w:tcW w:w="2551" w:type="dxa"/>
            <w:vAlign w:val="center"/>
          </w:tcPr>
          <w:p>
            <w:pPr>
              <w:pStyle w:val="16"/>
            </w:pPr>
            <w:r>
              <w:t>≥98百分比</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7、冀财教【2020】96号下达2020年中央支持地方公共文化服务体系建设补助资金的通知绩效目标表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所购买文化用品的种类</w:t>
            </w:r>
          </w:p>
        </w:tc>
        <w:tc>
          <w:tcPr>
            <w:tcW w:w="2835" w:type="dxa"/>
            <w:vAlign w:val="center"/>
          </w:tcPr>
          <w:p>
            <w:pPr>
              <w:pStyle w:val="16"/>
            </w:pPr>
            <w:r>
              <w:t>所购买文化用品的种类</w:t>
            </w:r>
          </w:p>
        </w:tc>
        <w:tc>
          <w:tcPr>
            <w:tcW w:w="2551" w:type="dxa"/>
            <w:vAlign w:val="center"/>
          </w:tcPr>
          <w:p>
            <w:pPr>
              <w:pStyle w:val="16"/>
            </w:pPr>
            <w:r>
              <w:t>3种</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文化用品合格率</w:t>
            </w:r>
          </w:p>
        </w:tc>
        <w:tc>
          <w:tcPr>
            <w:tcW w:w="2835" w:type="dxa"/>
            <w:vAlign w:val="center"/>
          </w:tcPr>
          <w:p>
            <w:pPr>
              <w:pStyle w:val="16"/>
            </w:pPr>
            <w:r>
              <w:t>文化用品验收合格率</w:t>
            </w:r>
          </w:p>
        </w:tc>
        <w:tc>
          <w:tcPr>
            <w:tcW w:w="2551" w:type="dxa"/>
            <w:vAlign w:val="center"/>
          </w:tcPr>
          <w:p>
            <w:pPr>
              <w:pStyle w:val="16"/>
            </w:pPr>
            <w:r>
              <w:t>≥98百分比</w:t>
            </w:r>
          </w:p>
        </w:tc>
        <w:tc>
          <w:tcPr>
            <w:tcW w:w="2268" w:type="dxa"/>
            <w:vAlign w:val="center"/>
          </w:tcPr>
          <w:p>
            <w:pPr>
              <w:pStyle w:val="1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购买文化用品的周期</w:t>
            </w:r>
          </w:p>
        </w:tc>
        <w:tc>
          <w:tcPr>
            <w:tcW w:w="2835" w:type="dxa"/>
            <w:vAlign w:val="center"/>
          </w:tcPr>
          <w:p>
            <w:pPr>
              <w:pStyle w:val="16"/>
            </w:pPr>
            <w:r>
              <w:t>购买文化用品的时间</w:t>
            </w:r>
          </w:p>
        </w:tc>
        <w:tc>
          <w:tcPr>
            <w:tcW w:w="2551" w:type="dxa"/>
            <w:vAlign w:val="center"/>
          </w:tcPr>
          <w:p>
            <w:pPr>
              <w:pStyle w:val="16"/>
            </w:pPr>
            <w:r>
              <w:t>≥2月</w:t>
            </w:r>
          </w:p>
        </w:tc>
        <w:tc>
          <w:tcPr>
            <w:tcW w:w="2268" w:type="dxa"/>
            <w:vAlign w:val="center"/>
          </w:tcPr>
          <w:p>
            <w:pPr>
              <w:pStyle w:val="16"/>
            </w:pPr>
            <w:r>
              <w:t>招投标文件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购买演出服的单价</w:t>
            </w:r>
          </w:p>
        </w:tc>
        <w:tc>
          <w:tcPr>
            <w:tcW w:w="2835" w:type="dxa"/>
            <w:vAlign w:val="center"/>
          </w:tcPr>
          <w:p>
            <w:pPr>
              <w:pStyle w:val="16"/>
            </w:pPr>
            <w:r>
              <w:t>购买广场舞演出服的单价</w:t>
            </w:r>
          </w:p>
        </w:tc>
        <w:tc>
          <w:tcPr>
            <w:tcW w:w="2551" w:type="dxa"/>
            <w:vAlign w:val="center"/>
          </w:tcPr>
          <w:p>
            <w:pPr>
              <w:pStyle w:val="16"/>
            </w:pPr>
            <w:r>
              <w:t>182元</w:t>
            </w:r>
          </w:p>
        </w:tc>
        <w:tc>
          <w:tcPr>
            <w:tcW w:w="2268" w:type="dxa"/>
            <w:vAlign w:val="center"/>
          </w:tcPr>
          <w:p>
            <w:pPr>
              <w:pStyle w:val="16"/>
            </w:pPr>
            <w:r>
              <w:t>发票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基层公共文化服务水平提升</w:t>
            </w:r>
          </w:p>
        </w:tc>
        <w:tc>
          <w:tcPr>
            <w:tcW w:w="2835" w:type="dxa"/>
            <w:vAlign w:val="center"/>
          </w:tcPr>
          <w:p>
            <w:pPr>
              <w:pStyle w:val="16"/>
            </w:pPr>
            <w:r>
              <w:t>基层公共文化服务水平</w:t>
            </w:r>
          </w:p>
        </w:tc>
        <w:tc>
          <w:tcPr>
            <w:tcW w:w="2551" w:type="dxa"/>
            <w:vAlign w:val="center"/>
          </w:tcPr>
          <w:p>
            <w:pPr>
              <w:pStyle w:val="16"/>
            </w:pPr>
            <w:r>
              <w:t>稳步提升</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人民生活幸福指数</w:t>
            </w:r>
          </w:p>
        </w:tc>
        <w:tc>
          <w:tcPr>
            <w:tcW w:w="2835" w:type="dxa"/>
            <w:vAlign w:val="center"/>
          </w:tcPr>
          <w:p>
            <w:pPr>
              <w:pStyle w:val="16"/>
            </w:pPr>
            <w:r>
              <w:t>基层人民生活指数得到提升</w:t>
            </w:r>
          </w:p>
        </w:tc>
        <w:tc>
          <w:tcPr>
            <w:tcW w:w="2551" w:type="dxa"/>
            <w:vAlign w:val="center"/>
          </w:tcPr>
          <w:p>
            <w:pPr>
              <w:pStyle w:val="16"/>
            </w:pPr>
            <w:r>
              <w:t>稳步提升</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群众文化得到推广</w:t>
            </w:r>
          </w:p>
        </w:tc>
        <w:tc>
          <w:tcPr>
            <w:tcW w:w="2835" w:type="dxa"/>
            <w:vAlign w:val="center"/>
          </w:tcPr>
          <w:p>
            <w:pPr>
              <w:pStyle w:val="16"/>
            </w:pPr>
            <w:r>
              <w:t>群众文化得到推广</w:t>
            </w:r>
          </w:p>
        </w:tc>
        <w:tc>
          <w:tcPr>
            <w:tcW w:w="2551" w:type="dxa"/>
            <w:vAlign w:val="center"/>
          </w:tcPr>
          <w:p>
            <w:pPr>
              <w:pStyle w:val="16"/>
            </w:pPr>
            <w:r>
              <w:t>稳步提升</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2835" w:type="dxa"/>
            <w:vAlign w:val="center"/>
          </w:tcPr>
          <w:p>
            <w:pPr>
              <w:pStyle w:val="16"/>
            </w:pPr>
            <w:r>
              <w:t>服务对象满意度</w:t>
            </w:r>
          </w:p>
        </w:tc>
        <w:tc>
          <w:tcPr>
            <w:tcW w:w="2551" w:type="dxa"/>
            <w:vAlign w:val="center"/>
          </w:tcPr>
          <w:p>
            <w:pPr>
              <w:pStyle w:val="16"/>
            </w:pPr>
            <w:r>
              <w:t>≥98百分比</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8、冀财教【2021】138号提前下达2022年中央补助地方公共文化服务体系建设专项资金绩效目标表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进行数字文化平台建设的行政村</w:t>
            </w:r>
          </w:p>
        </w:tc>
        <w:tc>
          <w:tcPr>
            <w:tcW w:w="2835" w:type="dxa"/>
            <w:vAlign w:val="center"/>
          </w:tcPr>
          <w:p>
            <w:pPr>
              <w:pStyle w:val="16"/>
            </w:pPr>
            <w:r>
              <w:t>进行数字文化平台建设的行政村数量</w:t>
            </w:r>
          </w:p>
        </w:tc>
        <w:tc>
          <w:tcPr>
            <w:tcW w:w="2551" w:type="dxa"/>
            <w:vAlign w:val="center"/>
          </w:tcPr>
          <w:p>
            <w:pPr>
              <w:pStyle w:val="16"/>
            </w:pPr>
            <w:r>
              <w:t>20个</w:t>
            </w:r>
          </w:p>
        </w:tc>
        <w:tc>
          <w:tcPr>
            <w:tcW w:w="2268"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补助资金到位率</w:t>
            </w:r>
          </w:p>
        </w:tc>
        <w:tc>
          <w:tcPr>
            <w:tcW w:w="2835" w:type="dxa"/>
            <w:vAlign w:val="center"/>
          </w:tcPr>
          <w:p>
            <w:pPr>
              <w:pStyle w:val="16"/>
            </w:pPr>
            <w:r>
              <w:t>补助资金到位率</w:t>
            </w:r>
          </w:p>
        </w:tc>
        <w:tc>
          <w:tcPr>
            <w:tcW w:w="2551" w:type="dxa"/>
            <w:vAlign w:val="center"/>
          </w:tcPr>
          <w:p>
            <w:pPr>
              <w:pStyle w:val="16"/>
            </w:pPr>
            <w:r>
              <w:t>100百分比</w:t>
            </w:r>
          </w:p>
        </w:tc>
        <w:tc>
          <w:tcPr>
            <w:tcW w:w="2268" w:type="dxa"/>
            <w:vAlign w:val="center"/>
          </w:tcPr>
          <w:p>
            <w:pPr>
              <w:pStyle w:val="16"/>
            </w:pPr>
            <w:r>
              <w:t>专项资金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文化活动按期完成率</w:t>
            </w:r>
          </w:p>
        </w:tc>
        <w:tc>
          <w:tcPr>
            <w:tcW w:w="2835" w:type="dxa"/>
            <w:vAlign w:val="center"/>
          </w:tcPr>
          <w:p>
            <w:pPr>
              <w:pStyle w:val="16"/>
            </w:pPr>
            <w:r>
              <w:t>文化活动按期完成率</w:t>
            </w:r>
          </w:p>
        </w:tc>
        <w:tc>
          <w:tcPr>
            <w:tcW w:w="2551" w:type="dxa"/>
            <w:vAlign w:val="center"/>
          </w:tcPr>
          <w:p>
            <w:pPr>
              <w:pStyle w:val="16"/>
            </w:pPr>
            <w:r>
              <w:t>≥95百分比</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资金成本</w:t>
            </w:r>
          </w:p>
        </w:tc>
        <w:tc>
          <w:tcPr>
            <w:tcW w:w="2551" w:type="dxa"/>
            <w:vAlign w:val="center"/>
          </w:tcPr>
          <w:p>
            <w:pPr>
              <w:pStyle w:val="16"/>
            </w:pPr>
            <w:r>
              <w:t>≤139.85万元</w:t>
            </w:r>
          </w:p>
        </w:tc>
        <w:tc>
          <w:tcPr>
            <w:tcW w:w="2268" w:type="dxa"/>
            <w:vAlign w:val="center"/>
          </w:tcPr>
          <w:p>
            <w:pPr>
              <w:pStyle w:val="16"/>
            </w:pPr>
            <w:r>
              <w:t>专项资金文件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提升基层文化服务水平</w:t>
            </w:r>
          </w:p>
        </w:tc>
        <w:tc>
          <w:tcPr>
            <w:tcW w:w="2835" w:type="dxa"/>
            <w:vAlign w:val="center"/>
          </w:tcPr>
          <w:p>
            <w:pPr>
              <w:pStyle w:val="16"/>
            </w:pPr>
            <w:r>
              <w:t>基层文化服务水平提升</w:t>
            </w:r>
          </w:p>
        </w:tc>
        <w:tc>
          <w:tcPr>
            <w:tcW w:w="2551" w:type="dxa"/>
            <w:vAlign w:val="center"/>
          </w:tcPr>
          <w:p>
            <w:pPr>
              <w:pStyle w:val="16"/>
            </w:pPr>
            <w:r>
              <w:t>稳步提升</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传播推广群众文化</w:t>
            </w:r>
          </w:p>
        </w:tc>
        <w:tc>
          <w:tcPr>
            <w:tcW w:w="2835" w:type="dxa"/>
            <w:vAlign w:val="center"/>
          </w:tcPr>
          <w:p>
            <w:pPr>
              <w:pStyle w:val="16"/>
            </w:pPr>
            <w:r>
              <w:t>传播推广群众文化</w:t>
            </w:r>
          </w:p>
        </w:tc>
        <w:tc>
          <w:tcPr>
            <w:tcW w:w="2551" w:type="dxa"/>
            <w:vAlign w:val="center"/>
          </w:tcPr>
          <w:p>
            <w:pPr>
              <w:pStyle w:val="16"/>
            </w:pPr>
            <w:r>
              <w:t>大力传播</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2835" w:type="dxa"/>
            <w:vAlign w:val="center"/>
          </w:tcPr>
          <w:p>
            <w:pPr>
              <w:pStyle w:val="16"/>
            </w:pPr>
            <w:r>
              <w:t>服务对象满意度</w:t>
            </w:r>
          </w:p>
        </w:tc>
        <w:tc>
          <w:tcPr>
            <w:tcW w:w="2551" w:type="dxa"/>
            <w:vAlign w:val="center"/>
          </w:tcPr>
          <w:p>
            <w:pPr>
              <w:pStyle w:val="16"/>
            </w:pPr>
            <w:r>
              <w:t>≥98百分比</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9、冀财教【2021】141号提前下达2022中央补助地方美术馆 公共图书馆 文化馆免费开放资金的通知绩效目标表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免费开放的乡镇文化站数量</w:t>
            </w:r>
          </w:p>
        </w:tc>
        <w:tc>
          <w:tcPr>
            <w:tcW w:w="2835" w:type="dxa"/>
            <w:vAlign w:val="center"/>
          </w:tcPr>
          <w:p>
            <w:pPr>
              <w:pStyle w:val="16"/>
            </w:pPr>
            <w:r>
              <w:t>免费开放的乡镇文化站的数量</w:t>
            </w:r>
          </w:p>
        </w:tc>
        <w:tc>
          <w:tcPr>
            <w:tcW w:w="2551" w:type="dxa"/>
            <w:vAlign w:val="center"/>
          </w:tcPr>
          <w:p>
            <w:pPr>
              <w:pStyle w:val="16"/>
            </w:pPr>
            <w:r>
              <w:t>10个</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举办文化活动较上年增长率</w:t>
            </w:r>
          </w:p>
        </w:tc>
        <w:tc>
          <w:tcPr>
            <w:tcW w:w="2835" w:type="dxa"/>
            <w:vAlign w:val="center"/>
          </w:tcPr>
          <w:p>
            <w:pPr>
              <w:pStyle w:val="16"/>
            </w:pPr>
            <w:r>
              <w:t>举办文化活动较上年增长率</w:t>
            </w:r>
          </w:p>
        </w:tc>
        <w:tc>
          <w:tcPr>
            <w:tcW w:w="2551" w:type="dxa"/>
            <w:vAlign w:val="center"/>
          </w:tcPr>
          <w:p>
            <w:pPr>
              <w:pStyle w:val="16"/>
            </w:pPr>
            <w:r>
              <w:t>≥5百分比</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免费开放的周期</w:t>
            </w:r>
          </w:p>
        </w:tc>
        <w:tc>
          <w:tcPr>
            <w:tcW w:w="2835" w:type="dxa"/>
            <w:vAlign w:val="center"/>
          </w:tcPr>
          <w:p>
            <w:pPr>
              <w:pStyle w:val="16"/>
            </w:pPr>
            <w:r>
              <w:t>文化站免费开放的周期</w:t>
            </w:r>
          </w:p>
        </w:tc>
        <w:tc>
          <w:tcPr>
            <w:tcW w:w="2551" w:type="dxa"/>
            <w:vAlign w:val="center"/>
          </w:tcPr>
          <w:p>
            <w:pPr>
              <w:pStyle w:val="16"/>
            </w:pPr>
            <w:r>
              <w:t>1年</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每个文化站补助标准</w:t>
            </w:r>
          </w:p>
        </w:tc>
        <w:tc>
          <w:tcPr>
            <w:tcW w:w="2835" w:type="dxa"/>
            <w:vAlign w:val="center"/>
          </w:tcPr>
          <w:p>
            <w:pPr>
              <w:pStyle w:val="16"/>
            </w:pPr>
            <w:r>
              <w:t>每个乡镇文化站补助补助</w:t>
            </w:r>
          </w:p>
        </w:tc>
        <w:tc>
          <w:tcPr>
            <w:tcW w:w="2551" w:type="dxa"/>
            <w:vAlign w:val="center"/>
          </w:tcPr>
          <w:p>
            <w:pPr>
              <w:pStyle w:val="16"/>
            </w:pPr>
            <w:r>
              <w:t>3万元</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免费开放服务水平稳步提升</w:t>
            </w:r>
          </w:p>
        </w:tc>
        <w:tc>
          <w:tcPr>
            <w:tcW w:w="2835" w:type="dxa"/>
            <w:vAlign w:val="center"/>
          </w:tcPr>
          <w:p>
            <w:pPr>
              <w:pStyle w:val="16"/>
            </w:pPr>
            <w:r>
              <w:t>免费开放服务水平稳步提升</w:t>
            </w:r>
          </w:p>
        </w:tc>
        <w:tc>
          <w:tcPr>
            <w:tcW w:w="2551" w:type="dxa"/>
            <w:vAlign w:val="center"/>
          </w:tcPr>
          <w:p>
            <w:pPr>
              <w:pStyle w:val="16"/>
            </w:pPr>
            <w:r>
              <w:t>稳步提升</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免费开放文化场馆正常运转</w:t>
            </w:r>
          </w:p>
        </w:tc>
        <w:tc>
          <w:tcPr>
            <w:tcW w:w="2835" w:type="dxa"/>
            <w:vAlign w:val="center"/>
          </w:tcPr>
          <w:p>
            <w:pPr>
              <w:pStyle w:val="16"/>
            </w:pPr>
            <w:r>
              <w:t>免费开放文化站正常运转率</w:t>
            </w:r>
          </w:p>
        </w:tc>
        <w:tc>
          <w:tcPr>
            <w:tcW w:w="2551" w:type="dxa"/>
            <w:vAlign w:val="center"/>
          </w:tcPr>
          <w:p>
            <w:pPr>
              <w:pStyle w:val="16"/>
            </w:pPr>
            <w:r>
              <w:t>≥95百分比</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2835" w:type="dxa"/>
            <w:vAlign w:val="center"/>
          </w:tcPr>
          <w:p>
            <w:pPr>
              <w:pStyle w:val="16"/>
            </w:pPr>
            <w:r>
              <w:t>服务对象满意度</w:t>
            </w:r>
          </w:p>
        </w:tc>
        <w:tc>
          <w:tcPr>
            <w:tcW w:w="2551" w:type="dxa"/>
            <w:vAlign w:val="center"/>
          </w:tcPr>
          <w:p>
            <w:pPr>
              <w:pStyle w:val="16"/>
            </w:pPr>
            <w:r>
              <w:t>≥98百分比</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10、冀财教【2021】155号提前下达2022省级三馆一站免费开放补助资金绩效目标表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补助资金到位率</w:t>
            </w:r>
          </w:p>
        </w:tc>
        <w:tc>
          <w:tcPr>
            <w:tcW w:w="2835" w:type="dxa"/>
            <w:vAlign w:val="center"/>
          </w:tcPr>
          <w:p>
            <w:pPr>
              <w:pStyle w:val="16"/>
            </w:pPr>
            <w:r>
              <w:t>补助资金到位率</w:t>
            </w:r>
          </w:p>
        </w:tc>
        <w:tc>
          <w:tcPr>
            <w:tcW w:w="2551" w:type="dxa"/>
            <w:vAlign w:val="center"/>
          </w:tcPr>
          <w:p>
            <w:pPr>
              <w:pStyle w:val="16"/>
            </w:pPr>
            <w:r>
              <w:t>100百分比</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举办文化活动较上年增长率</w:t>
            </w:r>
          </w:p>
        </w:tc>
        <w:tc>
          <w:tcPr>
            <w:tcW w:w="2835" w:type="dxa"/>
            <w:vAlign w:val="center"/>
          </w:tcPr>
          <w:p>
            <w:pPr>
              <w:pStyle w:val="16"/>
            </w:pPr>
            <w:r>
              <w:t>举办文化活动较上年增长率</w:t>
            </w:r>
          </w:p>
        </w:tc>
        <w:tc>
          <w:tcPr>
            <w:tcW w:w="2551" w:type="dxa"/>
            <w:vAlign w:val="center"/>
          </w:tcPr>
          <w:p>
            <w:pPr>
              <w:pStyle w:val="16"/>
            </w:pPr>
            <w:r>
              <w:t>≥5百分比</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免费开放的周期</w:t>
            </w:r>
          </w:p>
        </w:tc>
        <w:tc>
          <w:tcPr>
            <w:tcW w:w="2835" w:type="dxa"/>
            <w:vAlign w:val="center"/>
          </w:tcPr>
          <w:p>
            <w:pPr>
              <w:pStyle w:val="16"/>
            </w:pPr>
            <w:r>
              <w:t>免费开放的周期</w:t>
            </w:r>
          </w:p>
        </w:tc>
        <w:tc>
          <w:tcPr>
            <w:tcW w:w="2551" w:type="dxa"/>
            <w:vAlign w:val="center"/>
          </w:tcPr>
          <w:p>
            <w:pPr>
              <w:pStyle w:val="16"/>
            </w:pPr>
            <w:r>
              <w:t>1年</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每个乡镇文化站的补助标准</w:t>
            </w:r>
          </w:p>
        </w:tc>
        <w:tc>
          <w:tcPr>
            <w:tcW w:w="2835" w:type="dxa"/>
            <w:vAlign w:val="center"/>
          </w:tcPr>
          <w:p>
            <w:pPr>
              <w:pStyle w:val="16"/>
            </w:pPr>
            <w:r>
              <w:t>每个乡镇文化站的补助标准</w:t>
            </w:r>
          </w:p>
        </w:tc>
        <w:tc>
          <w:tcPr>
            <w:tcW w:w="2551" w:type="dxa"/>
            <w:vAlign w:val="center"/>
          </w:tcPr>
          <w:p>
            <w:pPr>
              <w:pStyle w:val="16"/>
            </w:pPr>
            <w:r>
              <w:t>0.5万元</w:t>
            </w:r>
          </w:p>
        </w:tc>
        <w:tc>
          <w:tcPr>
            <w:tcW w:w="2268" w:type="dxa"/>
            <w:vAlign w:val="center"/>
          </w:tcPr>
          <w:p>
            <w:pPr>
              <w:pStyle w:val="16"/>
            </w:pPr>
            <w:r>
              <w:t>发票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免费开放服务水平稳步提升</w:t>
            </w:r>
          </w:p>
        </w:tc>
        <w:tc>
          <w:tcPr>
            <w:tcW w:w="2835" w:type="dxa"/>
            <w:vAlign w:val="center"/>
          </w:tcPr>
          <w:p>
            <w:pPr>
              <w:pStyle w:val="16"/>
            </w:pPr>
            <w:r>
              <w:t>免费开放服务水平稳步提升</w:t>
            </w:r>
          </w:p>
        </w:tc>
        <w:tc>
          <w:tcPr>
            <w:tcW w:w="2551" w:type="dxa"/>
            <w:vAlign w:val="center"/>
          </w:tcPr>
          <w:p>
            <w:pPr>
              <w:pStyle w:val="16"/>
            </w:pPr>
            <w:r>
              <w:t>稳步提升</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免费开放服务水平稳步提升</w:t>
            </w:r>
          </w:p>
        </w:tc>
        <w:tc>
          <w:tcPr>
            <w:tcW w:w="2835" w:type="dxa"/>
            <w:vAlign w:val="center"/>
          </w:tcPr>
          <w:p>
            <w:pPr>
              <w:pStyle w:val="16"/>
            </w:pPr>
            <w:r>
              <w:t>免费开放服务水平稳步提升</w:t>
            </w:r>
          </w:p>
        </w:tc>
        <w:tc>
          <w:tcPr>
            <w:tcW w:w="2551" w:type="dxa"/>
            <w:vAlign w:val="center"/>
          </w:tcPr>
          <w:p>
            <w:pPr>
              <w:pStyle w:val="16"/>
            </w:pPr>
            <w:r>
              <w:t>稳步提升</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2835" w:type="dxa"/>
            <w:vAlign w:val="center"/>
          </w:tcPr>
          <w:p>
            <w:pPr>
              <w:pStyle w:val="16"/>
            </w:pPr>
            <w:r>
              <w:t>服务对象满意度</w:t>
            </w:r>
          </w:p>
        </w:tc>
        <w:tc>
          <w:tcPr>
            <w:tcW w:w="2551" w:type="dxa"/>
            <w:vAlign w:val="center"/>
          </w:tcPr>
          <w:p>
            <w:pPr>
              <w:pStyle w:val="16"/>
            </w:pPr>
            <w:r>
              <w:t>≥98百分百</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11、毛主席视察纪念馆老馆主馆修缮项目绩效目标表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地面走廊混凝土厚度</w:t>
            </w:r>
          </w:p>
        </w:tc>
        <w:tc>
          <w:tcPr>
            <w:tcW w:w="2835" w:type="dxa"/>
            <w:vAlign w:val="center"/>
          </w:tcPr>
          <w:p>
            <w:pPr>
              <w:pStyle w:val="16"/>
            </w:pPr>
            <w:r>
              <w:t>地面走廊混凝土垫层的厚度</w:t>
            </w:r>
          </w:p>
        </w:tc>
        <w:tc>
          <w:tcPr>
            <w:tcW w:w="2551" w:type="dxa"/>
            <w:vAlign w:val="center"/>
          </w:tcPr>
          <w:p>
            <w:pPr>
              <w:pStyle w:val="16"/>
            </w:pPr>
            <w:r>
              <w:t>60mm</w:t>
            </w:r>
          </w:p>
        </w:tc>
        <w:tc>
          <w:tcPr>
            <w:tcW w:w="2268" w:type="dxa"/>
            <w:vAlign w:val="center"/>
          </w:tcPr>
          <w:p>
            <w:pPr>
              <w:pStyle w:val="16"/>
            </w:pPr>
            <w:r>
              <w:t>工程签证单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工程验收合格率</w:t>
            </w:r>
          </w:p>
        </w:tc>
        <w:tc>
          <w:tcPr>
            <w:tcW w:w="2835" w:type="dxa"/>
            <w:vAlign w:val="center"/>
          </w:tcPr>
          <w:p>
            <w:pPr>
              <w:pStyle w:val="16"/>
            </w:pPr>
            <w:r>
              <w:t>工程验收合格率</w:t>
            </w:r>
          </w:p>
        </w:tc>
        <w:tc>
          <w:tcPr>
            <w:tcW w:w="2551" w:type="dxa"/>
            <w:vAlign w:val="center"/>
          </w:tcPr>
          <w:p>
            <w:pPr>
              <w:pStyle w:val="16"/>
            </w:pPr>
            <w:r>
              <w:t>≥98百分比</w:t>
            </w:r>
          </w:p>
        </w:tc>
        <w:tc>
          <w:tcPr>
            <w:tcW w:w="2268" w:type="dxa"/>
            <w:vAlign w:val="center"/>
          </w:tcPr>
          <w:p>
            <w:pPr>
              <w:pStyle w:val="1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工程进行时间</w:t>
            </w:r>
          </w:p>
        </w:tc>
        <w:tc>
          <w:tcPr>
            <w:tcW w:w="2835" w:type="dxa"/>
            <w:vAlign w:val="center"/>
          </w:tcPr>
          <w:p>
            <w:pPr>
              <w:pStyle w:val="16"/>
            </w:pPr>
            <w:r>
              <w:t>工程进行时间</w:t>
            </w:r>
          </w:p>
        </w:tc>
        <w:tc>
          <w:tcPr>
            <w:tcW w:w="2551" w:type="dxa"/>
            <w:vAlign w:val="center"/>
          </w:tcPr>
          <w:p>
            <w:pPr>
              <w:pStyle w:val="16"/>
            </w:pPr>
            <w:r>
              <w:t>2月</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人工费成本</w:t>
            </w:r>
          </w:p>
        </w:tc>
        <w:tc>
          <w:tcPr>
            <w:tcW w:w="2835" w:type="dxa"/>
            <w:vAlign w:val="center"/>
          </w:tcPr>
          <w:p>
            <w:pPr>
              <w:pStyle w:val="16"/>
            </w:pPr>
            <w:r>
              <w:t>整个工程人工费合计</w:t>
            </w:r>
          </w:p>
        </w:tc>
        <w:tc>
          <w:tcPr>
            <w:tcW w:w="2551" w:type="dxa"/>
            <w:vAlign w:val="center"/>
          </w:tcPr>
          <w:p>
            <w:pPr>
              <w:pStyle w:val="16"/>
            </w:pPr>
            <w:r>
              <w:t>≤50667.78元</w:t>
            </w:r>
          </w:p>
        </w:tc>
        <w:tc>
          <w:tcPr>
            <w:tcW w:w="2268" w:type="dxa"/>
            <w:vAlign w:val="center"/>
          </w:tcPr>
          <w:p>
            <w:pPr>
              <w:pStyle w:val="16"/>
            </w:pPr>
            <w:r>
              <w:t>工程量清单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提升红色文化服务水平</w:t>
            </w:r>
          </w:p>
        </w:tc>
        <w:tc>
          <w:tcPr>
            <w:tcW w:w="2835" w:type="dxa"/>
            <w:vAlign w:val="center"/>
          </w:tcPr>
          <w:p>
            <w:pPr>
              <w:pStyle w:val="16"/>
            </w:pPr>
            <w:r>
              <w:t>提升红色文化服务水平</w:t>
            </w:r>
          </w:p>
        </w:tc>
        <w:tc>
          <w:tcPr>
            <w:tcW w:w="2551" w:type="dxa"/>
            <w:vAlign w:val="center"/>
          </w:tcPr>
          <w:p>
            <w:pPr>
              <w:pStyle w:val="16"/>
            </w:pPr>
            <w:r>
              <w:t>稳步提升</w:t>
            </w:r>
          </w:p>
        </w:tc>
        <w:tc>
          <w:tcPr>
            <w:tcW w:w="2268" w:type="dxa"/>
            <w:vAlign w:val="center"/>
          </w:tcPr>
          <w:p>
            <w:pPr>
              <w:pStyle w:val="16"/>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纪念馆的使用寿命</w:t>
            </w:r>
          </w:p>
        </w:tc>
        <w:tc>
          <w:tcPr>
            <w:tcW w:w="2835" w:type="dxa"/>
            <w:vAlign w:val="center"/>
          </w:tcPr>
          <w:p>
            <w:pPr>
              <w:pStyle w:val="16"/>
            </w:pPr>
            <w:r>
              <w:t>毛主席视察成安纪念馆老馆使用寿命延长</w:t>
            </w:r>
          </w:p>
        </w:tc>
        <w:tc>
          <w:tcPr>
            <w:tcW w:w="2551" w:type="dxa"/>
            <w:vAlign w:val="center"/>
          </w:tcPr>
          <w:p>
            <w:pPr>
              <w:pStyle w:val="16"/>
            </w:pPr>
            <w:r>
              <w:t>延长使用时间</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2835" w:type="dxa"/>
            <w:vAlign w:val="center"/>
          </w:tcPr>
          <w:p>
            <w:pPr>
              <w:pStyle w:val="16"/>
            </w:pPr>
            <w:r>
              <w:t>服务对象满意度</w:t>
            </w:r>
          </w:p>
        </w:tc>
        <w:tc>
          <w:tcPr>
            <w:tcW w:w="2551" w:type="dxa"/>
            <w:vAlign w:val="center"/>
          </w:tcPr>
          <w:p>
            <w:pPr>
              <w:pStyle w:val="16"/>
            </w:pPr>
            <w:r>
              <w:t>≥98百分比</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12、文广旅局关于申请毛主席纪念馆公厕建设资金的报告绩效目标表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抹墙真石漆平方数</w:t>
            </w:r>
          </w:p>
        </w:tc>
        <w:tc>
          <w:tcPr>
            <w:tcW w:w="2835" w:type="dxa"/>
            <w:vAlign w:val="center"/>
          </w:tcPr>
          <w:p>
            <w:pPr>
              <w:pStyle w:val="16"/>
            </w:pPr>
            <w:r>
              <w:t>公厕外墙面涂抹真石漆平方数</w:t>
            </w:r>
          </w:p>
        </w:tc>
        <w:tc>
          <w:tcPr>
            <w:tcW w:w="2551" w:type="dxa"/>
            <w:vAlign w:val="center"/>
          </w:tcPr>
          <w:p>
            <w:pPr>
              <w:pStyle w:val="16"/>
            </w:pPr>
            <w:r>
              <w:t>≥186.8平方米</w:t>
            </w:r>
          </w:p>
        </w:tc>
        <w:tc>
          <w:tcPr>
            <w:tcW w:w="2268" w:type="dxa"/>
            <w:vAlign w:val="center"/>
          </w:tcPr>
          <w:p>
            <w:pPr>
              <w:pStyle w:val="16"/>
            </w:pPr>
            <w:r>
              <w:t>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工程验收合格率</w:t>
            </w:r>
          </w:p>
        </w:tc>
        <w:tc>
          <w:tcPr>
            <w:tcW w:w="2835" w:type="dxa"/>
            <w:vAlign w:val="center"/>
          </w:tcPr>
          <w:p>
            <w:pPr>
              <w:pStyle w:val="16"/>
            </w:pPr>
            <w:r>
              <w:t>公厕建设工程验收合格率</w:t>
            </w:r>
          </w:p>
        </w:tc>
        <w:tc>
          <w:tcPr>
            <w:tcW w:w="2551" w:type="dxa"/>
            <w:vAlign w:val="center"/>
          </w:tcPr>
          <w:p>
            <w:pPr>
              <w:pStyle w:val="16"/>
            </w:pPr>
            <w:r>
              <w:t>≥98百分比</w:t>
            </w:r>
          </w:p>
        </w:tc>
        <w:tc>
          <w:tcPr>
            <w:tcW w:w="2268" w:type="dxa"/>
            <w:vAlign w:val="center"/>
          </w:tcPr>
          <w:p>
            <w:pPr>
              <w:pStyle w:val="1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建设公厕的周期</w:t>
            </w:r>
          </w:p>
        </w:tc>
        <w:tc>
          <w:tcPr>
            <w:tcW w:w="2835" w:type="dxa"/>
            <w:vAlign w:val="center"/>
          </w:tcPr>
          <w:p>
            <w:pPr>
              <w:pStyle w:val="16"/>
            </w:pPr>
            <w:r>
              <w:t>公厕建设的时间</w:t>
            </w:r>
          </w:p>
        </w:tc>
        <w:tc>
          <w:tcPr>
            <w:tcW w:w="2551" w:type="dxa"/>
            <w:vAlign w:val="center"/>
          </w:tcPr>
          <w:p>
            <w:pPr>
              <w:pStyle w:val="16"/>
            </w:pPr>
            <w:r>
              <w:t>≥3月</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资金成本</w:t>
            </w:r>
          </w:p>
        </w:tc>
        <w:tc>
          <w:tcPr>
            <w:tcW w:w="2551" w:type="dxa"/>
            <w:vAlign w:val="center"/>
          </w:tcPr>
          <w:p>
            <w:pPr>
              <w:pStyle w:val="16"/>
            </w:pPr>
            <w:r>
              <w:t>≥27.5万元</w:t>
            </w:r>
          </w:p>
        </w:tc>
        <w:tc>
          <w:tcPr>
            <w:tcW w:w="2268" w:type="dxa"/>
            <w:vAlign w:val="center"/>
          </w:tcPr>
          <w:p>
            <w:pPr>
              <w:pStyle w:val="16"/>
            </w:pPr>
            <w:r>
              <w:t>发票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提升红色文化服务水平</w:t>
            </w:r>
          </w:p>
        </w:tc>
        <w:tc>
          <w:tcPr>
            <w:tcW w:w="2835" w:type="dxa"/>
            <w:vAlign w:val="center"/>
          </w:tcPr>
          <w:p>
            <w:pPr>
              <w:pStyle w:val="16"/>
            </w:pPr>
            <w:r>
              <w:t>提升红色文化服务水平</w:t>
            </w:r>
          </w:p>
        </w:tc>
        <w:tc>
          <w:tcPr>
            <w:tcW w:w="2551" w:type="dxa"/>
            <w:vAlign w:val="center"/>
          </w:tcPr>
          <w:p>
            <w:pPr>
              <w:pStyle w:val="16"/>
            </w:pPr>
            <w:r>
              <w:t>大力提升</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改善毛主席视察成安纪念馆的生态环境</w:t>
            </w:r>
          </w:p>
        </w:tc>
        <w:tc>
          <w:tcPr>
            <w:tcW w:w="2835" w:type="dxa"/>
            <w:vAlign w:val="center"/>
          </w:tcPr>
          <w:p>
            <w:pPr>
              <w:pStyle w:val="16"/>
            </w:pPr>
            <w:r>
              <w:t>对毛主席视察成安纪念馆的生态环境改善</w:t>
            </w:r>
          </w:p>
        </w:tc>
        <w:tc>
          <w:tcPr>
            <w:tcW w:w="2551" w:type="dxa"/>
            <w:vAlign w:val="center"/>
          </w:tcPr>
          <w:p>
            <w:pPr>
              <w:pStyle w:val="16"/>
            </w:pPr>
            <w:r>
              <w:t>改善生态环境</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红色文化传承</w:t>
            </w:r>
          </w:p>
        </w:tc>
        <w:tc>
          <w:tcPr>
            <w:tcW w:w="2835" w:type="dxa"/>
            <w:vAlign w:val="center"/>
          </w:tcPr>
          <w:p>
            <w:pPr>
              <w:pStyle w:val="16"/>
            </w:pPr>
            <w:r>
              <w:t>红色文化传承率大大提升</w:t>
            </w:r>
          </w:p>
        </w:tc>
        <w:tc>
          <w:tcPr>
            <w:tcW w:w="2551" w:type="dxa"/>
            <w:vAlign w:val="center"/>
          </w:tcPr>
          <w:p>
            <w:pPr>
              <w:pStyle w:val="16"/>
            </w:pPr>
            <w:r>
              <w:t>稳步提升</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2835" w:type="dxa"/>
            <w:vAlign w:val="center"/>
          </w:tcPr>
          <w:p>
            <w:pPr>
              <w:pStyle w:val="16"/>
            </w:pPr>
            <w:r>
              <w:t>服务对象满意度</w:t>
            </w:r>
          </w:p>
        </w:tc>
        <w:tc>
          <w:tcPr>
            <w:tcW w:w="2551" w:type="dxa"/>
            <w:vAlign w:val="center"/>
          </w:tcPr>
          <w:p>
            <w:pPr>
              <w:pStyle w:val="16"/>
            </w:pPr>
            <w:r>
              <w:t>≥98百分比</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outlineLvl w:val="5"/>
      </w:pPr>
      <w:r>
        <w:rPr>
          <w:rFonts w:ascii="黑体" w:hAnsi="黑体" w:eastAsia="黑体" w:cs="黑体"/>
          <w:color w:val="000000"/>
          <w:sz w:val="32"/>
        </w:rPr>
        <w:t>六、政府采购预算情况</w:t>
      </w:r>
    </w:p>
    <w:p>
      <w:pPr>
        <w:keepNext w:val="0"/>
        <w:keepLines w:val="0"/>
        <w:pageBreakBefore w:val="0"/>
        <w:widowControl/>
        <w:kinsoku/>
        <w:wordWrap/>
        <w:overflowPunct/>
        <w:topLinePunct w:val="0"/>
        <w:autoSpaceDE/>
        <w:autoSpaceDN/>
        <w:bidi w:val="0"/>
        <w:adjustRightInd/>
        <w:snapToGrid/>
        <w:spacing w:line="560" w:lineRule="exact"/>
        <w:ind w:firstLine="560"/>
        <w:jc w:val="left"/>
        <w:textAlignment w:val="auto"/>
        <w:outlineLvl w:val="9"/>
      </w:pPr>
      <w:r>
        <w:rPr>
          <w:rFonts w:ascii="Times New Roman" w:hAnsi="Times New Roman" w:eastAsia="方正仿宋_GBK" w:cs="Times New Roman"/>
          <w:b w:val="0"/>
          <w:color w:val="000000"/>
          <w:sz w:val="28"/>
        </w:rPr>
        <w:t>2022年，成安县文化广电和旅游局本级安排政府采购预算0.00万元。具体内容见下表。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821001成安县文化广电和旅游局本级</w:t>
            </w:r>
          </w:p>
        </w:tc>
        <w:tc>
          <w:tcPr>
            <w:tcW w:w="8674"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outlineLvl w:val="5"/>
      </w:pPr>
      <w:r>
        <w:rPr>
          <w:rFonts w:ascii="黑体" w:hAnsi="黑体" w:eastAsia="黑体" w:cs="黑体"/>
          <w:color w:val="000000"/>
          <w:sz w:val="32"/>
        </w:rPr>
        <w:t>七、国有资产信息</w:t>
      </w:r>
    </w:p>
    <w:p>
      <w:pPr>
        <w:spacing w:line="560" w:lineRule="exact"/>
        <w:ind w:firstLine="640"/>
        <w:rPr>
          <w:rFonts w:ascii="仿宋" w:hAnsi="仿宋" w:eastAsia="仿宋" w:cs="Times New Roman"/>
          <w:sz w:val="32"/>
          <w:szCs w:val="32"/>
        </w:rPr>
      </w:pPr>
      <w:r>
        <w:rPr>
          <w:rFonts w:hint="eastAsia" w:ascii="仿宋" w:hAnsi="仿宋" w:eastAsia="仿宋" w:cs="仿宋_GB2312"/>
          <w:sz w:val="32"/>
          <w:szCs w:val="32"/>
        </w:rPr>
        <w:t>文化广电和旅游局，上年末固定资产金额为19.7万元，本年度拟购置固定资产</w:t>
      </w:r>
      <w:r>
        <w:rPr>
          <w:rFonts w:hint="eastAsia" w:ascii="仿宋" w:hAnsi="仿宋" w:eastAsia="仿宋" w:cs="仿宋_GB2312"/>
          <w:sz w:val="32"/>
          <w:szCs w:val="32"/>
          <w:lang w:val="en-US" w:eastAsia="zh-CN"/>
        </w:rPr>
        <w:t>0万元</w:t>
      </w:r>
      <w:r>
        <w:rPr>
          <w:rFonts w:hint="eastAsia" w:ascii="仿宋" w:hAnsi="仿宋" w:eastAsia="仿宋" w:cs="仿宋_GB2312"/>
          <w:sz w:val="32"/>
          <w:szCs w:val="32"/>
        </w:rPr>
        <w:t>。办公地点占用文化馆100平方米。详见下表。</w:t>
      </w:r>
    </w:p>
    <w:p>
      <w:pPr>
        <w:spacing w:before="0" w:after="0" w:line="240" w:lineRule="auto"/>
        <w:ind w:firstLine="0"/>
        <w:jc w:val="center"/>
        <w:outlineLvl w:val="9"/>
        <w:rPr>
          <w:rFonts w:ascii="方正小标宋_GBK" w:hAnsi="方正小标宋_GBK" w:eastAsia="方正小标宋_GBK" w:cs="方正小标宋_GBK"/>
          <w:color w:val="000000"/>
          <w:sz w:val="36"/>
          <w:highlight w:val="none"/>
        </w:rPr>
      </w:pPr>
    </w:p>
    <w:p>
      <w:pPr>
        <w:spacing w:before="0" w:after="0" w:line="240" w:lineRule="auto"/>
        <w:ind w:firstLine="0"/>
        <w:jc w:val="center"/>
        <w:outlineLvl w:val="9"/>
        <w:rPr>
          <w:rFonts w:ascii="方正小标宋_GBK" w:hAnsi="方正小标宋_GBK" w:eastAsia="方正小标宋_GBK" w:cs="方正小标宋_GBK"/>
          <w:color w:val="000000"/>
          <w:sz w:val="36"/>
          <w:highlight w:val="none"/>
        </w:rPr>
      </w:pPr>
    </w:p>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pPr>
      <w:r>
        <w:rPr>
          <w:rFonts w:ascii="Times New Roman" w:hAnsi="Times New Roman" w:eastAsia="方正仿宋_GBK" w:cs="Times New Roman"/>
          <w:color w:val="000000"/>
          <w:sz w:val="32"/>
        </w:rPr>
        <w:t xml:space="preserve"> </w:t>
      </w:r>
    </w:p>
    <w:tbl>
      <w:tblPr>
        <w:tblStyle w:val="8"/>
        <w:tblW w:w="10063" w:type="dxa"/>
        <w:tblInd w:w="1951" w:type="dxa"/>
        <w:tblLayout w:type="fixed"/>
        <w:tblCellMar>
          <w:top w:w="0" w:type="dxa"/>
          <w:left w:w="108" w:type="dxa"/>
          <w:bottom w:w="0" w:type="dxa"/>
          <w:right w:w="108" w:type="dxa"/>
        </w:tblCellMar>
      </w:tblPr>
      <w:tblGrid>
        <w:gridCol w:w="4802"/>
        <w:gridCol w:w="1417"/>
        <w:gridCol w:w="3844"/>
      </w:tblGrid>
      <w:tr>
        <w:tblPrEx>
          <w:tblCellMar>
            <w:top w:w="0" w:type="dxa"/>
            <w:left w:w="108" w:type="dxa"/>
            <w:bottom w:w="0" w:type="dxa"/>
            <w:right w:w="108" w:type="dxa"/>
          </w:tblCellMar>
        </w:tblPrEx>
        <w:trPr>
          <w:trHeight w:val="705" w:hRule="atLeast"/>
        </w:trPr>
        <w:tc>
          <w:tcPr>
            <w:tcW w:w="10063" w:type="dxa"/>
            <w:gridSpan w:val="3"/>
            <w:tcBorders>
              <w:top w:val="nil"/>
              <w:left w:val="nil"/>
              <w:bottom w:val="nil"/>
              <w:right w:val="nil"/>
            </w:tcBorders>
            <w:vAlign w:val="center"/>
          </w:tcPr>
          <w:p>
            <w:pPr>
              <w:widowControl/>
              <w:jc w:val="center"/>
              <w:rPr>
                <w:rFonts w:ascii="仿宋" w:hAnsi="仿宋" w:eastAsia="仿宋" w:cs="Times New Roman"/>
                <w:b/>
                <w:bCs/>
                <w:kern w:val="0"/>
                <w:sz w:val="32"/>
                <w:szCs w:val="32"/>
              </w:rPr>
            </w:pPr>
          </w:p>
          <w:p>
            <w:pPr>
              <w:widowControl/>
              <w:jc w:val="center"/>
              <w:rPr>
                <w:rFonts w:ascii="楷体" w:hAnsi="楷体" w:eastAsia="楷体" w:cs="Times New Roman"/>
                <w:b/>
                <w:bCs/>
                <w:kern w:val="0"/>
                <w:sz w:val="32"/>
                <w:szCs w:val="32"/>
              </w:rPr>
            </w:pPr>
            <w:r>
              <w:rPr>
                <w:rFonts w:hint="eastAsia" w:ascii="楷体" w:hAnsi="楷体" w:eastAsia="楷体" w:cs="宋体"/>
                <w:b/>
                <w:bCs/>
                <w:kern w:val="0"/>
                <w:sz w:val="32"/>
                <w:szCs w:val="32"/>
                <w:lang w:eastAsia="zh-CN"/>
              </w:rPr>
              <w:t>单位</w:t>
            </w:r>
            <w:r>
              <w:rPr>
                <w:rFonts w:hint="eastAsia" w:ascii="楷体" w:hAnsi="楷体" w:eastAsia="楷体" w:cs="宋体"/>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6219" w:type="dxa"/>
            <w:gridSpan w:val="2"/>
            <w:tcBorders>
              <w:top w:val="nil"/>
              <w:left w:val="nil"/>
              <w:bottom w:val="nil"/>
              <w:right w:val="nil"/>
            </w:tcBorders>
            <w:vAlign w:val="center"/>
          </w:tcPr>
          <w:p>
            <w:pPr>
              <w:widowControl/>
              <w:jc w:val="left"/>
              <w:rPr>
                <w:rFonts w:cs="Times New Roman" w:asciiTheme="minorEastAsia" w:hAnsiTheme="minorEastAsia"/>
                <w:kern w:val="0"/>
              </w:rPr>
            </w:pPr>
            <w:r>
              <w:rPr>
                <w:rFonts w:hint="eastAsia" w:cs="宋体" w:asciiTheme="minorEastAsia" w:hAnsiTheme="minorEastAsia"/>
                <w:kern w:val="0"/>
              </w:rPr>
              <w:t>编制部门：成安县文化广电和旅游局</w:t>
            </w:r>
          </w:p>
        </w:tc>
        <w:tc>
          <w:tcPr>
            <w:tcW w:w="3844" w:type="dxa"/>
            <w:tcBorders>
              <w:top w:val="nil"/>
              <w:left w:val="nil"/>
              <w:bottom w:val="nil"/>
              <w:right w:val="nil"/>
            </w:tcBorders>
            <w:vAlign w:val="center"/>
          </w:tcPr>
          <w:p>
            <w:pPr>
              <w:widowControl/>
              <w:ind w:firstLine="600" w:firstLineChars="250"/>
              <w:jc w:val="left"/>
              <w:rPr>
                <w:rFonts w:cs="宋体" w:asciiTheme="minorEastAsia" w:hAnsiTheme="minorEastAsia"/>
                <w:kern w:val="0"/>
              </w:rPr>
            </w:pPr>
            <w:r>
              <w:rPr>
                <w:rFonts w:hint="eastAsia" w:cs="宋体" w:asciiTheme="minorEastAsia" w:hAnsiTheme="minorEastAsia"/>
                <w:kern w:val="0"/>
              </w:rPr>
              <w:t>截止时间：20</w:t>
            </w:r>
            <w:r>
              <w:rPr>
                <w:rFonts w:hint="eastAsia" w:cs="宋体" w:asciiTheme="minorEastAsia" w:hAnsiTheme="minorEastAsia"/>
                <w:kern w:val="0"/>
                <w:lang w:val="en-US" w:eastAsia="zh-CN"/>
              </w:rPr>
              <w:t>21</w:t>
            </w:r>
            <w:r>
              <w:rPr>
                <w:rFonts w:hint="eastAsia" w:cs="宋体" w:asciiTheme="minorEastAsia" w:hAnsiTheme="minorEastAsia"/>
                <w:kern w:val="0"/>
              </w:rPr>
              <w:t>年</w:t>
            </w:r>
            <w:r>
              <w:rPr>
                <w:rFonts w:cs="宋体" w:asciiTheme="minorEastAsia" w:hAnsiTheme="minorEastAsia"/>
                <w:kern w:val="0"/>
              </w:rPr>
              <w:t>12</w:t>
            </w:r>
            <w:r>
              <w:rPr>
                <w:rFonts w:hint="eastAsia" w:cs="宋体" w:asciiTheme="minorEastAsia" w:hAnsiTheme="minorEastAsia"/>
                <w:kern w:val="0"/>
              </w:rPr>
              <w:t>月</w:t>
            </w:r>
            <w:r>
              <w:rPr>
                <w:rFonts w:cs="宋体" w:asciiTheme="minorEastAsia" w:hAnsiTheme="minorEastAsia"/>
                <w:kern w:val="0"/>
              </w:rPr>
              <w:t>31</w:t>
            </w:r>
            <w:r>
              <w:rPr>
                <w:rFonts w:hint="eastAsia" w:cs="宋体" w:asciiTheme="minorEastAsia" w:hAnsiTheme="minorEastAsia"/>
                <w:kern w:val="0"/>
              </w:rPr>
              <w:t>日</w:t>
            </w:r>
          </w:p>
        </w:tc>
      </w:tr>
      <w:tr>
        <w:tblPrEx>
          <w:tblCellMar>
            <w:top w:w="0" w:type="dxa"/>
            <w:left w:w="108" w:type="dxa"/>
            <w:bottom w:w="0" w:type="dxa"/>
            <w:right w:w="108" w:type="dxa"/>
          </w:tblCellMar>
        </w:tblPrEx>
        <w:trPr>
          <w:trHeight w:val="645" w:hRule="atLeast"/>
        </w:trPr>
        <w:tc>
          <w:tcPr>
            <w:tcW w:w="4802" w:type="dxa"/>
            <w:tcBorders>
              <w:top w:val="single" w:color="auto" w:sz="4" w:space="0"/>
              <w:left w:val="single" w:color="auto" w:sz="4" w:space="0"/>
              <w:bottom w:val="single" w:color="auto" w:sz="4" w:space="0"/>
              <w:right w:val="single" w:color="auto" w:sz="4" w:space="0"/>
            </w:tcBorders>
            <w:vAlign w:val="center"/>
          </w:tcPr>
          <w:p>
            <w:pPr>
              <w:widowControl/>
              <w:jc w:val="center"/>
              <w:rPr>
                <w:rFonts w:cs="Times New Roman" w:asciiTheme="minorEastAsia" w:hAnsiTheme="minorEastAsia"/>
                <w:b/>
                <w:bCs/>
                <w:kern w:val="0"/>
              </w:rPr>
            </w:pPr>
            <w:r>
              <w:rPr>
                <w:rFonts w:hint="eastAsia" w:cs="宋体" w:asciiTheme="minorEastAsia" w:hAnsiTheme="minorEastAsia"/>
                <w:b/>
                <w:bCs/>
                <w:kern w:val="0"/>
              </w:rPr>
              <w:t>项目</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cs="Times New Roman" w:asciiTheme="minorEastAsia" w:hAnsiTheme="minorEastAsia"/>
                <w:b/>
                <w:bCs/>
                <w:kern w:val="0"/>
              </w:rPr>
            </w:pPr>
            <w:r>
              <w:rPr>
                <w:rFonts w:hint="eastAsia" w:cs="宋体" w:asciiTheme="minorEastAsia" w:hAnsiTheme="minorEastAsia"/>
                <w:b/>
                <w:bCs/>
                <w:kern w:val="0"/>
              </w:rPr>
              <w:t>数量</w:t>
            </w:r>
          </w:p>
        </w:tc>
        <w:tc>
          <w:tcPr>
            <w:tcW w:w="3844" w:type="dxa"/>
            <w:tcBorders>
              <w:top w:val="single" w:color="auto" w:sz="4" w:space="0"/>
              <w:left w:val="nil"/>
              <w:bottom w:val="single" w:color="auto" w:sz="4" w:space="0"/>
              <w:right w:val="single" w:color="auto" w:sz="4" w:space="0"/>
            </w:tcBorders>
            <w:vAlign w:val="center"/>
          </w:tcPr>
          <w:p>
            <w:pPr>
              <w:widowControl/>
              <w:jc w:val="center"/>
              <w:rPr>
                <w:rFonts w:cs="Times New Roman" w:asciiTheme="minorEastAsia" w:hAnsiTheme="minorEastAsia"/>
                <w:b/>
                <w:bCs/>
                <w:kern w:val="0"/>
              </w:rPr>
            </w:pPr>
            <w:r>
              <w:rPr>
                <w:rFonts w:hint="eastAsia" w:cs="宋体" w:asciiTheme="minorEastAsia" w:hAnsiTheme="minorEastAsia"/>
                <w:b/>
                <w:bCs/>
                <w:kern w:val="0"/>
              </w:rPr>
              <w:t>价值（金额单位：万元）</w:t>
            </w:r>
          </w:p>
        </w:tc>
      </w:tr>
      <w:tr>
        <w:tblPrEx>
          <w:tblCellMar>
            <w:top w:w="0" w:type="dxa"/>
            <w:left w:w="108" w:type="dxa"/>
            <w:bottom w:w="0" w:type="dxa"/>
            <w:right w:w="108" w:type="dxa"/>
          </w:tblCellMar>
        </w:tblPrEx>
        <w:trPr>
          <w:trHeight w:val="645" w:hRule="atLeast"/>
        </w:trPr>
        <w:tc>
          <w:tcPr>
            <w:tcW w:w="4802" w:type="dxa"/>
            <w:tcBorders>
              <w:top w:val="nil"/>
              <w:left w:val="single" w:color="auto" w:sz="4" w:space="0"/>
              <w:bottom w:val="single" w:color="auto" w:sz="4" w:space="0"/>
              <w:right w:val="single" w:color="auto" w:sz="4" w:space="0"/>
            </w:tcBorders>
            <w:vAlign w:val="center"/>
          </w:tcPr>
          <w:p>
            <w:pPr>
              <w:widowControl/>
              <w:jc w:val="center"/>
              <w:rPr>
                <w:rFonts w:cs="Times New Roman" w:asciiTheme="minorEastAsia" w:hAnsiTheme="minorEastAsia"/>
                <w:kern w:val="0"/>
              </w:rPr>
            </w:pPr>
            <w:r>
              <w:rPr>
                <w:rFonts w:hint="eastAsia" w:cs="宋体" w:asciiTheme="minorEastAsia" w:hAnsiTheme="minorEastAsia"/>
                <w:kern w:val="0"/>
              </w:rPr>
              <w:t>资产总额</w:t>
            </w:r>
          </w:p>
        </w:tc>
        <w:tc>
          <w:tcPr>
            <w:tcW w:w="1417"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rPr>
            </w:pPr>
            <w:r>
              <w:rPr>
                <w:rFonts w:cs="宋体" w:asciiTheme="minorEastAsia" w:hAnsiTheme="minorEastAsia"/>
                <w:kern w:val="0"/>
              </w:rPr>
              <w:t>——</w:t>
            </w:r>
          </w:p>
        </w:tc>
        <w:tc>
          <w:tcPr>
            <w:tcW w:w="3844"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rPr>
            </w:pPr>
            <w:r>
              <w:rPr>
                <w:rFonts w:hint="eastAsia" w:cs="宋体" w:asciiTheme="minorEastAsia" w:hAnsiTheme="minorEastAsia"/>
                <w:kern w:val="0"/>
              </w:rPr>
              <w:t>19.7</w:t>
            </w:r>
          </w:p>
        </w:tc>
      </w:tr>
      <w:tr>
        <w:tblPrEx>
          <w:tblCellMar>
            <w:top w:w="0" w:type="dxa"/>
            <w:left w:w="108" w:type="dxa"/>
            <w:bottom w:w="0" w:type="dxa"/>
            <w:right w:w="108" w:type="dxa"/>
          </w:tblCellMar>
        </w:tblPrEx>
        <w:trPr>
          <w:trHeight w:val="645" w:hRule="atLeast"/>
        </w:trPr>
        <w:tc>
          <w:tcPr>
            <w:tcW w:w="4802" w:type="dxa"/>
            <w:tcBorders>
              <w:top w:val="nil"/>
              <w:left w:val="single" w:color="auto" w:sz="4" w:space="0"/>
              <w:bottom w:val="single" w:color="auto" w:sz="4" w:space="0"/>
              <w:right w:val="single" w:color="auto" w:sz="4" w:space="0"/>
            </w:tcBorders>
            <w:vAlign w:val="center"/>
          </w:tcPr>
          <w:p>
            <w:pPr>
              <w:widowControl/>
              <w:jc w:val="left"/>
              <w:rPr>
                <w:rFonts w:cs="Times New Roman" w:asciiTheme="minorEastAsia" w:hAnsiTheme="minorEastAsia"/>
                <w:kern w:val="0"/>
              </w:rPr>
            </w:pPr>
            <w:r>
              <w:rPr>
                <w:rFonts w:cs="宋体" w:asciiTheme="minorEastAsia" w:hAnsiTheme="minorEastAsia"/>
                <w:kern w:val="0"/>
              </w:rPr>
              <w:t>1</w:t>
            </w:r>
            <w:r>
              <w:rPr>
                <w:rFonts w:hint="eastAsia" w:cs="宋体" w:asciiTheme="minorEastAsia" w:hAnsiTheme="minorEastAsia"/>
                <w:kern w:val="0"/>
              </w:rPr>
              <w:t>、房屋（平方米）</w:t>
            </w:r>
          </w:p>
        </w:tc>
        <w:tc>
          <w:tcPr>
            <w:tcW w:w="1417"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kern w:val="0"/>
              </w:rPr>
            </w:pPr>
            <w:r>
              <w:rPr>
                <w:rFonts w:hint="eastAsia" w:cs="Times New Roman" w:asciiTheme="minorEastAsia" w:hAnsiTheme="minorEastAsia"/>
                <w:kern w:val="0"/>
              </w:rPr>
              <w:t>100</w:t>
            </w:r>
          </w:p>
        </w:tc>
        <w:tc>
          <w:tcPr>
            <w:tcW w:w="3844"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kern w:val="0"/>
              </w:rPr>
            </w:pPr>
            <w:r>
              <w:rPr>
                <w:rFonts w:hint="eastAsia" w:cs="Times New Roman" w:asciiTheme="minorEastAsia" w:hAnsiTheme="minorEastAsia"/>
                <w:kern w:val="0"/>
              </w:rPr>
              <w:t>占用文化馆100平方米办公</w:t>
            </w:r>
          </w:p>
        </w:tc>
      </w:tr>
      <w:tr>
        <w:tblPrEx>
          <w:tblCellMar>
            <w:top w:w="0" w:type="dxa"/>
            <w:left w:w="108" w:type="dxa"/>
            <w:bottom w:w="0" w:type="dxa"/>
            <w:right w:w="108" w:type="dxa"/>
          </w:tblCellMar>
        </w:tblPrEx>
        <w:trPr>
          <w:trHeight w:val="645" w:hRule="atLeast"/>
        </w:trPr>
        <w:tc>
          <w:tcPr>
            <w:tcW w:w="4802" w:type="dxa"/>
            <w:tcBorders>
              <w:top w:val="nil"/>
              <w:left w:val="single" w:color="auto" w:sz="4" w:space="0"/>
              <w:bottom w:val="single" w:color="auto" w:sz="4" w:space="0"/>
              <w:right w:val="single" w:color="auto" w:sz="4" w:space="0"/>
            </w:tcBorders>
            <w:vAlign w:val="center"/>
          </w:tcPr>
          <w:p>
            <w:pPr>
              <w:widowControl/>
              <w:jc w:val="left"/>
              <w:rPr>
                <w:rFonts w:cs="Times New Roman" w:asciiTheme="minorEastAsia" w:hAnsiTheme="minorEastAsia"/>
                <w:kern w:val="0"/>
              </w:rPr>
            </w:pPr>
            <w:r>
              <w:rPr>
                <w:rFonts w:hint="eastAsia" w:cs="宋体" w:asciiTheme="minorEastAsia" w:hAnsiTheme="minorEastAsia"/>
                <w:kern w:val="0"/>
              </w:rPr>
              <w:t>其中：办公用房（平方米）</w:t>
            </w:r>
          </w:p>
        </w:tc>
        <w:tc>
          <w:tcPr>
            <w:tcW w:w="1417"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kern w:val="0"/>
              </w:rPr>
            </w:pPr>
            <w:r>
              <w:rPr>
                <w:rFonts w:hint="eastAsia" w:cs="Times New Roman" w:asciiTheme="minorEastAsia" w:hAnsiTheme="minorEastAsia"/>
                <w:kern w:val="0"/>
              </w:rPr>
              <w:t>100</w:t>
            </w:r>
          </w:p>
        </w:tc>
        <w:tc>
          <w:tcPr>
            <w:tcW w:w="3844"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kern w:val="0"/>
              </w:rPr>
            </w:pPr>
          </w:p>
        </w:tc>
      </w:tr>
      <w:tr>
        <w:tblPrEx>
          <w:tblCellMar>
            <w:top w:w="0" w:type="dxa"/>
            <w:left w:w="108" w:type="dxa"/>
            <w:bottom w:w="0" w:type="dxa"/>
            <w:right w:w="108" w:type="dxa"/>
          </w:tblCellMar>
        </w:tblPrEx>
        <w:trPr>
          <w:trHeight w:val="645" w:hRule="atLeast"/>
        </w:trPr>
        <w:tc>
          <w:tcPr>
            <w:tcW w:w="4802" w:type="dxa"/>
            <w:tcBorders>
              <w:top w:val="nil"/>
              <w:left w:val="single" w:color="auto" w:sz="4" w:space="0"/>
              <w:bottom w:val="single" w:color="auto" w:sz="4" w:space="0"/>
              <w:right w:val="single" w:color="auto" w:sz="4" w:space="0"/>
            </w:tcBorders>
            <w:vAlign w:val="center"/>
          </w:tcPr>
          <w:p>
            <w:pPr>
              <w:widowControl/>
              <w:jc w:val="left"/>
              <w:rPr>
                <w:rFonts w:cs="Times New Roman" w:asciiTheme="minorEastAsia" w:hAnsiTheme="minorEastAsia"/>
                <w:kern w:val="0"/>
              </w:rPr>
            </w:pPr>
            <w:r>
              <w:rPr>
                <w:rFonts w:cs="宋体" w:asciiTheme="minorEastAsia" w:hAnsiTheme="minorEastAsia"/>
                <w:kern w:val="0"/>
              </w:rPr>
              <w:t>2</w:t>
            </w:r>
            <w:r>
              <w:rPr>
                <w:rFonts w:hint="eastAsia" w:cs="宋体" w:asciiTheme="minorEastAsia" w:hAnsiTheme="minorEastAsia"/>
                <w:kern w:val="0"/>
              </w:rPr>
              <w:t>、车辆（台、辆）</w:t>
            </w:r>
          </w:p>
        </w:tc>
        <w:tc>
          <w:tcPr>
            <w:tcW w:w="1417"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kern w:val="0"/>
              </w:rPr>
            </w:pPr>
            <w:r>
              <w:rPr>
                <w:rFonts w:hint="eastAsia" w:cs="Times New Roman" w:asciiTheme="minorEastAsia" w:hAnsiTheme="minorEastAsia"/>
                <w:kern w:val="0"/>
              </w:rPr>
              <w:t>1</w:t>
            </w:r>
          </w:p>
        </w:tc>
        <w:tc>
          <w:tcPr>
            <w:tcW w:w="3844"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kern w:val="0"/>
              </w:rPr>
            </w:pPr>
            <w:r>
              <w:rPr>
                <w:rFonts w:hint="eastAsia" w:cs="Times New Roman" w:asciiTheme="minorEastAsia" w:hAnsiTheme="minorEastAsia"/>
                <w:kern w:val="0"/>
              </w:rPr>
              <w:t>13.2</w:t>
            </w:r>
          </w:p>
        </w:tc>
      </w:tr>
      <w:tr>
        <w:tblPrEx>
          <w:tblCellMar>
            <w:top w:w="0" w:type="dxa"/>
            <w:left w:w="108" w:type="dxa"/>
            <w:bottom w:w="0" w:type="dxa"/>
            <w:right w:w="108" w:type="dxa"/>
          </w:tblCellMar>
        </w:tblPrEx>
        <w:trPr>
          <w:trHeight w:val="645" w:hRule="atLeast"/>
        </w:trPr>
        <w:tc>
          <w:tcPr>
            <w:tcW w:w="4802" w:type="dxa"/>
            <w:tcBorders>
              <w:top w:val="nil"/>
              <w:left w:val="single" w:color="auto" w:sz="4" w:space="0"/>
              <w:bottom w:val="single" w:color="auto" w:sz="4" w:space="0"/>
              <w:right w:val="single" w:color="auto" w:sz="4" w:space="0"/>
            </w:tcBorders>
            <w:vAlign w:val="center"/>
          </w:tcPr>
          <w:p>
            <w:pPr>
              <w:widowControl/>
              <w:jc w:val="left"/>
              <w:rPr>
                <w:rFonts w:cs="Times New Roman" w:asciiTheme="minorEastAsia" w:hAnsiTheme="minorEastAsia"/>
                <w:kern w:val="0"/>
              </w:rPr>
            </w:pPr>
            <w:r>
              <w:rPr>
                <w:rFonts w:cs="宋体" w:asciiTheme="minorEastAsia" w:hAnsiTheme="minorEastAsia"/>
                <w:kern w:val="0"/>
              </w:rPr>
              <w:t>3</w:t>
            </w:r>
            <w:r>
              <w:rPr>
                <w:rFonts w:hint="eastAsia" w:cs="宋体" w:asciiTheme="minorEastAsia" w:hAnsiTheme="minorEastAsia"/>
                <w:kern w:val="0"/>
              </w:rPr>
              <w:t>、单价在</w:t>
            </w:r>
            <w:r>
              <w:rPr>
                <w:rFonts w:cs="宋体" w:asciiTheme="minorEastAsia" w:hAnsiTheme="minorEastAsia"/>
                <w:kern w:val="0"/>
              </w:rPr>
              <w:t>50</w:t>
            </w:r>
            <w:r>
              <w:rPr>
                <w:rFonts w:hint="eastAsia" w:cs="宋体" w:asciiTheme="minorEastAsia" w:hAnsiTheme="minorEastAsia"/>
                <w:kern w:val="0"/>
              </w:rPr>
              <w:t>万元以上的设备</w:t>
            </w:r>
          </w:p>
        </w:tc>
        <w:tc>
          <w:tcPr>
            <w:tcW w:w="1417"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kern w:val="0"/>
              </w:rPr>
            </w:pPr>
          </w:p>
        </w:tc>
        <w:tc>
          <w:tcPr>
            <w:tcW w:w="3844"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kern w:val="0"/>
              </w:rPr>
            </w:pPr>
          </w:p>
        </w:tc>
      </w:tr>
      <w:tr>
        <w:tblPrEx>
          <w:tblCellMar>
            <w:top w:w="0" w:type="dxa"/>
            <w:left w:w="108" w:type="dxa"/>
            <w:bottom w:w="0" w:type="dxa"/>
            <w:right w:w="108" w:type="dxa"/>
          </w:tblCellMar>
        </w:tblPrEx>
        <w:trPr>
          <w:trHeight w:val="645" w:hRule="atLeast"/>
        </w:trPr>
        <w:tc>
          <w:tcPr>
            <w:tcW w:w="4802" w:type="dxa"/>
            <w:tcBorders>
              <w:top w:val="nil"/>
              <w:left w:val="single" w:color="auto" w:sz="4" w:space="0"/>
              <w:bottom w:val="single" w:color="auto" w:sz="4" w:space="0"/>
              <w:right w:val="single" w:color="auto" w:sz="4" w:space="0"/>
            </w:tcBorders>
            <w:vAlign w:val="center"/>
          </w:tcPr>
          <w:p>
            <w:pPr>
              <w:widowControl/>
              <w:jc w:val="left"/>
              <w:rPr>
                <w:rFonts w:cs="Times New Roman" w:asciiTheme="minorEastAsia" w:hAnsiTheme="minorEastAsia"/>
                <w:kern w:val="0"/>
              </w:rPr>
            </w:pPr>
            <w:r>
              <w:rPr>
                <w:rFonts w:cs="宋体" w:asciiTheme="minorEastAsia" w:hAnsiTheme="minorEastAsia"/>
                <w:kern w:val="0"/>
              </w:rPr>
              <w:t>4</w:t>
            </w:r>
            <w:r>
              <w:rPr>
                <w:rFonts w:hint="eastAsia" w:cs="宋体" w:asciiTheme="minorEastAsia" w:hAnsiTheme="minorEastAsia"/>
                <w:kern w:val="0"/>
              </w:rPr>
              <w:t>、其他固定资产</w:t>
            </w:r>
          </w:p>
        </w:tc>
        <w:tc>
          <w:tcPr>
            <w:tcW w:w="1417"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kern w:val="0"/>
              </w:rPr>
            </w:pPr>
            <w:r>
              <w:rPr>
                <w:rFonts w:hint="eastAsia" w:cs="Times New Roman" w:asciiTheme="minorEastAsia" w:hAnsiTheme="minorEastAsia"/>
                <w:kern w:val="0"/>
              </w:rPr>
              <w:t>10</w:t>
            </w:r>
          </w:p>
        </w:tc>
        <w:tc>
          <w:tcPr>
            <w:tcW w:w="3844"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kern w:val="0"/>
              </w:rPr>
            </w:pPr>
            <w:r>
              <w:rPr>
                <w:rFonts w:hint="eastAsia" w:cs="Times New Roman" w:asciiTheme="minorEastAsia" w:hAnsiTheme="minorEastAsia"/>
                <w:kern w:val="0"/>
              </w:rPr>
              <w:t>6.5</w:t>
            </w:r>
          </w:p>
        </w:tc>
      </w:tr>
    </w:tbl>
    <w:p>
      <w:pPr>
        <w:widowControl/>
        <w:spacing w:line="360" w:lineRule="auto"/>
        <w:ind w:firstLine="960" w:firstLineChars="300"/>
        <w:jc w:val="left"/>
        <w:rPr>
          <w:rFonts w:ascii="黑体" w:hAnsi="黑体" w:eastAsia="黑体" w:cs="仿宋"/>
          <w:kern w:val="0"/>
          <w:sz w:val="32"/>
          <w:szCs w:val="32"/>
        </w:rPr>
      </w:pPr>
      <w:r>
        <w:rPr>
          <w:rFonts w:hint="eastAsia" w:ascii="黑体" w:hAnsi="黑体" w:eastAsia="黑体" w:cs="仿宋_GB2312"/>
          <w:kern w:val="0"/>
          <w:sz w:val="32"/>
          <w:szCs w:val="32"/>
        </w:rPr>
        <w:t>八、</w:t>
      </w:r>
      <w:r>
        <w:rPr>
          <w:rFonts w:hint="eastAsia" w:ascii="黑体" w:hAnsi="黑体" w:eastAsia="黑体" w:cs="仿宋"/>
          <w:kern w:val="0"/>
          <w:sz w:val="32"/>
          <w:szCs w:val="32"/>
        </w:rPr>
        <w:t>名词解释</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outlineLvl w:val="5"/>
        <w:rPr>
          <w:rFonts w:ascii="黑体" w:hAnsi="黑体" w:eastAsia="黑体" w:cs="黑体"/>
          <w:color w:val="000000"/>
          <w:sz w:val="32"/>
        </w:rPr>
      </w:pP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outlineLvl w:val="5"/>
        <w:rPr>
          <w:rFonts w:ascii="黑体" w:hAnsi="黑体" w:eastAsia="黑体" w:cs="黑体"/>
          <w:color w:val="000000"/>
          <w:sz w:val="32"/>
        </w:rPr>
      </w:pP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outlineLvl w:val="5"/>
        <w:rPr>
          <w:rFonts w:ascii="黑体" w:hAnsi="黑体" w:eastAsia="黑体" w:cs="黑体"/>
          <w:color w:val="000000"/>
          <w:sz w:val="32"/>
        </w:rPr>
      </w:pP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outlineLvl w:val="5"/>
      </w:pPr>
      <w:r>
        <w:rPr>
          <w:rFonts w:ascii="黑体" w:hAnsi="黑体" w:eastAsia="黑体" w:cs="黑体"/>
          <w:color w:val="000000"/>
          <w:sz w:val="32"/>
        </w:rPr>
        <w:t>八、名词解释</w:t>
      </w:r>
    </w:p>
    <w:p>
      <w:pPr>
        <w:keepNext w:val="0"/>
        <w:keepLines w:val="0"/>
        <w:pageBreakBefore w:val="0"/>
        <w:widowControl/>
        <w:kinsoku/>
        <w:wordWrap/>
        <w:overflowPunct/>
        <w:topLinePunct w:val="0"/>
        <w:autoSpaceDE/>
        <w:autoSpaceDN/>
        <w:bidi w:val="0"/>
        <w:adjustRightInd/>
        <w:snapToGrid/>
        <w:spacing w:line="560" w:lineRule="exact"/>
        <w:ind w:firstLine="560"/>
        <w:jc w:val="left"/>
        <w:textAlignment w:val="auto"/>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keepNext w:val="0"/>
        <w:keepLines w:val="0"/>
        <w:pageBreakBefore w:val="0"/>
        <w:widowControl/>
        <w:kinsoku/>
        <w:wordWrap/>
        <w:overflowPunct/>
        <w:topLinePunct w:val="0"/>
        <w:autoSpaceDE/>
        <w:autoSpaceDN/>
        <w:bidi w:val="0"/>
        <w:adjustRightInd/>
        <w:snapToGrid/>
        <w:spacing w:line="560" w:lineRule="exact"/>
        <w:ind w:firstLine="560"/>
        <w:jc w:val="left"/>
        <w:textAlignment w:val="auto"/>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keepNext w:val="0"/>
        <w:keepLines w:val="0"/>
        <w:pageBreakBefore w:val="0"/>
        <w:widowControl/>
        <w:kinsoku/>
        <w:wordWrap/>
        <w:overflowPunct/>
        <w:topLinePunct w:val="0"/>
        <w:autoSpaceDE/>
        <w:autoSpaceDN/>
        <w:bidi w:val="0"/>
        <w:adjustRightInd/>
        <w:snapToGrid/>
        <w:spacing w:line="560" w:lineRule="exact"/>
        <w:ind w:firstLine="560"/>
        <w:jc w:val="left"/>
        <w:textAlignment w:val="auto"/>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keepNext w:val="0"/>
        <w:keepLines w:val="0"/>
        <w:pageBreakBefore w:val="0"/>
        <w:widowControl/>
        <w:kinsoku/>
        <w:wordWrap/>
        <w:overflowPunct/>
        <w:topLinePunct w:val="0"/>
        <w:autoSpaceDE/>
        <w:autoSpaceDN/>
        <w:bidi w:val="0"/>
        <w:adjustRightInd/>
        <w:snapToGrid/>
        <w:spacing w:line="560" w:lineRule="exact"/>
        <w:ind w:firstLine="560"/>
        <w:jc w:val="left"/>
        <w:textAlignment w:val="auto"/>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560" w:lineRule="exact"/>
        <w:ind w:firstLine="560"/>
        <w:jc w:val="left"/>
        <w:textAlignment w:val="auto"/>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560" w:lineRule="exact"/>
        <w:ind w:firstLine="560"/>
        <w:jc w:val="left"/>
        <w:textAlignment w:val="auto"/>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keepNext w:val="0"/>
        <w:keepLines w:val="0"/>
        <w:pageBreakBefore w:val="0"/>
        <w:widowControl/>
        <w:kinsoku/>
        <w:wordWrap/>
        <w:overflowPunct/>
        <w:topLinePunct w:val="0"/>
        <w:autoSpaceDE/>
        <w:autoSpaceDN/>
        <w:bidi w:val="0"/>
        <w:adjustRightInd/>
        <w:snapToGrid/>
        <w:spacing w:line="560" w:lineRule="exact"/>
        <w:ind w:firstLine="560"/>
        <w:jc w:val="left"/>
        <w:textAlignment w:val="auto"/>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60" w:lineRule="exact"/>
        <w:ind w:firstLine="560"/>
        <w:jc w:val="left"/>
        <w:textAlignment w:val="auto"/>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60" w:lineRule="exact"/>
        <w:ind w:firstLine="560"/>
        <w:jc w:val="left"/>
        <w:textAlignment w:val="auto"/>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keepNext w:val="0"/>
        <w:keepLines w:val="0"/>
        <w:pageBreakBefore w:val="0"/>
        <w:widowControl/>
        <w:kinsoku/>
        <w:wordWrap/>
        <w:overflowPunct/>
        <w:topLinePunct w:val="0"/>
        <w:autoSpaceDE/>
        <w:autoSpaceDN/>
        <w:bidi w:val="0"/>
        <w:adjustRightInd/>
        <w:snapToGrid/>
        <w:spacing w:line="560" w:lineRule="exact"/>
        <w:ind w:firstLine="560"/>
        <w:jc w:val="left"/>
        <w:textAlignment w:val="auto"/>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keepNext w:val="0"/>
        <w:keepLines w:val="0"/>
        <w:pageBreakBefore w:val="0"/>
        <w:widowControl/>
        <w:kinsoku/>
        <w:wordWrap/>
        <w:overflowPunct/>
        <w:topLinePunct w:val="0"/>
        <w:autoSpaceDE/>
        <w:autoSpaceDN/>
        <w:bidi w:val="0"/>
        <w:adjustRightInd/>
        <w:snapToGrid/>
        <w:spacing w:line="560" w:lineRule="exact"/>
        <w:ind w:firstLine="560"/>
        <w:jc w:val="left"/>
        <w:textAlignment w:val="auto"/>
        <w:outlineLvl w:val="9"/>
        <w:rPr>
          <w:rFonts w:ascii="Times New Roman" w:hAnsi="Times New Roman" w:eastAsia="方正仿宋_GBK" w:cs="Times New Roman"/>
          <w:b w:val="0"/>
          <w:color w:val="000000"/>
          <w:sz w:val="28"/>
        </w:rPr>
      </w:pP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outlineLvl w:val="5"/>
      </w:pPr>
      <w:r>
        <w:rPr>
          <w:rFonts w:ascii="黑体" w:hAnsi="黑体" w:eastAsia="黑体" w:cs="黑体"/>
          <w:color w:val="000000"/>
          <w:sz w:val="32"/>
        </w:rPr>
        <w:t>九、其他需要说明的事项</w:t>
      </w:r>
    </w:p>
    <w:p>
      <w:pPr>
        <w:keepNext w:val="0"/>
        <w:keepLines w:val="0"/>
        <w:pageBreakBefore w:val="0"/>
        <w:widowControl/>
        <w:kinsoku/>
        <w:wordWrap/>
        <w:overflowPunct/>
        <w:topLinePunct w:val="0"/>
        <w:autoSpaceDE/>
        <w:autoSpaceDN/>
        <w:bidi w:val="0"/>
        <w:adjustRightInd/>
        <w:snapToGrid/>
        <w:spacing w:line="560" w:lineRule="exact"/>
        <w:ind w:firstLine="560"/>
        <w:jc w:val="left"/>
        <w:textAlignment w:val="auto"/>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楷体_GB2312">
    <w:altName w:val="方正楷体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B4721B"/>
    <w:multiLevelType w:val="singleLevel"/>
    <w:tmpl w:val="97B4721B"/>
    <w:lvl w:ilvl="0" w:tentative="0">
      <w:start w:val="1"/>
      <w:numFmt w:val="chineseCounting"/>
      <w:suff w:val="nothing"/>
      <w:lvlText w:val="（%1）"/>
      <w:lvlJc w:val="left"/>
      <w:rPr>
        <w:rFonts w:hint="eastAsia"/>
      </w:rPr>
    </w:lvl>
  </w:abstractNum>
  <w:abstractNum w:abstractNumId="1">
    <w:nsid w:val="BC7D8983"/>
    <w:multiLevelType w:val="singleLevel"/>
    <w:tmpl w:val="BC7D8983"/>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NotTrackMoves/>
  <w:documentProtection w:enforcement="0"/>
  <w:defaultTabStop w:val="720"/>
  <w:evenAndOddHeaders w:val="true"/>
  <w:displayHorizontalDrawingGridEvery w:val="1"/>
  <w:displayVerticalDrawingGridEvery w:val="1"/>
  <w:noPunctuationKerning w:val="true"/>
  <w:characterSpacingControl w:val="doNotCompres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GIyYjVkM2Q3OGI3NjgyMmRhNzc4Mzg1ZjJiNjZhOGYifQ=="/>
  </w:docVars>
  <w:rsids>
    <w:rsidRoot w:val="00000000"/>
    <w:rsid w:val="006535FE"/>
    <w:rsid w:val="039A5D8E"/>
    <w:rsid w:val="03A569EC"/>
    <w:rsid w:val="03D81528"/>
    <w:rsid w:val="03E27E9F"/>
    <w:rsid w:val="05C432C0"/>
    <w:rsid w:val="07533A79"/>
    <w:rsid w:val="08311D88"/>
    <w:rsid w:val="0AAF7892"/>
    <w:rsid w:val="0B530CA8"/>
    <w:rsid w:val="1CD7747E"/>
    <w:rsid w:val="22687088"/>
    <w:rsid w:val="26700B1B"/>
    <w:rsid w:val="298452FD"/>
    <w:rsid w:val="29D44EBC"/>
    <w:rsid w:val="29F029E0"/>
    <w:rsid w:val="30224D9D"/>
    <w:rsid w:val="34795F18"/>
    <w:rsid w:val="39087F98"/>
    <w:rsid w:val="3A54487C"/>
    <w:rsid w:val="3AE93CCE"/>
    <w:rsid w:val="3D83454E"/>
    <w:rsid w:val="41E44B72"/>
    <w:rsid w:val="43D441A9"/>
    <w:rsid w:val="526F68FC"/>
    <w:rsid w:val="543D1653"/>
    <w:rsid w:val="54D24ABF"/>
    <w:rsid w:val="54ED4C48"/>
    <w:rsid w:val="56242D6E"/>
    <w:rsid w:val="629E217A"/>
    <w:rsid w:val="65B02D21"/>
    <w:rsid w:val="680975BA"/>
    <w:rsid w:val="684F009B"/>
    <w:rsid w:val="6B554016"/>
    <w:rsid w:val="6C8D40DA"/>
    <w:rsid w:val="73474F4B"/>
    <w:rsid w:val="738952DC"/>
    <w:rsid w:val="76C6463F"/>
    <w:rsid w:val="789619E5"/>
    <w:rsid w:val="79210E86"/>
    <w:rsid w:val="7A681935"/>
    <w:rsid w:val="7D8370C8"/>
    <w:rsid w:val="7F361298"/>
    <w:rsid w:val="FFDE5D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3">
    <w:name w:val="toc 3"/>
    <w:basedOn w:val="1"/>
    <w:next w:val="1"/>
    <w:qFormat/>
    <w:uiPriority w:val="0"/>
    <w:pPr>
      <w:ind w:left="480"/>
    </w:pPr>
  </w:style>
  <w:style w:type="paragraph" w:styleId="4">
    <w:name w:val="Plain Text"/>
    <w:basedOn w:val="1"/>
    <w:unhideWhenUsed/>
    <w:qFormat/>
    <w:uiPriority w:val="0"/>
    <w:rPr>
      <w:rFonts w:ascii="宋体" w:hAnsi="Courier New" w:eastAsia="宋体" w:cs="Courier New"/>
      <w:kern w:val="0"/>
      <w:sz w:val="20"/>
      <w:szCs w:val="21"/>
    </w:rPr>
  </w:style>
  <w:style w:type="paragraph" w:styleId="5">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1">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2">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3">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4">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6">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7">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8">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9">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20">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9">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2">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50</Pages>
  <Words>10838</Words>
  <Characters>12440</Characters>
  <TotalTime>0</TotalTime>
  <ScaleCrop>false</ScaleCrop>
  <LinksUpToDate>false</LinksUpToDate>
  <CharactersWithSpaces>12831</CharactersWithSpaces>
  <Application>WPS Office_11.8.2.10251_F1E327BC-269C-435d-A152-05C5408002CA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2022-03-18T00:18:00Z</dcterms:created>
  <dc:creator>Administrator</dc:creator>
  <cp:lastModifiedBy>langchao</cp:lastModifiedBy>
  <dcterms:modified xsi:type="dcterms:W3CDTF">2023-06-05T10:19:22Z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D16348724F3949CFA70F5AE01D10E6FB</vt:lpwstr>
  </property>
</Properties>
</file>