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val="0"/>
          <w:bCs w:val="0"/>
        </w:rPr>
      </w:pPr>
      <w:r>
        <w:rPr>
          <w:rFonts w:hint="eastAsia" w:ascii="黑体" w:hAnsi="黑体" w:eastAsia="黑体" w:cs="黑体"/>
          <w:b w:val="0"/>
          <w:bCs w:val="0"/>
          <w:sz w:val="44"/>
          <w:szCs w:val="44"/>
        </w:rPr>
        <w:t>成安县文化广电和旅游局</w:t>
      </w:r>
      <w:r>
        <w:rPr>
          <w:rFonts w:hint="eastAsia" w:ascii="黑体" w:hAnsi="黑体" w:eastAsia="黑体" w:cs="黑体"/>
          <w:b w:val="0"/>
          <w:bCs w:val="0"/>
          <w:sz w:val="44"/>
          <w:szCs w:val="44"/>
          <w:lang w:eastAsia="zh-CN"/>
        </w:rPr>
        <w:t>所属部门</w:t>
      </w:r>
      <w:r>
        <w:rPr>
          <w:rFonts w:hint="eastAsia" w:ascii="黑体" w:hAnsi="黑体" w:eastAsia="黑体" w:cs="黑体"/>
          <w:b w:val="0"/>
          <w:bCs w:val="0"/>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821成安县文化广电和旅游局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709.34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617.54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709.34</w:t>
            </w:r>
          </w:p>
        </w:tc>
        <w:tc>
          <w:tcPr>
            <w:tcW w:w="4535" w:type="dxa"/>
            <w:vAlign w:val="center"/>
          </w:tcPr>
          <w:p>
            <w:pPr>
              <w:pStyle w:val="18"/>
            </w:pPr>
            <w:r>
              <w:t>本年支出合计</w:t>
            </w:r>
          </w:p>
        </w:tc>
        <w:tc>
          <w:tcPr>
            <w:tcW w:w="2126" w:type="dxa"/>
            <w:vAlign w:val="center"/>
          </w:tcPr>
          <w:p>
            <w:pPr>
              <w:pStyle w:val="19"/>
            </w:pPr>
            <w:r>
              <w:t>709.34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709.34</w:t>
            </w:r>
          </w:p>
        </w:tc>
        <w:tc>
          <w:tcPr>
            <w:tcW w:w="4535" w:type="dxa"/>
            <w:vAlign w:val="center"/>
          </w:tcPr>
          <w:p>
            <w:pPr>
              <w:pStyle w:val="18"/>
            </w:pPr>
            <w:r>
              <w:t>支出总计</w:t>
            </w:r>
          </w:p>
        </w:tc>
        <w:tc>
          <w:tcPr>
            <w:tcW w:w="2126" w:type="dxa"/>
            <w:vAlign w:val="center"/>
          </w:tcPr>
          <w:p>
            <w:pPr>
              <w:pStyle w:val="19"/>
            </w:pPr>
            <w:r>
              <w:t>709.34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821成安县文化广电和旅游局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709.34</w:t>
            </w:r>
          </w:p>
        </w:tc>
        <w:tc>
          <w:tcPr>
            <w:tcW w:w="1134" w:type="dxa"/>
            <w:vAlign w:val="center"/>
          </w:tcPr>
          <w:p>
            <w:pPr>
              <w:pStyle w:val="19"/>
            </w:pPr>
            <w:r>
              <w:t>709.34</w:t>
            </w:r>
          </w:p>
        </w:tc>
        <w:tc>
          <w:tcPr>
            <w:tcW w:w="1134" w:type="dxa"/>
            <w:vAlign w:val="center"/>
          </w:tcPr>
          <w:p>
            <w:pPr>
              <w:pStyle w:val="19"/>
            </w:pPr>
            <w:r>
              <w:t>709.34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pPr>
            <w:r>
              <w:t>617.54</w:t>
            </w:r>
          </w:p>
        </w:tc>
        <w:tc>
          <w:tcPr>
            <w:tcW w:w="1134" w:type="dxa"/>
            <w:vAlign w:val="center"/>
          </w:tcPr>
          <w:p>
            <w:pPr>
              <w:pStyle w:val="15"/>
            </w:pPr>
            <w:r>
              <w:t>617.54</w:t>
            </w:r>
          </w:p>
        </w:tc>
        <w:tc>
          <w:tcPr>
            <w:tcW w:w="1134" w:type="dxa"/>
            <w:vAlign w:val="center"/>
          </w:tcPr>
          <w:p>
            <w:pPr>
              <w:pStyle w:val="15"/>
            </w:pPr>
            <w:r>
              <w:t>617.54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20701</w:t>
            </w:r>
          </w:p>
        </w:tc>
        <w:tc>
          <w:tcPr>
            <w:tcW w:w="1559" w:type="dxa"/>
            <w:vAlign w:val="center"/>
          </w:tcPr>
          <w:p>
            <w:pPr>
              <w:pStyle w:val="16"/>
            </w:pPr>
            <w:r>
              <w:t>文化和旅游</w:t>
            </w:r>
          </w:p>
        </w:tc>
        <w:tc>
          <w:tcPr>
            <w:tcW w:w="1134" w:type="dxa"/>
            <w:vAlign w:val="center"/>
          </w:tcPr>
          <w:p>
            <w:pPr>
              <w:pStyle w:val="15"/>
            </w:pPr>
            <w:r>
              <w:t>263.61</w:t>
            </w:r>
          </w:p>
        </w:tc>
        <w:tc>
          <w:tcPr>
            <w:tcW w:w="1134" w:type="dxa"/>
            <w:vAlign w:val="center"/>
          </w:tcPr>
          <w:p>
            <w:pPr>
              <w:pStyle w:val="15"/>
            </w:pPr>
            <w:r>
              <w:t>263.61</w:t>
            </w:r>
          </w:p>
        </w:tc>
        <w:tc>
          <w:tcPr>
            <w:tcW w:w="1134" w:type="dxa"/>
            <w:vAlign w:val="center"/>
          </w:tcPr>
          <w:p>
            <w:pPr>
              <w:pStyle w:val="15"/>
            </w:pPr>
            <w:r>
              <w:t>263.61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2070101</w:t>
            </w:r>
          </w:p>
        </w:tc>
        <w:tc>
          <w:tcPr>
            <w:tcW w:w="1559" w:type="dxa"/>
            <w:vAlign w:val="center"/>
          </w:tcPr>
          <w:p>
            <w:pPr>
              <w:pStyle w:val="16"/>
            </w:pPr>
            <w:r>
              <w:t>行政运行</w:t>
            </w:r>
          </w:p>
        </w:tc>
        <w:tc>
          <w:tcPr>
            <w:tcW w:w="1134" w:type="dxa"/>
            <w:vAlign w:val="center"/>
          </w:tcPr>
          <w:p>
            <w:pPr>
              <w:pStyle w:val="15"/>
            </w:pPr>
            <w:r>
              <w:t>239.41</w:t>
            </w:r>
          </w:p>
        </w:tc>
        <w:tc>
          <w:tcPr>
            <w:tcW w:w="1134" w:type="dxa"/>
            <w:vAlign w:val="center"/>
          </w:tcPr>
          <w:p>
            <w:pPr>
              <w:pStyle w:val="15"/>
            </w:pPr>
            <w:r>
              <w:t>239.41</w:t>
            </w:r>
          </w:p>
        </w:tc>
        <w:tc>
          <w:tcPr>
            <w:tcW w:w="1134" w:type="dxa"/>
            <w:vAlign w:val="center"/>
          </w:tcPr>
          <w:p>
            <w:pPr>
              <w:pStyle w:val="15"/>
            </w:pPr>
            <w:r>
              <w:t>239.41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2070105</w:t>
            </w:r>
          </w:p>
        </w:tc>
        <w:tc>
          <w:tcPr>
            <w:tcW w:w="1559" w:type="dxa"/>
            <w:vAlign w:val="center"/>
          </w:tcPr>
          <w:p>
            <w:pPr>
              <w:pStyle w:val="16"/>
            </w:pPr>
            <w:r>
              <w:t>文化展示及纪念机构</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2070109</w:t>
            </w:r>
          </w:p>
        </w:tc>
        <w:tc>
          <w:tcPr>
            <w:tcW w:w="1559" w:type="dxa"/>
            <w:vAlign w:val="center"/>
          </w:tcPr>
          <w:p>
            <w:pPr>
              <w:pStyle w:val="16"/>
            </w:pPr>
            <w:r>
              <w:t>群众文化</w:t>
            </w:r>
          </w:p>
        </w:tc>
        <w:tc>
          <w:tcPr>
            <w:tcW w:w="1134" w:type="dxa"/>
            <w:vAlign w:val="center"/>
          </w:tcPr>
          <w:p>
            <w:pPr>
              <w:pStyle w:val="15"/>
            </w:pPr>
            <w:r>
              <w:t>1.20</w:t>
            </w:r>
          </w:p>
        </w:tc>
        <w:tc>
          <w:tcPr>
            <w:tcW w:w="1134" w:type="dxa"/>
            <w:vAlign w:val="center"/>
          </w:tcPr>
          <w:p>
            <w:pPr>
              <w:pStyle w:val="15"/>
            </w:pPr>
            <w:r>
              <w:t>1.20</w:t>
            </w:r>
          </w:p>
        </w:tc>
        <w:tc>
          <w:tcPr>
            <w:tcW w:w="1134" w:type="dxa"/>
            <w:vAlign w:val="center"/>
          </w:tcPr>
          <w:p>
            <w:pPr>
              <w:pStyle w:val="15"/>
            </w:pPr>
            <w:r>
              <w:t>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20702</w:t>
            </w:r>
          </w:p>
        </w:tc>
        <w:tc>
          <w:tcPr>
            <w:tcW w:w="1559" w:type="dxa"/>
            <w:vAlign w:val="center"/>
          </w:tcPr>
          <w:p>
            <w:pPr>
              <w:pStyle w:val="16"/>
            </w:pPr>
            <w:r>
              <w:t>文物</w:t>
            </w:r>
          </w:p>
        </w:tc>
        <w:tc>
          <w:tcPr>
            <w:tcW w:w="1134" w:type="dxa"/>
            <w:vAlign w:val="center"/>
          </w:tcPr>
          <w:p>
            <w:pPr>
              <w:pStyle w:val="15"/>
            </w:pPr>
            <w:r>
              <w:t>11.04</w:t>
            </w:r>
          </w:p>
        </w:tc>
        <w:tc>
          <w:tcPr>
            <w:tcW w:w="1134" w:type="dxa"/>
            <w:vAlign w:val="center"/>
          </w:tcPr>
          <w:p>
            <w:pPr>
              <w:pStyle w:val="15"/>
            </w:pPr>
            <w:r>
              <w:t>11.04</w:t>
            </w:r>
          </w:p>
        </w:tc>
        <w:tc>
          <w:tcPr>
            <w:tcW w:w="1134" w:type="dxa"/>
            <w:vAlign w:val="center"/>
          </w:tcPr>
          <w:p>
            <w:pPr>
              <w:pStyle w:val="15"/>
            </w:pPr>
            <w:r>
              <w:t>11.04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2070204</w:t>
            </w:r>
          </w:p>
        </w:tc>
        <w:tc>
          <w:tcPr>
            <w:tcW w:w="1559" w:type="dxa"/>
            <w:vAlign w:val="center"/>
          </w:tcPr>
          <w:p>
            <w:pPr>
              <w:pStyle w:val="16"/>
            </w:pPr>
            <w:r>
              <w:t>文物保护</w:t>
            </w:r>
          </w:p>
        </w:tc>
        <w:tc>
          <w:tcPr>
            <w:tcW w:w="1134" w:type="dxa"/>
            <w:vAlign w:val="center"/>
          </w:tcPr>
          <w:p>
            <w:pPr>
              <w:pStyle w:val="15"/>
            </w:pPr>
            <w:r>
              <w:t>11.04</w:t>
            </w:r>
          </w:p>
        </w:tc>
        <w:tc>
          <w:tcPr>
            <w:tcW w:w="1134" w:type="dxa"/>
            <w:vAlign w:val="center"/>
          </w:tcPr>
          <w:p>
            <w:pPr>
              <w:pStyle w:val="15"/>
            </w:pPr>
            <w:r>
              <w:t>11.04</w:t>
            </w:r>
          </w:p>
        </w:tc>
        <w:tc>
          <w:tcPr>
            <w:tcW w:w="1134" w:type="dxa"/>
            <w:vAlign w:val="center"/>
          </w:tcPr>
          <w:p>
            <w:pPr>
              <w:pStyle w:val="15"/>
            </w:pPr>
            <w:r>
              <w:t>11.04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20799</w:t>
            </w:r>
          </w:p>
        </w:tc>
        <w:tc>
          <w:tcPr>
            <w:tcW w:w="1559" w:type="dxa"/>
            <w:vAlign w:val="center"/>
          </w:tcPr>
          <w:p>
            <w:pPr>
              <w:pStyle w:val="16"/>
            </w:pPr>
            <w:r>
              <w:t>其他文化旅游体育与传媒支出</w:t>
            </w:r>
          </w:p>
        </w:tc>
        <w:tc>
          <w:tcPr>
            <w:tcW w:w="1134" w:type="dxa"/>
            <w:vAlign w:val="center"/>
          </w:tcPr>
          <w:p>
            <w:pPr>
              <w:pStyle w:val="15"/>
            </w:pPr>
            <w:r>
              <w:t>342.89</w:t>
            </w:r>
          </w:p>
        </w:tc>
        <w:tc>
          <w:tcPr>
            <w:tcW w:w="1134" w:type="dxa"/>
            <w:vAlign w:val="center"/>
          </w:tcPr>
          <w:p>
            <w:pPr>
              <w:pStyle w:val="15"/>
            </w:pPr>
            <w:r>
              <w:t>342.89</w:t>
            </w:r>
          </w:p>
        </w:tc>
        <w:tc>
          <w:tcPr>
            <w:tcW w:w="1134" w:type="dxa"/>
            <w:vAlign w:val="center"/>
          </w:tcPr>
          <w:p>
            <w:pPr>
              <w:pStyle w:val="15"/>
            </w:pPr>
            <w:r>
              <w:t>342.89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2079999</w:t>
            </w:r>
          </w:p>
        </w:tc>
        <w:tc>
          <w:tcPr>
            <w:tcW w:w="1559" w:type="dxa"/>
            <w:vAlign w:val="center"/>
          </w:tcPr>
          <w:p>
            <w:pPr>
              <w:pStyle w:val="16"/>
            </w:pPr>
            <w:r>
              <w:t>其他文化旅游体育与传媒支出</w:t>
            </w:r>
          </w:p>
        </w:tc>
        <w:tc>
          <w:tcPr>
            <w:tcW w:w="1134" w:type="dxa"/>
            <w:vAlign w:val="center"/>
          </w:tcPr>
          <w:p>
            <w:pPr>
              <w:pStyle w:val="15"/>
            </w:pPr>
            <w:r>
              <w:t>342.89</w:t>
            </w:r>
          </w:p>
        </w:tc>
        <w:tc>
          <w:tcPr>
            <w:tcW w:w="1134" w:type="dxa"/>
            <w:vAlign w:val="center"/>
          </w:tcPr>
          <w:p>
            <w:pPr>
              <w:pStyle w:val="15"/>
            </w:pPr>
            <w:r>
              <w:t>342.89</w:t>
            </w:r>
          </w:p>
        </w:tc>
        <w:tc>
          <w:tcPr>
            <w:tcW w:w="1134" w:type="dxa"/>
            <w:vAlign w:val="center"/>
          </w:tcPr>
          <w:p>
            <w:pPr>
              <w:pStyle w:val="15"/>
            </w:pPr>
            <w:r>
              <w:t>342.89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41.72</w:t>
            </w:r>
          </w:p>
        </w:tc>
        <w:tc>
          <w:tcPr>
            <w:tcW w:w="1134" w:type="dxa"/>
            <w:vAlign w:val="center"/>
          </w:tcPr>
          <w:p>
            <w:pPr>
              <w:pStyle w:val="15"/>
            </w:pPr>
            <w:r>
              <w:t>41.72</w:t>
            </w:r>
          </w:p>
        </w:tc>
        <w:tc>
          <w:tcPr>
            <w:tcW w:w="1134" w:type="dxa"/>
            <w:vAlign w:val="center"/>
          </w:tcPr>
          <w:p>
            <w:pPr>
              <w:pStyle w:val="15"/>
            </w:pPr>
            <w:r>
              <w:t>41.72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41.72</w:t>
            </w:r>
          </w:p>
        </w:tc>
        <w:tc>
          <w:tcPr>
            <w:tcW w:w="1134" w:type="dxa"/>
            <w:vAlign w:val="center"/>
          </w:tcPr>
          <w:p>
            <w:pPr>
              <w:pStyle w:val="15"/>
            </w:pPr>
            <w:r>
              <w:t>41.72</w:t>
            </w:r>
          </w:p>
        </w:tc>
        <w:tc>
          <w:tcPr>
            <w:tcW w:w="1134" w:type="dxa"/>
            <w:vAlign w:val="center"/>
          </w:tcPr>
          <w:p>
            <w:pPr>
              <w:pStyle w:val="15"/>
            </w:pPr>
            <w:r>
              <w:t>41.72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34.13</w:t>
            </w:r>
          </w:p>
        </w:tc>
        <w:tc>
          <w:tcPr>
            <w:tcW w:w="1134" w:type="dxa"/>
            <w:vAlign w:val="center"/>
          </w:tcPr>
          <w:p>
            <w:pPr>
              <w:pStyle w:val="15"/>
            </w:pPr>
            <w:r>
              <w:t>34.13</w:t>
            </w:r>
          </w:p>
        </w:tc>
        <w:tc>
          <w:tcPr>
            <w:tcW w:w="1134" w:type="dxa"/>
            <w:vAlign w:val="center"/>
          </w:tcPr>
          <w:p>
            <w:pPr>
              <w:pStyle w:val="15"/>
            </w:pPr>
            <w:r>
              <w:t>34.13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7.59</w:t>
            </w:r>
          </w:p>
        </w:tc>
        <w:tc>
          <w:tcPr>
            <w:tcW w:w="1134" w:type="dxa"/>
            <w:vAlign w:val="center"/>
          </w:tcPr>
          <w:p>
            <w:pPr>
              <w:pStyle w:val="15"/>
            </w:pPr>
            <w:r>
              <w:t>7.59</w:t>
            </w:r>
          </w:p>
        </w:tc>
        <w:tc>
          <w:tcPr>
            <w:tcW w:w="1134" w:type="dxa"/>
            <w:vAlign w:val="center"/>
          </w:tcPr>
          <w:p>
            <w:pPr>
              <w:pStyle w:val="15"/>
            </w:pPr>
            <w:r>
              <w:t>7.59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20.81</w:t>
            </w:r>
          </w:p>
        </w:tc>
        <w:tc>
          <w:tcPr>
            <w:tcW w:w="1134" w:type="dxa"/>
            <w:vAlign w:val="center"/>
          </w:tcPr>
          <w:p>
            <w:pPr>
              <w:pStyle w:val="15"/>
            </w:pPr>
            <w:r>
              <w:t>20.81</w:t>
            </w:r>
          </w:p>
        </w:tc>
        <w:tc>
          <w:tcPr>
            <w:tcW w:w="1134" w:type="dxa"/>
            <w:vAlign w:val="center"/>
          </w:tcPr>
          <w:p>
            <w:pPr>
              <w:pStyle w:val="15"/>
            </w:pPr>
            <w:r>
              <w:t>20.81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20.81</w:t>
            </w:r>
          </w:p>
        </w:tc>
        <w:tc>
          <w:tcPr>
            <w:tcW w:w="1134" w:type="dxa"/>
            <w:vAlign w:val="center"/>
          </w:tcPr>
          <w:p>
            <w:pPr>
              <w:pStyle w:val="15"/>
            </w:pPr>
            <w:r>
              <w:t>20.81</w:t>
            </w:r>
          </w:p>
        </w:tc>
        <w:tc>
          <w:tcPr>
            <w:tcW w:w="1134" w:type="dxa"/>
            <w:vAlign w:val="center"/>
          </w:tcPr>
          <w:p>
            <w:pPr>
              <w:pStyle w:val="15"/>
            </w:pPr>
            <w:r>
              <w:t>20.81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20.81</w:t>
            </w:r>
          </w:p>
        </w:tc>
        <w:tc>
          <w:tcPr>
            <w:tcW w:w="1134" w:type="dxa"/>
            <w:vAlign w:val="center"/>
          </w:tcPr>
          <w:p>
            <w:pPr>
              <w:pStyle w:val="15"/>
            </w:pPr>
            <w:r>
              <w:t>20.81</w:t>
            </w:r>
          </w:p>
        </w:tc>
        <w:tc>
          <w:tcPr>
            <w:tcW w:w="1134" w:type="dxa"/>
            <w:vAlign w:val="center"/>
          </w:tcPr>
          <w:p>
            <w:pPr>
              <w:pStyle w:val="15"/>
            </w:pPr>
            <w:r>
              <w:t>20.81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29.27</w:t>
            </w:r>
          </w:p>
        </w:tc>
        <w:tc>
          <w:tcPr>
            <w:tcW w:w="1134" w:type="dxa"/>
            <w:vAlign w:val="center"/>
          </w:tcPr>
          <w:p>
            <w:pPr>
              <w:pStyle w:val="15"/>
            </w:pPr>
            <w:r>
              <w:t>29.27</w:t>
            </w:r>
          </w:p>
        </w:tc>
        <w:tc>
          <w:tcPr>
            <w:tcW w:w="1134" w:type="dxa"/>
            <w:vAlign w:val="center"/>
          </w:tcPr>
          <w:p>
            <w:pPr>
              <w:pStyle w:val="15"/>
            </w:pPr>
            <w:r>
              <w:t>29.27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29.27</w:t>
            </w:r>
          </w:p>
        </w:tc>
        <w:tc>
          <w:tcPr>
            <w:tcW w:w="1134" w:type="dxa"/>
            <w:vAlign w:val="center"/>
          </w:tcPr>
          <w:p>
            <w:pPr>
              <w:pStyle w:val="15"/>
            </w:pPr>
            <w:r>
              <w:t>29.27</w:t>
            </w:r>
          </w:p>
        </w:tc>
        <w:tc>
          <w:tcPr>
            <w:tcW w:w="1134" w:type="dxa"/>
            <w:vAlign w:val="center"/>
          </w:tcPr>
          <w:p>
            <w:pPr>
              <w:pStyle w:val="15"/>
            </w:pPr>
            <w:r>
              <w:t>29.27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29.27</w:t>
            </w:r>
          </w:p>
        </w:tc>
        <w:tc>
          <w:tcPr>
            <w:tcW w:w="1134" w:type="dxa"/>
            <w:vAlign w:val="center"/>
          </w:tcPr>
          <w:p>
            <w:pPr>
              <w:pStyle w:val="15"/>
            </w:pPr>
            <w:r>
              <w:t>29.27</w:t>
            </w:r>
          </w:p>
        </w:tc>
        <w:tc>
          <w:tcPr>
            <w:tcW w:w="1134" w:type="dxa"/>
            <w:vAlign w:val="center"/>
          </w:tcPr>
          <w:p>
            <w:pPr>
              <w:pStyle w:val="15"/>
            </w:pPr>
            <w:r>
              <w:t>29.27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821成安县文化广电和旅游局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709.34</w:t>
            </w:r>
          </w:p>
        </w:tc>
        <w:tc>
          <w:tcPr>
            <w:tcW w:w="1361" w:type="dxa"/>
            <w:vAlign w:val="center"/>
          </w:tcPr>
          <w:p>
            <w:pPr>
              <w:pStyle w:val="19"/>
            </w:pPr>
            <w:r>
              <w:t>331.21</w:t>
            </w:r>
          </w:p>
        </w:tc>
        <w:tc>
          <w:tcPr>
            <w:tcW w:w="1361" w:type="dxa"/>
            <w:vAlign w:val="center"/>
          </w:tcPr>
          <w:p>
            <w:pPr>
              <w:pStyle w:val="19"/>
            </w:pPr>
            <w:r>
              <w:t>378.13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pPr>
            <w:r>
              <w:t>617.54</w:t>
            </w:r>
          </w:p>
        </w:tc>
        <w:tc>
          <w:tcPr>
            <w:tcW w:w="1361" w:type="dxa"/>
            <w:vAlign w:val="center"/>
          </w:tcPr>
          <w:p>
            <w:pPr>
              <w:pStyle w:val="15"/>
            </w:pPr>
            <w:r>
              <w:t>239.41</w:t>
            </w:r>
          </w:p>
        </w:tc>
        <w:tc>
          <w:tcPr>
            <w:tcW w:w="1361" w:type="dxa"/>
            <w:vAlign w:val="center"/>
          </w:tcPr>
          <w:p>
            <w:pPr>
              <w:pStyle w:val="15"/>
            </w:pPr>
            <w:r>
              <w:t>378.13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20701</w:t>
            </w:r>
          </w:p>
        </w:tc>
        <w:tc>
          <w:tcPr>
            <w:tcW w:w="4535" w:type="dxa"/>
            <w:vAlign w:val="center"/>
          </w:tcPr>
          <w:p>
            <w:pPr>
              <w:pStyle w:val="16"/>
            </w:pPr>
            <w:r>
              <w:t>文化和旅游</w:t>
            </w:r>
          </w:p>
        </w:tc>
        <w:tc>
          <w:tcPr>
            <w:tcW w:w="1361" w:type="dxa"/>
            <w:vAlign w:val="center"/>
          </w:tcPr>
          <w:p>
            <w:pPr>
              <w:pStyle w:val="15"/>
            </w:pPr>
            <w:r>
              <w:t>263.61</w:t>
            </w:r>
          </w:p>
        </w:tc>
        <w:tc>
          <w:tcPr>
            <w:tcW w:w="1361" w:type="dxa"/>
            <w:vAlign w:val="center"/>
          </w:tcPr>
          <w:p>
            <w:pPr>
              <w:pStyle w:val="15"/>
            </w:pPr>
            <w:r>
              <w:t>239.41</w:t>
            </w:r>
          </w:p>
        </w:tc>
        <w:tc>
          <w:tcPr>
            <w:tcW w:w="1361" w:type="dxa"/>
            <w:vAlign w:val="center"/>
          </w:tcPr>
          <w:p>
            <w:pPr>
              <w:pStyle w:val="15"/>
            </w:pPr>
            <w:r>
              <w:t>24.20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2070101</w:t>
            </w:r>
          </w:p>
        </w:tc>
        <w:tc>
          <w:tcPr>
            <w:tcW w:w="4535" w:type="dxa"/>
            <w:vAlign w:val="center"/>
          </w:tcPr>
          <w:p>
            <w:pPr>
              <w:pStyle w:val="16"/>
            </w:pPr>
            <w:r>
              <w:t>行政运行</w:t>
            </w:r>
          </w:p>
        </w:tc>
        <w:tc>
          <w:tcPr>
            <w:tcW w:w="1361" w:type="dxa"/>
            <w:vAlign w:val="center"/>
          </w:tcPr>
          <w:p>
            <w:pPr>
              <w:pStyle w:val="15"/>
            </w:pPr>
            <w:r>
              <w:t>239.41</w:t>
            </w:r>
          </w:p>
        </w:tc>
        <w:tc>
          <w:tcPr>
            <w:tcW w:w="1361" w:type="dxa"/>
            <w:vAlign w:val="center"/>
          </w:tcPr>
          <w:p>
            <w:pPr>
              <w:pStyle w:val="15"/>
            </w:pPr>
            <w:r>
              <w:t>239.41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2070105</w:t>
            </w:r>
          </w:p>
        </w:tc>
        <w:tc>
          <w:tcPr>
            <w:tcW w:w="4535" w:type="dxa"/>
            <w:vAlign w:val="center"/>
          </w:tcPr>
          <w:p>
            <w:pPr>
              <w:pStyle w:val="16"/>
            </w:pPr>
            <w:r>
              <w:t>文化展示及纪念机构</w:t>
            </w: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2070109</w:t>
            </w:r>
          </w:p>
        </w:tc>
        <w:tc>
          <w:tcPr>
            <w:tcW w:w="4535" w:type="dxa"/>
            <w:vAlign w:val="center"/>
          </w:tcPr>
          <w:p>
            <w:pPr>
              <w:pStyle w:val="16"/>
            </w:pPr>
            <w:r>
              <w:t>群众文化</w:t>
            </w:r>
          </w:p>
        </w:tc>
        <w:tc>
          <w:tcPr>
            <w:tcW w:w="1361" w:type="dxa"/>
            <w:vAlign w:val="center"/>
          </w:tcPr>
          <w:p>
            <w:pPr>
              <w:pStyle w:val="15"/>
            </w:pPr>
            <w:r>
              <w:t>1.20</w:t>
            </w:r>
          </w:p>
        </w:tc>
        <w:tc>
          <w:tcPr>
            <w:tcW w:w="1361" w:type="dxa"/>
            <w:vAlign w:val="center"/>
          </w:tcPr>
          <w:p>
            <w:pPr>
              <w:pStyle w:val="15"/>
            </w:pPr>
          </w:p>
        </w:tc>
        <w:tc>
          <w:tcPr>
            <w:tcW w:w="1361" w:type="dxa"/>
            <w:vAlign w:val="center"/>
          </w:tcPr>
          <w:p>
            <w:pPr>
              <w:pStyle w:val="15"/>
            </w:pPr>
            <w:r>
              <w:t>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20702</w:t>
            </w:r>
          </w:p>
        </w:tc>
        <w:tc>
          <w:tcPr>
            <w:tcW w:w="4535" w:type="dxa"/>
            <w:vAlign w:val="center"/>
          </w:tcPr>
          <w:p>
            <w:pPr>
              <w:pStyle w:val="16"/>
            </w:pPr>
            <w:r>
              <w:t>文物</w:t>
            </w:r>
          </w:p>
        </w:tc>
        <w:tc>
          <w:tcPr>
            <w:tcW w:w="1361" w:type="dxa"/>
            <w:vAlign w:val="center"/>
          </w:tcPr>
          <w:p>
            <w:pPr>
              <w:pStyle w:val="15"/>
            </w:pPr>
            <w:r>
              <w:t>11.04</w:t>
            </w:r>
          </w:p>
        </w:tc>
        <w:tc>
          <w:tcPr>
            <w:tcW w:w="1361" w:type="dxa"/>
            <w:vAlign w:val="center"/>
          </w:tcPr>
          <w:p>
            <w:pPr>
              <w:pStyle w:val="15"/>
            </w:pPr>
          </w:p>
        </w:tc>
        <w:tc>
          <w:tcPr>
            <w:tcW w:w="1361" w:type="dxa"/>
            <w:vAlign w:val="center"/>
          </w:tcPr>
          <w:p>
            <w:pPr>
              <w:pStyle w:val="15"/>
            </w:pPr>
            <w:r>
              <w:t>11.04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2070204</w:t>
            </w:r>
          </w:p>
        </w:tc>
        <w:tc>
          <w:tcPr>
            <w:tcW w:w="4535" w:type="dxa"/>
            <w:vAlign w:val="center"/>
          </w:tcPr>
          <w:p>
            <w:pPr>
              <w:pStyle w:val="16"/>
            </w:pPr>
            <w:r>
              <w:t>文物保护</w:t>
            </w:r>
          </w:p>
        </w:tc>
        <w:tc>
          <w:tcPr>
            <w:tcW w:w="1361" w:type="dxa"/>
            <w:vAlign w:val="center"/>
          </w:tcPr>
          <w:p>
            <w:pPr>
              <w:pStyle w:val="15"/>
            </w:pPr>
            <w:r>
              <w:t>11.04</w:t>
            </w:r>
          </w:p>
        </w:tc>
        <w:tc>
          <w:tcPr>
            <w:tcW w:w="1361" w:type="dxa"/>
            <w:vAlign w:val="center"/>
          </w:tcPr>
          <w:p>
            <w:pPr>
              <w:pStyle w:val="15"/>
            </w:pPr>
          </w:p>
        </w:tc>
        <w:tc>
          <w:tcPr>
            <w:tcW w:w="1361" w:type="dxa"/>
            <w:vAlign w:val="center"/>
          </w:tcPr>
          <w:p>
            <w:pPr>
              <w:pStyle w:val="15"/>
            </w:pPr>
            <w:r>
              <w:t>11.04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20799</w:t>
            </w:r>
          </w:p>
        </w:tc>
        <w:tc>
          <w:tcPr>
            <w:tcW w:w="4535" w:type="dxa"/>
            <w:vAlign w:val="center"/>
          </w:tcPr>
          <w:p>
            <w:pPr>
              <w:pStyle w:val="16"/>
            </w:pPr>
            <w:r>
              <w:t>其他文化旅游体育与传媒支出</w:t>
            </w:r>
          </w:p>
        </w:tc>
        <w:tc>
          <w:tcPr>
            <w:tcW w:w="1361" w:type="dxa"/>
            <w:vAlign w:val="center"/>
          </w:tcPr>
          <w:p>
            <w:pPr>
              <w:pStyle w:val="15"/>
            </w:pPr>
            <w:r>
              <w:t>342.89</w:t>
            </w:r>
          </w:p>
        </w:tc>
        <w:tc>
          <w:tcPr>
            <w:tcW w:w="1361" w:type="dxa"/>
            <w:vAlign w:val="center"/>
          </w:tcPr>
          <w:p>
            <w:pPr>
              <w:pStyle w:val="15"/>
            </w:pPr>
          </w:p>
        </w:tc>
        <w:tc>
          <w:tcPr>
            <w:tcW w:w="1361" w:type="dxa"/>
            <w:vAlign w:val="center"/>
          </w:tcPr>
          <w:p>
            <w:pPr>
              <w:pStyle w:val="15"/>
            </w:pPr>
            <w:r>
              <w:t>342.89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2079999</w:t>
            </w:r>
          </w:p>
        </w:tc>
        <w:tc>
          <w:tcPr>
            <w:tcW w:w="4535" w:type="dxa"/>
            <w:vAlign w:val="center"/>
          </w:tcPr>
          <w:p>
            <w:pPr>
              <w:pStyle w:val="16"/>
            </w:pPr>
            <w:r>
              <w:t>其他文化旅游体育与传媒支出</w:t>
            </w:r>
          </w:p>
        </w:tc>
        <w:tc>
          <w:tcPr>
            <w:tcW w:w="1361" w:type="dxa"/>
            <w:vAlign w:val="center"/>
          </w:tcPr>
          <w:p>
            <w:pPr>
              <w:pStyle w:val="15"/>
            </w:pPr>
            <w:r>
              <w:t>342.89</w:t>
            </w:r>
          </w:p>
        </w:tc>
        <w:tc>
          <w:tcPr>
            <w:tcW w:w="1361" w:type="dxa"/>
            <w:vAlign w:val="center"/>
          </w:tcPr>
          <w:p>
            <w:pPr>
              <w:pStyle w:val="15"/>
            </w:pPr>
          </w:p>
        </w:tc>
        <w:tc>
          <w:tcPr>
            <w:tcW w:w="1361" w:type="dxa"/>
            <w:vAlign w:val="center"/>
          </w:tcPr>
          <w:p>
            <w:pPr>
              <w:pStyle w:val="15"/>
            </w:pPr>
            <w:r>
              <w:t>342.89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41.72</w:t>
            </w:r>
          </w:p>
        </w:tc>
        <w:tc>
          <w:tcPr>
            <w:tcW w:w="1361" w:type="dxa"/>
            <w:vAlign w:val="center"/>
          </w:tcPr>
          <w:p>
            <w:pPr>
              <w:pStyle w:val="15"/>
            </w:pPr>
            <w:r>
              <w:t>41.72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41.72</w:t>
            </w:r>
          </w:p>
        </w:tc>
        <w:tc>
          <w:tcPr>
            <w:tcW w:w="1361" w:type="dxa"/>
            <w:vAlign w:val="center"/>
          </w:tcPr>
          <w:p>
            <w:pPr>
              <w:pStyle w:val="15"/>
            </w:pPr>
            <w:r>
              <w:t>41.72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34.13</w:t>
            </w:r>
          </w:p>
        </w:tc>
        <w:tc>
          <w:tcPr>
            <w:tcW w:w="1361" w:type="dxa"/>
            <w:vAlign w:val="center"/>
          </w:tcPr>
          <w:p>
            <w:pPr>
              <w:pStyle w:val="15"/>
            </w:pPr>
            <w:r>
              <w:t>34.13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7.59</w:t>
            </w:r>
          </w:p>
        </w:tc>
        <w:tc>
          <w:tcPr>
            <w:tcW w:w="1361" w:type="dxa"/>
            <w:vAlign w:val="center"/>
          </w:tcPr>
          <w:p>
            <w:pPr>
              <w:pStyle w:val="15"/>
            </w:pPr>
            <w:r>
              <w:t>7.59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20.81</w:t>
            </w:r>
          </w:p>
        </w:tc>
        <w:tc>
          <w:tcPr>
            <w:tcW w:w="1361" w:type="dxa"/>
            <w:vAlign w:val="center"/>
          </w:tcPr>
          <w:p>
            <w:pPr>
              <w:pStyle w:val="15"/>
            </w:pPr>
            <w:r>
              <w:t>20.81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20.81</w:t>
            </w:r>
          </w:p>
        </w:tc>
        <w:tc>
          <w:tcPr>
            <w:tcW w:w="1361" w:type="dxa"/>
            <w:vAlign w:val="center"/>
          </w:tcPr>
          <w:p>
            <w:pPr>
              <w:pStyle w:val="15"/>
            </w:pPr>
            <w:r>
              <w:t>20.81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20.81</w:t>
            </w:r>
          </w:p>
        </w:tc>
        <w:tc>
          <w:tcPr>
            <w:tcW w:w="1361" w:type="dxa"/>
            <w:vAlign w:val="center"/>
          </w:tcPr>
          <w:p>
            <w:pPr>
              <w:pStyle w:val="15"/>
            </w:pPr>
            <w:r>
              <w:t>20.81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29.27</w:t>
            </w:r>
          </w:p>
        </w:tc>
        <w:tc>
          <w:tcPr>
            <w:tcW w:w="1361" w:type="dxa"/>
            <w:vAlign w:val="center"/>
          </w:tcPr>
          <w:p>
            <w:pPr>
              <w:pStyle w:val="15"/>
            </w:pPr>
            <w:r>
              <w:t>29.27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29.27</w:t>
            </w:r>
          </w:p>
        </w:tc>
        <w:tc>
          <w:tcPr>
            <w:tcW w:w="1361" w:type="dxa"/>
            <w:vAlign w:val="center"/>
          </w:tcPr>
          <w:p>
            <w:pPr>
              <w:pStyle w:val="15"/>
            </w:pPr>
            <w:r>
              <w:t>29.27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29.27</w:t>
            </w:r>
          </w:p>
        </w:tc>
        <w:tc>
          <w:tcPr>
            <w:tcW w:w="1361" w:type="dxa"/>
            <w:vAlign w:val="center"/>
          </w:tcPr>
          <w:p>
            <w:pPr>
              <w:pStyle w:val="15"/>
            </w:pPr>
            <w:r>
              <w:t>29.27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821成安县文化广电和旅游局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709.34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617.54</w:t>
            </w:r>
          </w:p>
        </w:tc>
        <w:tc>
          <w:tcPr>
            <w:tcW w:w="1474" w:type="dxa"/>
            <w:vAlign w:val="center"/>
          </w:tcPr>
          <w:p>
            <w:pPr>
              <w:pStyle w:val="15"/>
            </w:pPr>
            <w:r>
              <w:t>617.54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41.72</w:t>
            </w:r>
          </w:p>
        </w:tc>
        <w:tc>
          <w:tcPr>
            <w:tcW w:w="1474" w:type="dxa"/>
            <w:vAlign w:val="center"/>
          </w:tcPr>
          <w:p>
            <w:pPr>
              <w:pStyle w:val="15"/>
            </w:pPr>
            <w:r>
              <w:t>41.72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20.81</w:t>
            </w:r>
          </w:p>
        </w:tc>
        <w:tc>
          <w:tcPr>
            <w:tcW w:w="1474" w:type="dxa"/>
            <w:vAlign w:val="center"/>
          </w:tcPr>
          <w:p>
            <w:pPr>
              <w:pStyle w:val="15"/>
            </w:pPr>
            <w:r>
              <w:t>20.81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29.27</w:t>
            </w:r>
          </w:p>
        </w:tc>
        <w:tc>
          <w:tcPr>
            <w:tcW w:w="1474" w:type="dxa"/>
            <w:vAlign w:val="center"/>
          </w:tcPr>
          <w:p>
            <w:pPr>
              <w:pStyle w:val="15"/>
            </w:pPr>
            <w:r>
              <w:t>29.27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709.34</w:t>
            </w:r>
          </w:p>
        </w:tc>
        <w:tc>
          <w:tcPr>
            <w:tcW w:w="3402" w:type="dxa"/>
            <w:vAlign w:val="center"/>
          </w:tcPr>
          <w:p>
            <w:pPr>
              <w:pStyle w:val="18"/>
            </w:pPr>
            <w:r>
              <w:t>本年支出合计</w:t>
            </w:r>
          </w:p>
        </w:tc>
        <w:tc>
          <w:tcPr>
            <w:tcW w:w="1474" w:type="dxa"/>
            <w:vAlign w:val="center"/>
          </w:tcPr>
          <w:p>
            <w:pPr>
              <w:pStyle w:val="19"/>
            </w:pPr>
            <w:r>
              <w:t>709.34</w:t>
            </w:r>
          </w:p>
        </w:tc>
        <w:tc>
          <w:tcPr>
            <w:tcW w:w="1474" w:type="dxa"/>
            <w:vAlign w:val="center"/>
          </w:tcPr>
          <w:p>
            <w:pPr>
              <w:pStyle w:val="19"/>
            </w:pPr>
            <w:r>
              <w:t>709.34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709.34</w:t>
            </w:r>
          </w:p>
        </w:tc>
        <w:tc>
          <w:tcPr>
            <w:tcW w:w="3402" w:type="dxa"/>
            <w:vAlign w:val="center"/>
          </w:tcPr>
          <w:p>
            <w:pPr>
              <w:pStyle w:val="18"/>
            </w:pPr>
            <w:r>
              <w:t>支出总计</w:t>
            </w:r>
          </w:p>
        </w:tc>
        <w:tc>
          <w:tcPr>
            <w:tcW w:w="1474" w:type="dxa"/>
            <w:vAlign w:val="center"/>
          </w:tcPr>
          <w:p>
            <w:pPr>
              <w:pStyle w:val="19"/>
            </w:pPr>
            <w:r>
              <w:t>709.34</w:t>
            </w:r>
          </w:p>
        </w:tc>
        <w:tc>
          <w:tcPr>
            <w:tcW w:w="1474" w:type="dxa"/>
            <w:vAlign w:val="center"/>
          </w:tcPr>
          <w:p>
            <w:pPr>
              <w:pStyle w:val="19"/>
            </w:pPr>
            <w:r>
              <w:t>709.34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821成安县文化广电和旅游局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709.34</w:t>
            </w:r>
          </w:p>
        </w:tc>
        <w:tc>
          <w:tcPr>
            <w:tcW w:w="2551" w:type="dxa"/>
            <w:vAlign w:val="center"/>
          </w:tcPr>
          <w:p>
            <w:pPr>
              <w:pStyle w:val="19"/>
            </w:pPr>
            <w:r>
              <w:t>331.21</w:t>
            </w:r>
          </w:p>
        </w:tc>
        <w:tc>
          <w:tcPr>
            <w:tcW w:w="2551" w:type="dxa"/>
            <w:vAlign w:val="center"/>
          </w:tcPr>
          <w:p>
            <w:pPr>
              <w:pStyle w:val="19"/>
            </w:pPr>
            <w:r>
              <w:t>378.13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617.54</w:t>
            </w:r>
          </w:p>
        </w:tc>
        <w:tc>
          <w:tcPr>
            <w:tcW w:w="2551" w:type="dxa"/>
            <w:vAlign w:val="center"/>
          </w:tcPr>
          <w:p>
            <w:pPr>
              <w:pStyle w:val="15"/>
            </w:pPr>
            <w:r>
              <w:t>239.41</w:t>
            </w:r>
          </w:p>
        </w:tc>
        <w:tc>
          <w:tcPr>
            <w:tcW w:w="2551" w:type="dxa"/>
            <w:vAlign w:val="center"/>
          </w:tcPr>
          <w:p>
            <w:pPr>
              <w:pStyle w:val="15"/>
            </w:pPr>
            <w:r>
              <w:t>378.13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20701</w:t>
            </w:r>
          </w:p>
        </w:tc>
        <w:tc>
          <w:tcPr>
            <w:tcW w:w="4535" w:type="dxa"/>
            <w:vAlign w:val="center"/>
          </w:tcPr>
          <w:p>
            <w:pPr>
              <w:pStyle w:val="16"/>
            </w:pPr>
            <w:r>
              <w:t>文化和旅游</w:t>
            </w:r>
          </w:p>
        </w:tc>
        <w:tc>
          <w:tcPr>
            <w:tcW w:w="2551" w:type="dxa"/>
            <w:vAlign w:val="center"/>
          </w:tcPr>
          <w:p>
            <w:pPr>
              <w:pStyle w:val="15"/>
            </w:pPr>
            <w:r>
              <w:t>263.61</w:t>
            </w:r>
          </w:p>
        </w:tc>
        <w:tc>
          <w:tcPr>
            <w:tcW w:w="2551" w:type="dxa"/>
            <w:vAlign w:val="center"/>
          </w:tcPr>
          <w:p>
            <w:pPr>
              <w:pStyle w:val="15"/>
            </w:pPr>
            <w:r>
              <w:t>239.41</w:t>
            </w:r>
          </w:p>
        </w:tc>
        <w:tc>
          <w:tcPr>
            <w:tcW w:w="2551" w:type="dxa"/>
            <w:vAlign w:val="center"/>
          </w:tcPr>
          <w:p>
            <w:pPr>
              <w:pStyle w:val="15"/>
            </w:pPr>
            <w:r>
              <w:t>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2070101</w:t>
            </w:r>
          </w:p>
        </w:tc>
        <w:tc>
          <w:tcPr>
            <w:tcW w:w="4535" w:type="dxa"/>
            <w:vAlign w:val="center"/>
          </w:tcPr>
          <w:p>
            <w:pPr>
              <w:pStyle w:val="16"/>
            </w:pPr>
            <w:r>
              <w:t>行政运行</w:t>
            </w:r>
          </w:p>
        </w:tc>
        <w:tc>
          <w:tcPr>
            <w:tcW w:w="2551" w:type="dxa"/>
            <w:vAlign w:val="center"/>
          </w:tcPr>
          <w:p>
            <w:pPr>
              <w:pStyle w:val="15"/>
            </w:pPr>
            <w:r>
              <w:t>239.41</w:t>
            </w:r>
          </w:p>
        </w:tc>
        <w:tc>
          <w:tcPr>
            <w:tcW w:w="2551" w:type="dxa"/>
            <w:vAlign w:val="center"/>
          </w:tcPr>
          <w:p>
            <w:pPr>
              <w:pStyle w:val="15"/>
            </w:pPr>
            <w:r>
              <w:t>239.41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2070105</w:t>
            </w:r>
          </w:p>
        </w:tc>
        <w:tc>
          <w:tcPr>
            <w:tcW w:w="4535" w:type="dxa"/>
            <w:vAlign w:val="center"/>
          </w:tcPr>
          <w:p>
            <w:pPr>
              <w:pStyle w:val="16"/>
            </w:pPr>
            <w:r>
              <w:t>文化展示及纪念机构</w:t>
            </w:r>
          </w:p>
        </w:tc>
        <w:tc>
          <w:tcPr>
            <w:tcW w:w="2551" w:type="dxa"/>
            <w:vAlign w:val="center"/>
          </w:tcPr>
          <w:p>
            <w:pPr>
              <w:pStyle w:val="15"/>
            </w:pPr>
            <w:r>
              <w:t>23.00</w:t>
            </w:r>
          </w:p>
        </w:tc>
        <w:tc>
          <w:tcPr>
            <w:tcW w:w="2551" w:type="dxa"/>
            <w:vAlign w:val="center"/>
          </w:tcPr>
          <w:p>
            <w:pPr>
              <w:pStyle w:val="15"/>
            </w:pPr>
          </w:p>
        </w:tc>
        <w:tc>
          <w:tcPr>
            <w:tcW w:w="2551"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2070109</w:t>
            </w:r>
          </w:p>
        </w:tc>
        <w:tc>
          <w:tcPr>
            <w:tcW w:w="4535" w:type="dxa"/>
            <w:vAlign w:val="center"/>
          </w:tcPr>
          <w:p>
            <w:pPr>
              <w:pStyle w:val="16"/>
            </w:pPr>
            <w:r>
              <w:t>群众文化</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20702</w:t>
            </w:r>
          </w:p>
        </w:tc>
        <w:tc>
          <w:tcPr>
            <w:tcW w:w="4535" w:type="dxa"/>
            <w:vAlign w:val="center"/>
          </w:tcPr>
          <w:p>
            <w:pPr>
              <w:pStyle w:val="16"/>
            </w:pPr>
            <w:r>
              <w:t>文物</w:t>
            </w:r>
          </w:p>
        </w:tc>
        <w:tc>
          <w:tcPr>
            <w:tcW w:w="2551" w:type="dxa"/>
            <w:vAlign w:val="center"/>
          </w:tcPr>
          <w:p>
            <w:pPr>
              <w:pStyle w:val="15"/>
            </w:pPr>
            <w:r>
              <w:t>11.04</w:t>
            </w:r>
          </w:p>
        </w:tc>
        <w:tc>
          <w:tcPr>
            <w:tcW w:w="2551" w:type="dxa"/>
            <w:vAlign w:val="center"/>
          </w:tcPr>
          <w:p>
            <w:pPr>
              <w:pStyle w:val="15"/>
            </w:pPr>
          </w:p>
        </w:tc>
        <w:tc>
          <w:tcPr>
            <w:tcW w:w="2551" w:type="dxa"/>
            <w:vAlign w:val="center"/>
          </w:tcPr>
          <w:p>
            <w:pPr>
              <w:pStyle w:val="15"/>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2070204</w:t>
            </w:r>
          </w:p>
        </w:tc>
        <w:tc>
          <w:tcPr>
            <w:tcW w:w="4535" w:type="dxa"/>
            <w:vAlign w:val="center"/>
          </w:tcPr>
          <w:p>
            <w:pPr>
              <w:pStyle w:val="16"/>
            </w:pPr>
            <w:r>
              <w:t>文物保护</w:t>
            </w:r>
          </w:p>
        </w:tc>
        <w:tc>
          <w:tcPr>
            <w:tcW w:w="2551" w:type="dxa"/>
            <w:vAlign w:val="center"/>
          </w:tcPr>
          <w:p>
            <w:pPr>
              <w:pStyle w:val="15"/>
            </w:pPr>
            <w:r>
              <w:t>11.04</w:t>
            </w:r>
          </w:p>
        </w:tc>
        <w:tc>
          <w:tcPr>
            <w:tcW w:w="2551" w:type="dxa"/>
            <w:vAlign w:val="center"/>
          </w:tcPr>
          <w:p>
            <w:pPr>
              <w:pStyle w:val="15"/>
            </w:pPr>
          </w:p>
        </w:tc>
        <w:tc>
          <w:tcPr>
            <w:tcW w:w="2551" w:type="dxa"/>
            <w:vAlign w:val="center"/>
          </w:tcPr>
          <w:p>
            <w:pPr>
              <w:pStyle w:val="15"/>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20799</w:t>
            </w:r>
          </w:p>
        </w:tc>
        <w:tc>
          <w:tcPr>
            <w:tcW w:w="4535" w:type="dxa"/>
            <w:vAlign w:val="center"/>
          </w:tcPr>
          <w:p>
            <w:pPr>
              <w:pStyle w:val="16"/>
            </w:pPr>
            <w:r>
              <w:t>其他文化旅游体育与传媒支出</w:t>
            </w:r>
          </w:p>
        </w:tc>
        <w:tc>
          <w:tcPr>
            <w:tcW w:w="2551" w:type="dxa"/>
            <w:vAlign w:val="center"/>
          </w:tcPr>
          <w:p>
            <w:pPr>
              <w:pStyle w:val="15"/>
            </w:pPr>
            <w:r>
              <w:t>342.89</w:t>
            </w:r>
          </w:p>
        </w:tc>
        <w:tc>
          <w:tcPr>
            <w:tcW w:w="2551" w:type="dxa"/>
            <w:vAlign w:val="center"/>
          </w:tcPr>
          <w:p>
            <w:pPr>
              <w:pStyle w:val="15"/>
            </w:pPr>
          </w:p>
        </w:tc>
        <w:tc>
          <w:tcPr>
            <w:tcW w:w="2551" w:type="dxa"/>
            <w:vAlign w:val="center"/>
          </w:tcPr>
          <w:p>
            <w:pPr>
              <w:pStyle w:val="15"/>
            </w:pPr>
            <w:r>
              <w:t>342.89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2079999</w:t>
            </w:r>
          </w:p>
        </w:tc>
        <w:tc>
          <w:tcPr>
            <w:tcW w:w="4535" w:type="dxa"/>
            <w:vAlign w:val="center"/>
          </w:tcPr>
          <w:p>
            <w:pPr>
              <w:pStyle w:val="16"/>
            </w:pPr>
            <w:r>
              <w:t>其他文化旅游体育与传媒支出</w:t>
            </w:r>
          </w:p>
        </w:tc>
        <w:tc>
          <w:tcPr>
            <w:tcW w:w="2551" w:type="dxa"/>
            <w:vAlign w:val="center"/>
          </w:tcPr>
          <w:p>
            <w:pPr>
              <w:pStyle w:val="15"/>
            </w:pPr>
            <w:r>
              <w:t>342.89</w:t>
            </w:r>
          </w:p>
        </w:tc>
        <w:tc>
          <w:tcPr>
            <w:tcW w:w="2551" w:type="dxa"/>
            <w:vAlign w:val="center"/>
          </w:tcPr>
          <w:p>
            <w:pPr>
              <w:pStyle w:val="15"/>
            </w:pPr>
          </w:p>
        </w:tc>
        <w:tc>
          <w:tcPr>
            <w:tcW w:w="2551" w:type="dxa"/>
            <w:vAlign w:val="center"/>
          </w:tcPr>
          <w:p>
            <w:pPr>
              <w:pStyle w:val="15"/>
            </w:pPr>
            <w:r>
              <w:t>342.89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41.72</w:t>
            </w:r>
          </w:p>
        </w:tc>
        <w:tc>
          <w:tcPr>
            <w:tcW w:w="2551" w:type="dxa"/>
            <w:vAlign w:val="center"/>
          </w:tcPr>
          <w:p>
            <w:pPr>
              <w:pStyle w:val="15"/>
            </w:pPr>
            <w:r>
              <w:t>41.72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41.72</w:t>
            </w:r>
          </w:p>
        </w:tc>
        <w:tc>
          <w:tcPr>
            <w:tcW w:w="2551" w:type="dxa"/>
            <w:vAlign w:val="center"/>
          </w:tcPr>
          <w:p>
            <w:pPr>
              <w:pStyle w:val="15"/>
            </w:pPr>
            <w:r>
              <w:t>41.72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34.13</w:t>
            </w:r>
          </w:p>
        </w:tc>
        <w:tc>
          <w:tcPr>
            <w:tcW w:w="2551" w:type="dxa"/>
            <w:vAlign w:val="center"/>
          </w:tcPr>
          <w:p>
            <w:pPr>
              <w:pStyle w:val="15"/>
            </w:pPr>
            <w:r>
              <w:t>34.13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7.59</w:t>
            </w:r>
          </w:p>
        </w:tc>
        <w:tc>
          <w:tcPr>
            <w:tcW w:w="2551" w:type="dxa"/>
            <w:vAlign w:val="center"/>
          </w:tcPr>
          <w:p>
            <w:pPr>
              <w:pStyle w:val="15"/>
            </w:pPr>
            <w:r>
              <w:t>7.59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20.81</w:t>
            </w:r>
          </w:p>
        </w:tc>
        <w:tc>
          <w:tcPr>
            <w:tcW w:w="2551" w:type="dxa"/>
            <w:vAlign w:val="center"/>
          </w:tcPr>
          <w:p>
            <w:pPr>
              <w:pStyle w:val="15"/>
            </w:pPr>
            <w:r>
              <w:t>20.81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20.81</w:t>
            </w:r>
          </w:p>
        </w:tc>
        <w:tc>
          <w:tcPr>
            <w:tcW w:w="2551" w:type="dxa"/>
            <w:vAlign w:val="center"/>
          </w:tcPr>
          <w:p>
            <w:pPr>
              <w:pStyle w:val="15"/>
            </w:pPr>
            <w:r>
              <w:t>20.81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20.81</w:t>
            </w:r>
          </w:p>
        </w:tc>
        <w:tc>
          <w:tcPr>
            <w:tcW w:w="2551" w:type="dxa"/>
            <w:vAlign w:val="center"/>
          </w:tcPr>
          <w:p>
            <w:pPr>
              <w:pStyle w:val="15"/>
            </w:pPr>
            <w:r>
              <w:t>20.81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29.27</w:t>
            </w:r>
          </w:p>
        </w:tc>
        <w:tc>
          <w:tcPr>
            <w:tcW w:w="2551" w:type="dxa"/>
            <w:vAlign w:val="center"/>
          </w:tcPr>
          <w:p>
            <w:pPr>
              <w:pStyle w:val="15"/>
            </w:pPr>
            <w:r>
              <w:t>29.27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29.27</w:t>
            </w:r>
          </w:p>
        </w:tc>
        <w:tc>
          <w:tcPr>
            <w:tcW w:w="2551" w:type="dxa"/>
            <w:vAlign w:val="center"/>
          </w:tcPr>
          <w:p>
            <w:pPr>
              <w:pStyle w:val="15"/>
            </w:pPr>
            <w:r>
              <w:t>29.27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29.27</w:t>
            </w:r>
          </w:p>
        </w:tc>
        <w:tc>
          <w:tcPr>
            <w:tcW w:w="2551" w:type="dxa"/>
            <w:vAlign w:val="center"/>
          </w:tcPr>
          <w:p>
            <w:pPr>
              <w:pStyle w:val="15"/>
            </w:pPr>
            <w:r>
              <w:t>29.27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821成安县文化广电和旅游局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331.21</w:t>
            </w:r>
          </w:p>
        </w:tc>
        <w:tc>
          <w:tcPr>
            <w:tcW w:w="2551" w:type="dxa"/>
            <w:vAlign w:val="center"/>
          </w:tcPr>
          <w:p>
            <w:pPr>
              <w:pStyle w:val="19"/>
            </w:pPr>
            <w:r>
              <w:t>313.63</w:t>
            </w:r>
          </w:p>
        </w:tc>
        <w:tc>
          <w:tcPr>
            <w:tcW w:w="2551" w:type="dxa"/>
            <w:vAlign w:val="center"/>
          </w:tcPr>
          <w:p>
            <w:pPr>
              <w:pStyle w:val="19"/>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313.63</w:t>
            </w:r>
          </w:p>
        </w:tc>
        <w:tc>
          <w:tcPr>
            <w:tcW w:w="2551" w:type="dxa"/>
            <w:vAlign w:val="center"/>
          </w:tcPr>
          <w:p>
            <w:pPr>
              <w:pStyle w:val="15"/>
            </w:pPr>
            <w:r>
              <w:t>313.63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179.10</w:t>
            </w:r>
          </w:p>
        </w:tc>
        <w:tc>
          <w:tcPr>
            <w:tcW w:w="2551" w:type="dxa"/>
            <w:vAlign w:val="center"/>
          </w:tcPr>
          <w:p>
            <w:pPr>
              <w:pStyle w:val="15"/>
            </w:pPr>
            <w:r>
              <w:t>179.10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21.80</w:t>
            </w:r>
          </w:p>
        </w:tc>
        <w:tc>
          <w:tcPr>
            <w:tcW w:w="2551" w:type="dxa"/>
            <w:vAlign w:val="center"/>
          </w:tcPr>
          <w:p>
            <w:pPr>
              <w:pStyle w:val="15"/>
            </w:pPr>
            <w:r>
              <w:t>21.80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2.50</w:t>
            </w:r>
          </w:p>
        </w:tc>
        <w:tc>
          <w:tcPr>
            <w:tcW w:w="2551" w:type="dxa"/>
            <w:vAlign w:val="center"/>
          </w:tcPr>
          <w:p>
            <w:pPr>
              <w:pStyle w:val="15"/>
            </w:pPr>
            <w:r>
              <w:t>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17.30</w:t>
            </w:r>
          </w:p>
        </w:tc>
        <w:tc>
          <w:tcPr>
            <w:tcW w:w="2551" w:type="dxa"/>
            <w:vAlign w:val="center"/>
          </w:tcPr>
          <w:p>
            <w:pPr>
              <w:pStyle w:val="15"/>
            </w:pPr>
            <w:r>
              <w:t>17.30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34.13</w:t>
            </w:r>
          </w:p>
        </w:tc>
        <w:tc>
          <w:tcPr>
            <w:tcW w:w="2551" w:type="dxa"/>
            <w:vAlign w:val="center"/>
          </w:tcPr>
          <w:p>
            <w:pPr>
              <w:pStyle w:val="15"/>
            </w:pPr>
            <w:r>
              <w:t>34.13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7.59</w:t>
            </w:r>
          </w:p>
        </w:tc>
        <w:tc>
          <w:tcPr>
            <w:tcW w:w="2551" w:type="dxa"/>
            <w:vAlign w:val="center"/>
          </w:tcPr>
          <w:p>
            <w:pPr>
              <w:pStyle w:val="15"/>
            </w:pPr>
            <w:r>
              <w:t>7.59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20.81</w:t>
            </w:r>
          </w:p>
        </w:tc>
        <w:tc>
          <w:tcPr>
            <w:tcW w:w="2551" w:type="dxa"/>
            <w:vAlign w:val="center"/>
          </w:tcPr>
          <w:p>
            <w:pPr>
              <w:pStyle w:val="15"/>
            </w:pPr>
            <w:r>
              <w:t>20.81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1.13</w:t>
            </w:r>
          </w:p>
        </w:tc>
        <w:tc>
          <w:tcPr>
            <w:tcW w:w="2551" w:type="dxa"/>
            <w:vAlign w:val="center"/>
          </w:tcPr>
          <w:p>
            <w:pPr>
              <w:pStyle w:val="15"/>
            </w:pPr>
            <w:r>
              <w:t>1.13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29.27</w:t>
            </w:r>
          </w:p>
        </w:tc>
        <w:tc>
          <w:tcPr>
            <w:tcW w:w="2551" w:type="dxa"/>
            <w:vAlign w:val="center"/>
          </w:tcPr>
          <w:p>
            <w:pPr>
              <w:pStyle w:val="15"/>
            </w:pPr>
            <w:r>
              <w:t>29.27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17.58</w:t>
            </w:r>
          </w:p>
        </w:tc>
        <w:tc>
          <w:tcPr>
            <w:tcW w:w="2551" w:type="dxa"/>
            <w:vAlign w:val="center"/>
          </w:tcPr>
          <w:p>
            <w:pPr>
              <w:pStyle w:val="15"/>
            </w:pPr>
          </w:p>
        </w:tc>
        <w:tc>
          <w:tcPr>
            <w:tcW w:w="2551" w:type="dxa"/>
            <w:vAlign w:val="center"/>
          </w:tcPr>
          <w:p>
            <w:pPr>
              <w:pStyle w:val="15"/>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5.58</w:t>
            </w:r>
          </w:p>
        </w:tc>
        <w:tc>
          <w:tcPr>
            <w:tcW w:w="2551" w:type="dxa"/>
            <w:vAlign w:val="center"/>
          </w:tcPr>
          <w:p>
            <w:pPr>
              <w:pStyle w:val="15"/>
            </w:pPr>
          </w:p>
        </w:tc>
        <w:tc>
          <w:tcPr>
            <w:tcW w:w="2551" w:type="dxa"/>
            <w:vAlign w:val="center"/>
          </w:tcPr>
          <w:p>
            <w:pPr>
              <w:pStyle w:val="15"/>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821成安县文化广电和旅游局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821成安县文化广电和旅游局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821成安县文化广电和旅游局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1.00</w:t>
            </w:r>
          </w:p>
        </w:tc>
        <w:tc>
          <w:tcPr>
            <w:tcW w:w="1643" w:type="dxa"/>
            <w:vAlign w:val="center"/>
          </w:tcPr>
          <w:p>
            <w:pPr>
              <w:pStyle w:val="19"/>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rPr>
                <w:rFonts w:hint="default" w:eastAsia="方正书宋_GBK"/>
                <w:lang w:val="en-US" w:eastAsia="zh-CN"/>
              </w:rPr>
            </w:pPr>
            <w:r>
              <w:rPr>
                <w:rFonts w:hint="eastAsia"/>
                <w:lang w:val="en-US" w:eastAsia="zh-CN"/>
              </w:rPr>
              <w:t>1.00</w:t>
            </w: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1.00</w:t>
            </w:r>
          </w:p>
        </w:tc>
        <w:tc>
          <w:tcPr>
            <w:tcW w:w="1643" w:type="dxa"/>
            <w:vAlign w:val="center"/>
          </w:tcPr>
          <w:p>
            <w:pPr>
              <w:pStyle w:val="15"/>
            </w:pPr>
            <w:r>
              <w:t>1.00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10</w:t>
            </w:r>
          </w:p>
        </w:tc>
        <w:tc>
          <w:tcPr>
            <w:tcW w:w="1643" w:type="dxa"/>
            <w:vAlign w:val="center"/>
          </w:tcPr>
          <w:p>
            <w:pPr>
              <w:pStyle w:val="16"/>
            </w:pPr>
            <w:r>
              <w:t>四、会议费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11</w:t>
            </w:r>
          </w:p>
        </w:tc>
        <w:tc>
          <w:tcPr>
            <w:tcW w:w="1643" w:type="dxa"/>
            <w:vAlign w:val="center"/>
          </w:tcPr>
          <w:p>
            <w:pPr>
              <w:pStyle w:val="16"/>
            </w:pPr>
            <w:r>
              <w:t>五、培训费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成安县文化广电和旅游局2022年部门预算信息公开情况说明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成安县文化广电和旅游局2022年部门预算信息公开情况说明</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按照《预算法》、《地方预决算公开操作规程》和《关于进一步推进预算公开工作的实施意见》规定，现将成安县文化广电和旅游局2022年部门预算公开如下：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pPr>
      <w:r>
        <w:rPr>
          <w:rFonts w:ascii="方正楷体_GBK" w:hAnsi="方正楷体_GBK" w:eastAsia="方正楷体_GBK" w:cs="方正楷体_GBK"/>
          <w:b/>
          <w:color w:val="000000"/>
          <w:sz w:val="32"/>
        </w:rPr>
        <w:t>部门职责：</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贯彻落实党中央、省委、市委和县委关于文化、创作、广播电视、网络视听节目和旅游工作的方针政策和决策部署，坚持和加强党对文化、广播电视、网络视听节目和旅游工作的集中统一领导。主要职责是：</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（一）贯彻执行党和国家文化、广播电视、网络视听节目和旅游工作方针政策和法律法规。研究拟订全县文化、广播电视和旅游办法措施。</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（二）拟订全县文化事业、文化产业、广播电视领域和旅游业发展规划并组织实施，推进文化、广播电视和旅游融合发展，推进文化、广播电视和旅游体制机制改革。</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管理和组织全县性重大文化和旅游活动，组织实施全县广播电视公共服务重大公益工程和公益活动。监管全县重点文化和旅游设施建设，组织成安文化和旅游整体形象推广，促进对外合作和国际市场推广；组织推进全域旅游。</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（四）管理全县文艺事业。指导艺术创作生产，扶持体现社会主义核心价值观、具有导向性代表性示范性的文艺作品，推动全县各门类艺术、各艺术品种发展。指导全县电视剧行业发展和电视剧创作生产。</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（五）负责全县文化、广播电视和旅游事业发展。推动全县文化、广播电视和旅游公共服务体系建设，深入实施文化惠民工程，统筹推进全县文化、广播电视和旅游服务标准化、均等化。</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推进全县文化、广播电视和旅游科技创新发展，推进文化和旅游行业信息化、标准化建设；负责对广播电视节目传输覆盖、监听、监看、监测的监管，指导、监管全县广播电视广告播放；推进全县应急广播体系建设，监管协调调度全县广播电视安全播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（七）负责对广播电视机构进行业务指导和监管，会同有关部门对全县网络视听节目服务机构进行管理，推进广播电视与新媒体新技术新业态融合发展，推进广电网与电信网、互联网三网融合。</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（八）负责全县非物质文化遗产保护，推动非物质文化遗产的保护、传承、普及、弘扬和振兴。</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（九）统筹规划全县文化产业、广播电视产业和旅游产业。组织实施文化和旅游资源普查、挖掘、保护和开发利用工作，促进文化产业、广播电视产业和旅游产业发展。</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（十）指导全县文化、广播电视和旅游市场发展。对文化、广播电视和旅游市场经营进行行业监管，推进全县文化、广播电视和旅游行业信用体系建设，依法规范文化、广播电视和旅游市场。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（十一）监督全县文化、文物、出版、广播电视、电影、旅游等市场综合执法。督查督办大案要案，维护市场秩序。</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（十二）组织协调文化遗产的管理和保护，指导和管理文物事业，组织指导文物的保护抢救、考古发掘和开发利用工作。</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（十三）承担全县文化、广播电视和旅游行业安全综合协调和监督管理工作，负责全县文化、广播电视和旅游行业突发应急事件的处理工作。</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（十四）完成县委、县政府交办的其他任务。</w:t>
      </w: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成安县文化广电和旅游局本级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文化馆本级</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图书馆本级</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bidi w:val="0"/>
        <w:snapToGrid/>
        <w:spacing w:line="560" w:lineRule="exact"/>
        <w:ind w:firstLine="640"/>
        <w:textAlignment w:val="auto"/>
        <w:rPr>
          <w:rFonts w:ascii="楷体" w:hAnsi="楷体" w:eastAsia="楷体" w:cs="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2022</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709.34</w:t>
      </w:r>
      <w:r>
        <w:rPr>
          <w:rFonts w:hint="eastAsia" w:ascii="Times New Roman" w:hAnsi="Times New Roman" w:eastAsia="方正仿宋_GBK" w:cs="Times New Roman"/>
          <w:color w:val="000000"/>
          <w:sz w:val="28"/>
        </w:rPr>
        <w:t>万元，其中：一般公共预算收入</w:t>
      </w:r>
      <w:r>
        <w:rPr>
          <w:rFonts w:hint="eastAsia" w:ascii="Times New Roman" w:hAnsi="Times New Roman" w:eastAsia="方正仿宋_GBK" w:cs="Times New Roman"/>
          <w:color w:val="000000"/>
          <w:sz w:val="28"/>
          <w:lang w:val="en-US" w:eastAsia="zh-CN"/>
        </w:rPr>
        <w:t>709.34</w:t>
      </w:r>
      <w:r>
        <w:rPr>
          <w:rFonts w:hint="eastAsia" w:ascii="Times New Roman" w:hAnsi="Times New Roman" w:eastAsia="方正仿宋_GBK" w:cs="Times New Roman"/>
          <w:color w:val="000000"/>
          <w:sz w:val="28"/>
        </w:rPr>
        <w:t>万元，政府性基金收入0万元，国有资本经营收入0万元，事业收入0万元，其他收入0万元。</w:t>
      </w:r>
    </w:p>
    <w:p>
      <w:pPr>
        <w:keepNext w:val="0"/>
        <w:keepLines w:val="0"/>
        <w:pageBreakBefore w:val="0"/>
        <w:widowControl/>
        <w:kinsoku/>
        <w:wordWrap/>
        <w:overflowPunct/>
        <w:topLinePunct w:val="0"/>
        <w:bidi w:val="0"/>
        <w:snapToGrid/>
        <w:spacing w:line="560" w:lineRule="exact"/>
        <w:ind w:firstLine="640"/>
        <w:textAlignment w:val="auto"/>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2022</w:t>
      </w:r>
      <w:r>
        <w:rPr>
          <w:rFonts w:hint="eastAsia" w:ascii="Times New Roman" w:hAnsi="Times New Roman" w:eastAsia="方正仿宋_GBK" w:cs="Times New Roman"/>
          <w:color w:val="000000"/>
          <w:sz w:val="28"/>
        </w:rPr>
        <w:t>年支出预算</w:t>
      </w:r>
      <w:r>
        <w:rPr>
          <w:rFonts w:hint="eastAsia" w:ascii="Times New Roman" w:hAnsi="Times New Roman" w:eastAsia="方正仿宋_GBK" w:cs="Times New Roman"/>
          <w:color w:val="000000"/>
          <w:sz w:val="28"/>
          <w:lang w:val="en-US" w:eastAsia="zh-CN"/>
        </w:rPr>
        <w:t>709.34</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91.8</w:t>
      </w:r>
      <w:r>
        <w:rPr>
          <w:rFonts w:hint="eastAsia" w:ascii="Times New Roman" w:hAnsi="Times New Roman" w:eastAsia="方正仿宋_GBK" w:cs="Times New Roman"/>
          <w:color w:val="000000"/>
          <w:sz w:val="28"/>
        </w:rPr>
        <w:t>万元，包括人员经费和日常公用经费；项目支出</w:t>
      </w:r>
      <w:r>
        <w:rPr>
          <w:rFonts w:hint="eastAsia" w:ascii="Times New Roman" w:hAnsi="Times New Roman" w:eastAsia="方正仿宋_GBK" w:cs="Times New Roman"/>
          <w:color w:val="000000"/>
          <w:sz w:val="28"/>
          <w:lang w:val="en-US" w:eastAsia="zh-CN"/>
        </w:rPr>
        <w:t>617.54</w:t>
      </w:r>
      <w:r>
        <w:rPr>
          <w:rFonts w:hint="eastAsia" w:ascii="Times New Roman" w:hAnsi="Times New Roman" w:eastAsia="方正仿宋_GBK" w:cs="Times New Roman"/>
          <w:color w:val="000000"/>
          <w:sz w:val="28"/>
        </w:rPr>
        <w:t>万元，主要为上级下达的文化旅游专项资金。</w:t>
      </w:r>
    </w:p>
    <w:p>
      <w:pPr>
        <w:keepNext w:val="0"/>
        <w:keepLines w:val="0"/>
        <w:pageBreakBefore w:val="0"/>
        <w:widowControl/>
        <w:kinsoku/>
        <w:wordWrap/>
        <w:overflowPunct/>
        <w:topLinePunct w:val="0"/>
        <w:bidi w:val="0"/>
        <w:snapToGrid/>
        <w:spacing w:line="560" w:lineRule="exact"/>
        <w:ind w:firstLine="640"/>
        <w:textAlignment w:val="auto"/>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2022</w:t>
      </w:r>
      <w:r>
        <w:rPr>
          <w:rFonts w:hint="eastAsia" w:ascii="Times New Roman" w:hAnsi="Times New Roman" w:eastAsia="方正仿宋_GBK" w:cs="Times New Roman"/>
          <w:color w:val="000000"/>
          <w:sz w:val="28"/>
        </w:rPr>
        <w:t>年预算收支安排</w:t>
      </w:r>
      <w:r>
        <w:rPr>
          <w:rFonts w:hint="eastAsia" w:ascii="Times New Roman" w:hAnsi="Times New Roman" w:eastAsia="方正仿宋_GBK" w:cs="Times New Roman"/>
          <w:color w:val="000000"/>
          <w:sz w:val="28"/>
          <w:lang w:val="en-US" w:eastAsia="zh-CN"/>
        </w:rPr>
        <w:t>270.26</w:t>
      </w:r>
      <w:r>
        <w:rPr>
          <w:rFonts w:hint="eastAsia" w:ascii="Times New Roman" w:hAnsi="Times New Roman" w:eastAsia="方正仿宋_GBK" w:cs="Times New Roman"/>
          <w:color w:val="000000"/>
          <w:sz w:val="28"/>
        </w:rPr>
        <w:t>万元，较20</w:t>
      </w:r>
      <w:r>
        <w:rPr>
          <w:rFonts w:hint="eastAsia" w:ascii="Times New Roman" w:hAnsi="Times New Roman" w:eastAsia="方正仿宋_GBK" w:cs="Times New Roman"/>
          <w:color w:val="000000"/>
          <w:sz w:val="28"/>
          <w:lang w:val="en-US" w:eastAsia="zh-CN"/>
        </w:rPr>
        <w:t>21</w:t>
      </w:r>
      <w:r>
        <w:rPr>
          <w:rFonts w:hint="eastAsia" w:ascii="Times New Roman" w:hAnsi="Times New Roman" w:eastAsia="方正仿宋_GBK" w:cs="Times New Roman"/>
          <w:color w:val="000000"/>
          <w:sz w:val="28"/>
        </w:rPr>
        <w:t>年预算</w:t>
      </w:r>
      <w:r>
        <w:rPr>
          <w:rFonts w:hint="eastAsia" w:ascii="Times New Roman" w:hAnsi="Times New Roman" w:eastAsia="方正仿宋_GBK" w:cs="Times New Roman"/>
          <w:color w:val="000000"/>
          <w:sz w:val="28"/>
          <w:lang w:val="en-US" w:eastAsia="zh-CN"/>
        </w:rPr>
        <w:t>增加439.08</w:t>
      </w:r>
      <w:r>
        <w:rPr>
          <w:rFonts w:hint="eastAsia" w:ascii="Times New Roman" w:hAnsi="Times New Roman" w:eastAsia="方正仿宋_GBK" w:cs="Times New Roman"/>
          <w:color w:val="000000"/>
          <w:sz w:val="28"/>
        </w:rPr>
        <w:t>万元，主要</w:t>
      </w:r>
      <w:r>
        <w:rPr>
          <w:rFonts w:hint="eastAsia" w:ascii="Times New Roman" w:hAnsi="Times New Roman" w:eastAsia="方正仿宋_GBK" w:cs="Times New Roman"/>
          <w:color w:val="000000"/>
          <w:sz w:val="28"/>
          <w:lang w:eastAsia="zh-CN"/>
        </w:rPr>
        <w:t>2022</w:t>
      </w:r>
      <w:r>
        <w:rPr>
          <w:rFonts w:hint="eastAsia" w:ascii="Times New Roman" w:hAnsi="Times New Roman" w:eastAsia="方正仿宋_GBK" w:cs="Times New Roman"/>
          <w:color w:val="000000"/>
          <w:sz w:val="28"/>
        </w:rPr>
        <w:t>年提前下达专款</w:t>
      </w:r>
      <w:r>
        <w:rPr>
          <w:rFonts w:hint="eastAsia" w:ascii="Times New Roman" w:hAnsi="Times New Roman" w:eastAsia="方正仿宋_GBK" w:cs="Times New Roman"/>
          <w:color w:val="000000"/>
          <w:sz w:val="28"/>
          <w:lang w:val="en-US" w:eastAsia="zh-CN"/>
        </w:rPr>
        <w:t>增加</w:t>
      </w:r>
      <w:r>
        <w:rPr>
          <w:rFonts w:hint="eastAsia" w:ascii="Times New Roman" w:hAnsi="Times New Roman" w:eastAsia="方正仿宋_GBK" w:cs="Times New Roman"/>
          <w:color w:val="000000"/>
          <w:sz w:val="28"/>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p>
    <w:p>
      <w:pPr>
        <w:keepNext w:val="0"/>
        <w:keepLines w:val="0"/>
        <w:pageBreakBefore w:val="0"/>
        <w:widowControl/>
        <w:numPr>
          <w:ilvl w:val="0"/>
          <w:numId w:val="1"/>
        </w:numPr>
        <w:kinsoku/>
        <w:wordWrap/>
        <w:overflowPunct/>
        <w:topLinePunct w:val="0"/>
        <w:bidi w:val="0"/>
        <w:snapToGrid/>
        <w:spacing w:line="560" w:lineRule="exact"/>
        <w:ind w:firstLine="640"/>
        <w:jc w:val="left"/>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ascii="Times New Roman" w:hAnsi="Times New Roman" w:eastAsia="方正仿宋_GBK" w:cs="Times New Roman"/>
          <w:color w:val="000000"/>
          <w:sz w:val="28"/>
          <w:lang w:val="en-US" w:eastAsia="zh-CN"/>
        </w:rPr>
        <w:t>91.8</w:t>
      </w:r>
      <w:r>
        <w:rPr>
          <w:rFonts w:hint="eastAsia" w:ascii="Times New Roman" w:hAnsi="Times New Roman" w:eastAsia="方正仿宋_GBK" w:cs="Times New Roman"/>
          <w:color w:val="000000"/>
          <w:sz w:val="28"/>
        </w:rPr>
        <w:t>万元，主要用于办公区的日常维修、办公用房水电费、邮电费、办公用房取暖费、办公用房物业管理费等日常运行支出。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p>
    <w:p>
      <w:pPr>
        <w:keepNext w:val="0"/>
        <w:keepLines w:val="0"/>
        <w:pageBreakBefore w:val="0"/>
        <w:widowControl/>
        <w:kinsoku/>
        <w:wordWrap/>
        <w:overflowPunct/>
        <w:topLinePunct w:val="0"/>
        <w:bidi w:val="0"/>
        <w:snapToGrid/>
        <w:spacing w:line="56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2022</w:t>
      </w:r>
      <w:r>
        <w:rPr>
          <w:rFonts w:hint="eastAsia" w:ascii="Times New Roman" w:hAnsi="Times New Roman" w:eastAsia="方正仿宋_GBK" w:cs="Times New Roman"/>
          <w:color w:val="000000"/>
          <w:sz w:val="28"/>
        </w:rPr>
        <w:t>年度“三公”预算支出</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万元，其中：因公出国（境）费零元，与上年</w:t>
      </w:r>
      <w:r>
        <w:rPr>
          <w:rFonts w:hint="eastAsia" w:eastAsia="方正仿宋_GBK" w:cs="Times New Roman"/>
          <w:color w:val="000000"/>
          <w:sz w:val="28"/>
          <w:lang w:eastAsia="zh-CN"/>
        </w:rPr>
        <w:t>持</w:t>
      </w:r>
      <w:r>
        <w:rPr>
          <w:rFonts w:hint="eastAsia" w:ascii="Times New Roman" w:hAnsi="Times New Roman" w:eastAsia="方正仿宋_GBK" w:cs="Times New Roman"/>
          <w:color w:val="000000"/>
          <w:sz w:val="28"/>
        </w:rPr>
        <w:t>平；安排公务用车维护费</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万元。（其中：公务用车购置费零元，与上年</w:t>
      </w:r>
      <w:r>
        <w:rPr>
          <w:rFonts w:hint="eastAsia" w:eastAsia="方正仿宋_GBK" w:cs="Times New Roman"/>
          <w:color w:val="000000"/>
          <w:sz w:val="28"/>
          <w:lang w:eastAsia="zh-CN"/>
        </w:rPr>
        <w:t>持</w:t>
      </w:r>
      <w:r>
        <w:rPr>
          <w:rFonts w:hint="eastAsia" w:ascii="Times New Roman" w:hAnsi="Times New Roman" w:eastAsia="方正仿宋_GBK" w:cs="Times New Roman"/>
          <w:color w:val="000000"/>
          <w:sz w:val="28"/>
        </w:rPr>
        <w:t>平；公务用车运行维护费</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万元，较上年</w:t>
      </w:r>
      <w:r>
        <w:rPr>
          <w:rFonts w:hint="eastAsia" w:ascii="Times New Roman" w:hAnsi="Times New Roman" w:eastAsia="方正仿宋_GBK" w:cs="Times New Roman"/>
          <w:color w:val="000000"/>
          <w:sz w:val="28"/>
          <w:lang w:val="en-US" w:eastAsia="zh-CN"/>
        </w:rPr>
        <w:t>减少25</w:t>
      </w:r>
      <w:r>
        <w:rPr>
          <w:rFonts w:hint="eastAsia" w:ascii="Times New Roman" w:hAnsi="Times New Roman" w:eastAsia="方正仿宋_GBK" w:cs="Times New Roman"/>
          <w:color w:val="000000"/>
          <w:sz w:val="28"/>
        </w:rPr>
        <w:t>%，主要原因为</w:t>
      </w:r>
      <w:r>
        <w:rPr>
          <w:rFonts w:hint="eastAsia" w:ascii="Times New Roman" w:hAnsi="Times New Roman" w:eastAsia="方正仿宋_GBK" w:cs="Times New Roman"/>
          <w:color w:val="000000"/>
          <w:sz w:val="28"/>
          <w:lang w:val="en-US" w:eastAsia="zh-CN"/>
        </w:rPr>
        <w:t>严格遵守八项规定，减少支出</w:t>
      </w:r>
      <w:r>
        <w:rPr>
          <w:rFonts w:hint="eastAsia" w:ascii="Times New Roman" w:hAnsi="Times New Roman" w:eastAsia="方正仿宋_GBK" w:cs="Times New Roman"/>
          <w:color w:val="000000"/>
          <w:sz w:val="28"/>
        </w:rPr>
        <w:t>。）公务接等费0万元，与上年持平。</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rPr>
          <w:rFonts w:ascii="黑体" w:hAnsi="黑体" w:eastAsia="黑体" w:cs="黑体"/>
          <w:color w:val="000000"/>
          <w:sz w:val="32"/>
        </w:rPr>
      </w:pPr>
      <w:bookmarkStart w:id="13" w:name="_Toc_3_3_0000000014"/>
      <w:r>
        <w:rPr>
          <w:rFonts w:ascii="黑体" w:hAnsi="黑体" w:eastAsia="黑体" w:cs="黑体"/>
          <w:color w:val="000000"/>
          <w:sz w:val="32"/>
        </w:rPr>
        <w:t>五、预算绩效信息</w:t>
      </w:r>
      <w:bookmarkEnd w:id="13"/>
    </w:p>
    <w:p>
      <w:pPr>
        <w:keepNext w:val="0"/>
        <w:keepLines w:val="0"/>
        <w:pageBreakBefore w:val="0"/>
        <w:widowControl/>
        <w:kinsoku/>
        <w:wordWrap/>
        <w:overflowPunct/>
        <w:topLinePunct w:val="0"/>
        <w:autoSpaceDE/>
        <w:autoSpaceDN/>
        <w:bidi w:val="0"/>
        <w:adjustRightInd/>
        <w:snapToGrid/>
        <w:spacing w:line="560" w:lineRule="exact"/>
        <w:ind w:left="240" w:leftChars="100" w:firstLine="640" w:firstLineChars="200"/>
        <w:jc w:val="left"/>
        <w:textAlignment w:val="auto"/>
        <w:rPr>
          <w:rFonts w:hint="eastAsia" w:ascii="方正楷体_GBK" w:eastAsia="方正楷体_GBK"/>
          <w:b/>
          <w:sz w:val="28"/>
        </w:rPr>
      </w:pPr>
      <w:r>
        <w:rPr>
          <w:rFonts w:hint="eastAsia" w:ascii="黑体" w:hAnsi="黑体" w:eastAsia="黑体" w:cs="黑体"/>
          <w:color w:val="000000"/>
          <w:sz w:val="32"/>
          <w:highlight w:val="none"/>
          <w:lang w:val="en-US" w:eastAsia="zh-CN"/>
        </w:rPr>
        <w:t xml:space="preserve">    </w:t>
      </w:r>
      <w:r>
        <w:rPr>
          <w:rFonts w:hint="eastAsia" w:ascii="方正楷体_GBK" w:eastAsia="方正楷体_GBK"/>
          <w:b/>
          <w:sz w:val="28"/>
        </w:rPr>
        <w:t>年度发展规划目标</w:t>
      </w:r>
    </w:p>
    <w:p>
      <w:pPr>
        <w:keepNext w:val="0"/>
        <w:keepLines w:val="0"/>
        <w:pageBreakBefore w:val="0"/>
        <w:widowControl/>
        <w:kinsoku/>
        <w:wordWrap/>
        <w:overflowPunct/>
        <w:topLinePunct w:val="0"/>
        <w:autoSpaceDE/>
        <w:autoSpaceDN/>
        <w:bidi w:val="0"/>
        <w:adjustRightInd/>
        <w:snapToGrid/>
        <w:spacing w:line="560" w:lineRule="exact"/>
        <w:ind w:left="240" w:leftChars="100" w:firstLine="1121" w:firstLineChars="400"/>
        <w:jc w:val="left"/>
        <w:textAlignment w:val="auto"/>
        <w:rPr>
          <w:rFonts w:hint="eastAsia" w:ascii="方正楷体_GBK" w:eastAsia="方正楷体_GBK"/>
          <w:b/>
          <w:sz w:val="28"/>
        </w:rPr>
      </w:pPr>
    </w:p>
    <w:p>
      <w:pPr>
        <w:keepNext w:val="0"/>
        <w:keepLines w:val="0"/>
        <w:pageBreakBefore w:val="0"/>
        <w:widowControl/>
        <w:kinsoku/>
        <w:wordWrap/>
        <w:overflowPunct/>
        <w:topLinePunct w:val="0"/>
        <w:autoSpaceDE/>
        <w:autoSpaceDN/>
        <w:bidi w:val="0"/>
        <w:adjustRightInd/>
        <w:snapToGrid/>
        <w:spacing w:line="560" w:lineRule="exact"/>
        <w:ind w:left="240" w:leftChars="100" w:firstLine="1401" w:firstLineChars="500"/>
        <w:jc w:val="left"/>
        <w:textAlignment w:val="auto"/>
        <w:rPr>
          <w:rFonts w:hint="eastAsia" w:ascii="方正楷体_GBK" w:eastAsia="方正楷体_GBK"/>
          <w:b/>
          <w:sz w:val="28"/>
        </w:rPr>
      </w:pPr>
      <w:r>
        <w:rPr>
          <w:rFonts w:hint="eastAsia" w:ascii="方正楷体_GBK" w:eastAsia="方正楷体_GBK"/>
          <w:b/>
          <w:sz w:val="28"/>
        </w:rPr>
        <w:t>总体目标：</w:t>
      </w:r>
    </w:p>
    <w:p>
      <w:pPr>
        <w:pStyle w:val="2"/>
        <w:keepNext w:val="0"/>
        <w:keepLines w:val="0"/>
        <w:pageBreakBefore w:val="0"/>
        <w:widowControl/>
        <w:kinsoku/>
        <w:wordWrap/>
        <w:overflowPunct/>
        <w:topLinePunct w:val="0"/>
        <w:autoSpaceDE/>
        <w:autoSpaceDN/>
        <w:bidi w:val="0"/>
        <w:adjustRightInd/>
        <w:snapToGrid/>
        <w:spacing w:after="0" w:line="560" w:lineRule="exact"/>
        <w:ind w:left="240" w:leftChars="10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240" w:leftChars="10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我局将立足文化旅游强市建设总体目标，围绕不断满足人民群众日益增长的美好生活需要工作目标，深入贯彻落实党的精神和</w:t>
      </w:r>
      <w:r>
        <w:rPr>
          <w:rFonts w:hint="eastAsia" w:ascii="Times New Roman" w:hAnsi="Times New Roman" w:eastAsia="方正仿宋_GBK" w:cs="Times New Roman"/>
          <w:color w:val="000000"/>
          <w:sz w:val="28"/>
          <w:szCs w:val="24"/>
          <w:lang w:val="en-US" w:eastAsia="zh-CN" w:bidi="ar-SA"/>
        </w:rPr>
        <w:t>县委县政府</w:t>
      </w:r>
      <w:r>
        <w:rPr>
          <w:rFonts w:hint="eastAsia" w:ascii="Times New Roman" w:hAnsi="Times New Roman" w:eastAsia="方正仿宋_GBK" w:cs="Times New Roman"/>
          <w:color w:val="000000"/>
          <w:sz w:val="28"/>
          <w:szCs w:val="24"/>
          <w:lang w:val="en-US" w:eastAsia="uk-UA" w:bidi="ar-SA"/>
        </w:rPr>
        <w:t>部署，重点做好以下工作，切实把“不忘初心</w:t>
      </w:r>
      <w:r>
        <w:rPr>
          <w:rFonts w:hint="eastAsia"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牢记使命”主题教育成果转化为工作实效。</w:t>
      </w:r>
      <w:bookmarkStart w:id="18" w:name="_GoBack"/>
      <w:bookmarkEnd w:id="18"/>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240" w:leftChars="100"/>
        <w:jc w:val="left"/>
        <w:textAlignment w:val="auto"/>
        <w:outlineLvl w:val="5"/>
        <w:rPr>
          <w:rFonts w:ascii="黑体" w:hAnsi="黑体" w:eastAsia="黑体" w:cs="黑体"/>
          <w:color w:val="000000"/>
          <w:sz w:val="32"/>
          <w:highlight w:val="yellow"/>
        </w:rPr>
      </w:pPr>
    </w:p>
    <w:p>
      <w:pPr>
        <w:keepNext w:val="0"/>
        <w:keepLines w:val="0"/>
        <w:pageBreakBefore w:val="0"/>
        <w:widowControl/>
        <w:kinsoku/>
        <w:wordWrap/>
        <w:overflowPunct/>
        <w:topLinePunct w:val="0"/>
        <w:autoSpaceDE/>
        <w:autoSpaceDN/>
        <w:bidi w:val="0"/>
        <w:adjustRightInd/>
        <w:snapToGrid/>
        <w:spacing w:line="560" w:lineRule="exact"/>
        <w:ind w:left="240" w:leftChars="100"/>
        <w:jc w:val="left"/>
        <w:textAlignment w:val="auto"/>
        <w:rPr>
          <w:rFonts w:hint="eastAsia" w:ascii="方正楷体_GBK" w:eastAsia="方正楷体_GBK"/>
          <w:b/>
          <w:sz w:val="28"/>
        </w:rPr>
      </w:pPr>
      <w:r>
        <w:rPr>
          <w:rFonts w:hint="eastAsia" w:ascii="方正楷体_GBK" w:eastAsia="方正楷体_GBK"/>
          <w:b/>
          <w:sz w:val="28"/>
        </w:rPr>
        <w:t xml:space="preserve"> </w:t>
      </w:r>
      <w:r>
        <w:rPr>
          <w:rFonts w:hint="eastAsia" w:ascii="方正楷体_GBK" w:eastAsia="方正楷体_GBK"/>
          <w:b/>
          <w:sz w:val="28"/>
          <w:lang w:val="en-US" w:eastAsia="zh-CN"/>
        </w:rPr>
        <w:t xml:space="preserve">   </w:t>
      </w:r>
      <w:r>
        <w:rPr>
          <w:rFonts w:hint="eastAsia" w:ascii="方正楷体_GBK" w:eastAsia="方正楷体_GBK"/>
          <w:b/>
          <w:sz w:val="28"/>
        </w:rPr>
        <w:t xml:space="preserve"> 职责分类绩效目标：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部门职责分类绩效目标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、公共文化服务管理工作绩效目标。加快构建现代公共文化服务体系建设，积极推进重点文化项目、文化设施建设。</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、艺术管理工作绩效目标。深入实施重点文化惠民工程，提升群众对文化的满意度。</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、文物保护工作绩效目标。推动文化遗产保护利用“五个一”。</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、文化市场和产业管理工作绩效目标。开展邯郸市“阳光娱乐”系列活动，群众满意度达95%以上。</w:t>
      </w:r>
    </w:p>
    <w:p>
      <w:pPr>
        <w:keepNext w:val="0"/>
        <w:keepLines w:val="0"/>
        <w:pageBreakBefore w:val="0"/>
        <w:widowControl/>
        <w:kinsoku/>
        <w:wordWrap/>
        <w:overflowPunct/>
        <w:topLinePunct w:val="0"/>
        <w:autoSpaceDE/>
        <w:autoSpaceDN/>
        <w:bidi w:val="0"/>
        <w:adjustRightInd/>
        <w:snapToGrid/>
        <w:spacing w:line="560" w:lineRule="exact"/>
        <w:ind w:left="240" w:leftChars="100" w:firstLine="56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rPr>
        <w:t>实现年度发展规划目标的保障措施</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（一）高质量举办重大节会。以“彰文化、活旅游、聚产业、促发展、惠民生”为宗旨，高质量举办</w:t>
      </w:r>
      <w:r>
        <w:rPr>
          <w:rFonts w:hint="eastAsia" w:ascii="Times New Roman" w:hAnsi="Times New Roman" w:eastAsia="方正仿宋_GBK" w:cs="Times New Roman"/>
          <w:color w:val="000000"/>
          <w:sz w:val="28"/>
          <w:lang w:val="en-US" w:eastAsia="zh-CN"/>
        </w:rPr>
        <w:t>成安红色</w:t>
      </w:r>
      <w:r>
        <w:rPr>
          <w:rFonts w:hint="eastAsia" w:ascii="Times New Roman" w:hAnsi="Times New Roman" w:eastAsia="方正仿宋_GBK" w:cs="Times New Roman"/>
          <w:color w:val="000000"/>
          <w:sz w:val="28"/>
        </w:rPr>
        <w:t>旅游</w:t>
      </w:r>
      <w:r>
        <w:rPr>
          <w:rFonts w:hint="eastAsia" w:ascii="Times New Roman" w:hAnsi="Times New Roman" w:eastAsia="方正仿宋_GBK" w:cs="Times New Roman"/>
          <w:color w:val="000000"/>
          <w:sz w:val="28"/>
          <w:lang w:val="en-US" w:eastAsia="zh-CN"/>
        </w:rPr>
        <w:t>节</w:t>
      </w:r>
      <w:r>
        <w:rPr>
          <w:rFonts w:hint="eastAsia" w:ascii="Times New Roman" w:hAnsi="Times New Roman" w:eastAsia="方正仿宋_GBK" w:cs="Times New Roman"/>
          <w:color w:val="000000"/>
          <w:sz w:val="28"/>
        </w:rPr>
        <w:t>，进一步搭建文化旅游产业发展平台，提升</w:t>
      </w:r>
      <w:r>
        <w:rPr>
          <w:rFonts w:hint="eastAsia" w:ascii="Times New Roman" w:hAnsi="Times New Roman" w:eastAsia="方正仿宋_GBK" w:cs="Times New Roman"/>
          <w:color w:val="000000"/>
          <w:sz w:val="28"/>
          <w:lang w:val="en-US" w:eastAsia="zh-CN"/>
        </w:rPr>
        <w:t>成安</w:t>
      </w:r>
      <w:r>
        <w:rPr>
          <w:rFonts w:hint="eastAsia" w:ascii="Times New Roman" w:hAnsi="Times New Roman" w:eastAsia="方正仿宋_GBK" w:cs="Times New Roman"/>
          <w:color w:val="000000"/>
          <w:sz w:val="28"/>
        </w:rPr>
        <w:t>知名度、美誉度，扩大</w:t>
      </w:r>
      <w:r>
        <w:rPr>
          <w:rFonts w:hint="eastAsia" w:ascii="Times New Roman" w:hAnsi="Times New Roman" w:eastAsia="方正仿宋_GBK" w:cs="Times New Roman"/>
          <w:color w:val="000000"/>
          <w:sz w:val="28"/>
          <w:lang w:val="en-US" w:eastAsia="zh-CN"/>
        </w:rPr>
        <w:t>成安</w:t>
      </w:r>
      <w:r>
        <w:rPr>
          <w:rFonts w:hint="eastAsia" w:ascii="Times New Roman" w:hAnsi="Times New Roman" w:eastAsia="方正仿宋_GBK" w:cs="Times New Roman"/>
          <w:color w:val="000000"/>
          <w:sz w:val="28"/>
        </w:rPr>
        <w:t>文旅品牌影响力。同时积极探索创新市场化、社会化办会机制，精准对接市场需求，带动有效投资，确保可持续发展。</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二</w:t>
      </w:r>
      <w:r>
        <w:rPr>
          <w:rFonts w:hint="eastAsia" w:ascii="Times New Roman" w:hAnsi="Times New Roman" w:eastAsia="方正仿宋_GBK" w:cs="Times New Roman"/>
          <w:color w:val="000000"/>
          <w:sz w:val="28"/>
        </w:rPr>
        <w:t>）加快推进重点项目建设。</w:t>
      </w:r>
      <w:r>
        <w:rPr>
          <w:rFonts w:hint="eastAsia" w:ascii="Times New Roman" w:hAnsi="Times New Roman" w:eastAsia="方正仿宋_GBK" w:cs="Times New Roman"/>
          <w:color w:val="000000"/>
          <w:sz w:val="28"/>
          <w:lang w:val="en-US" w:eastAsia="zh-CN"/>
        </w:rPr>
        <w:t>推进图书馆定级，进一步完善县文化馆,图书馆以及乡镇文化站的免费开放.</w:t>
      </w:r>
      <w:r>
        <w:rPr>
          <w:rFonts w:hint="eastAsia" w:ascii="Times New Roman" w:hAnsi="Times New Roman" w:eastAsia="方正仿宋_GBK" w:cs="Times New Roman"/>
          <w:color w:val="000000"/>
          <w:sz w:val="28"/>
        </w:rPr>
        <w:t>持续推进旅游“厕所革命”，促进旅游交通标识牌、旅游集散与咨询服务体系建设，持续完善公共服务设施网络。积极推进文化公园建设，提升人文品位，彰显文化特色。</w:t>
      </w:r>
    </w:p>
    <w:p>
      <w:pPr>
        <w:spacing w:before="0" w:after="0"/>
        <w:ind w:firstLine="560"/>
        <w:jc w:val="left"/>
        <w:outlineLvl w:val="9"/>
      </w:pPr>
      <w:r>
        <w:rPr>
          <w:rFonts w:ascii="方正仿宋_GBK" w:hAnsi="方正仿宋_GBK" w:eastAsia="方正仿宋_GBK" w:cs="方正仿宋_GBK"/>
          <w:b/>
          <w:color w:val="000000"/>
          <w:sz w:val="28"/>
        </w:rPr>
        <w:t>1、成安县文广旅局关于申请主题教育党建馆资金的报告绩效目标表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墙体密度板造型，墙面等平方数</w:t>
            </w:r>
          </w:p>
        </w:tc>
        <w:tc>
          <w:tcPr>
            <w:tcW w:w="2835" w:type="dxa"/>
            <w:vAlign w:val="center"/>
          </w:tcPr>
          <w:p>
            <w:pPr>
              <w:pStyle w:val="16"/>
            </w:pPr>
            <w:r>
              <w:t>墙体密度板造型，墙面等平方数</w:t>
            </w:r>
          </w:p>
        </w:tc>
        <w:tc>
          <w:tcPr>
            <w:tcW w:w="2551" w:type="dxa"/>
            <w:vAlign w:val="center"/>
          </w:tcPr>
          <w:p>
            <w:pPr>
              <w:pStyle w:val="16"/>
            </w:pPr>
            <w:r>
              <w:t>125.2平方米</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工程验收合格率</w:t>
            </w:r>
          </w:p>
        </w:tc>
        <w:tc>
          <w:tcPr>
            <w:tcW w:w="2551" w:type="dxa"/>
            <w:vAlign w:val="center"/>
          </w:tcPr>
          <w:p>
            <w:pPr>
              <w:pStyle w:val="16"/>
            </w:pPr>
            <w:r>
              <w:t>≥98验收表</w:t>
            </w:r>
          </w:p>
        </w:tc>
        <w:tc>
          <w:tcPr>
            <w:tcW w:w="2268" w:type="dxa"/>
            <w:vAlign w:val="center"/>
          </w:tcPr>
          <w:p>
            <w:pPr>
              <w:pStyle w:val="16"/>
            </w:pPr>
            <w:r>
              <w:t>工程验收单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工程周期</w:t>
            </w:r>
          </w:p>
        </w:tc>
        <w:tc>
          <w:tcPr>
            <w:tcW w:w="2835" w:type="dxa"/>
            <w:vAlign w:val="center"/>
          </w:tcPr>
          <w:p>
            <w:pPr>
              <w:pStyle w:val="16"/>
            </w:pPr>
            <w:r>
              <w:t>该项目进行周期</w:t>
            </w:r>
          </w:p>
        </w:tc>
        <w:tc>
          <w:tcPr>
            <w:tcW w:w="2551" w:type="dxa"/>
            <w:vAlign w:val="center"/>
          </w:tcPr>
          <w:p>
            <w:pPr>
              <w:pStyle w:val="16"/>
            </w:pPr>
            <w:r>
              <w:t>85天</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墙体密度板造型，墙面等每平方单价</w:t>
            </w:r>
          </w:p>
        </w:tc>
        <w:tc>
          <w:tcPr>
            <w:tcW w:w="2835" w:type="dxa"/>
            <w:vAlign w:val="center"/>
          </w:tcPr>
          <w:p>
            <w:pPr>
              <w:pStyle w:val="16"/>
            </w:pPr>
            <w:r>
              <w:t>墙体密度板造型，墙面等每平方单价</w:t>
            </w:r>
          </w:p>
        </w:tc>
        <w:tc>
          <w:tcPr>
            <w:tcW w:w="2551" w:type="dxa"/>
            <w:vAlign w:val="center"/>
          </w:tcPr>
          <w:p>
            <w:pPr>
              <w:pStyle w:val="16"/>
            </w:pPr>
            <w:r>
              <w:t>228元</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党史宣传普及度</w:t>
            </w:r>
          </w:p>
        </w:tc>
        <w:tc>
          <w:tcPr>
            <w:tcW w:w="2835" w:type="dxa"/>
            <w:vAlign w:val="center"/>
          </w:tcPr>
          <w:p>
            <w:pPr>
              <w:pStyle w:val="16"/>
            </w:pPr>
            <w:r>
              <w:t>党史宣传普及面大范围提升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党史文化得到很好的宣传</w:t>
            </w:r>
          </w:p>
        </w:tc>
        <w:tc>
          <w:tcPr>
            <w:tcW w:w="2835" w:type="dxa"/>
            <w:vAlign w:val="center"/>
          </w:tcPr>
          <w:p>
            <w:pPr>
              <w:pStyle w:val="16"/>
            </w:pPr>
            <w:r>
              <w:t>党史文化得到很好的宣传</w:t>
            </w:r>
          </w:p>
        </w:tc>
        <w:tc>
          <w:tcPr>
            <w:tcW w:w="2551" w:type="dxa"/>
            <w:vAlign w:val="center"/>
          </w:tcPr>
          <w:p>
            <w:pPr>
              <w:pStyle w:val="16"/>
            </w:pPr>
            <w:r>
              <w:t>大力宣传</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2、成安县文化广电和旅游局关于申请文物保护经费的报告绩效目标表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文物下乡普查的次数</w:t>
            </w:r>
          </w:p>
        </w:tc>
        <w:tc>
          <w:tcPr>
            <w:tcW w:w="2835" w:type="dxa"/>
            <w:vAlign w:val="center"/>
          </w:tcPr>
          <w:p>
            <w:pPr>
              <w:pStyle w:val="16"/>
            </w:pPr>
            <w:r>
              <w:t>每年下乡文物普查的次数</w:t>
            </w:r>
          </w:p>
        </w:tc>
        <w:tc>
          <w:tcPr>
            <w:tcW w:w="2551" w:type="dxa"/>
            <w:vAlign w:val="center"/>
          </w:tcPr>
          <w:p>
            <w:pPr>
              <w:pStyle w:val="16"/>
            </w:pPr>
            <w:r>
              <w:t>2次</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发放看护费工资的人数</w:t>
            </w:r>
          </w:p>
        </w:tc>
        <w:tc>
          <w:tcPr>
            <w:tcW w:w="2835" w:type="dxa"/>
            <w:vAlign w:val="center"/>
          </w:tcPr>
          <w:p>
            <w:pPr>
              <w:pStyle w:val="16"/>
            </w:pPr>
            <w:r>
              <w:t>发放看护费工资的人数</w:t>
            </w:r>
          </w:p>
        </w:tc>
        <w:tc>
          <w:tcPr>
            <w:tcW w:w="2551" w:type="dxa"/>
            <w:vAlign w:val="center"/>
          </w:tcPr>
          <w:p>
            <w:pPr>
              <w:pStyle w:val="16"/>
            </w:pPr>
            <w:r>
              <w:t>18人</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所保管文物的完好率</w:t>
            </w:r>
          </w:p>
        </w:tc>
        <w:tc>
          <w:tcPr>
            <w:tcW w:w="2835" w:type="dxa"/>
            <w:vAlign w:val="center"/>
          </w:tcPr>
          <w:p>
            <w:pPr>
              <w:pStyle w:val="16"/>
            </w:pPr>
            <w:r>
              <w:t>所保管文物的完好率</w:t>
            </w:r>
          </w:p>
        </w:tc>
        <w:tc>
          <w:tcPr>
            <w:tcW w:w="2551" w:type="dxa"/>
            <w:vAlign w:val="center"/>
          </w:tcPr>
          <w:p>
            <w:pPr>
              <w:pStyle w:val="16"/>
            </w:pPr>
            <w:r>
              <w:t>≥98百分比</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文物下乡普查的周期</w:t>
            </w:r>
          </w:p>
        </w:tc>
        <w:tc>
          <w:tcPr>
            <w:tcW w:w="2835" w:type="dxa"/>
            <w:vAlign w:val="center"/>
          </w:tcPr>
          <w:p>
            <w:pPr>
              <w:pStyle w:val="16"/>
            </w:pPr>
            <w:r>
              <w:t>每次下乡文物普查的周期</w:t>
            </w:r>
          </w:p>
        </w:tc>
        <w:tc>
          <w:tcPr>
            <w:tcW w:w="2551" w:type="dxa"/>
            <w:vAlign w:val="center"/>
          </w:tcPr>
          <w:p>
            <w:pPr>
              <w:pStyle w:val="16"/>
            </w:pPr>
            <w:r>
              <w:t>60天</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文物下乡普查租车费</w:t>
            </w:r>
          </w:p>
        </w:tc>
        <w:tc>
          <w:tcPr>
            <w:tcW w:w="2835" w:type="dxa"/>
            <w:vAlign w:val="center"/>
          </w:tcPr>
          <w:p>
            <w:pPr>
              <w:pStyle w:val="16"/>
            </w:pPr>
            <w:r>
              <w:t>每次下乡文物普查租车费</w:t>
            </w:r>
          </w:p>
        </w:tc>
        <w:tc>
          <w:tcPr>
            <w:tcW w:w="2551" w:type="dxa"/>
            <w:vAlign w:val="center"/>
          </w:tcPr>
          <w:p>
            <w:pPr>
              <w:pStyle w:val="16"/>
            </w:pPr>
            <w:r>
              <w:t>9000元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文物保护利用成果的社会效果</w:t>
            </w:r>
          </w:p>
        </w:tc>
        <w:tc>
          <w:tcPr>
            <w:tcW w:w="2835" w:type="dxa"/>
            <w:vAlign w:val="center"/>
          </w:tcPr>
          <w:p>
            <w:pPr>
              <w:pStyle w:val="16"/>
            </w:pPr>
            <w:r>
              <w:t>文物保护利用成果的社会效果</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推动文物保护长远发展</w:t>
            </w:r>
          </w:p>
        </w:tc>
        <w:tc>
          <w:tcPr>
            <w:tcW w:w="2835" w:type="dxa"/>
            <w:vAlign w:val="center"/>
          </w:tcPr>
          <w:p>
            <w:pPr>
              <w:pStyle w:val="16"/>
            </w:pPr>
            <w:r>
              <w:t>推动文物保护长远发展</w:t>
            </w:r>
          </w:p>
        </w:tc>
        <w:tc>
          <w:tcPr>
            <w:tcW w:w="2551" w:type="dxa"/>
            <w:vAlign w:val="center"/>
          </w:tcPr>
          <w:p>
            <w:pPr>
              <w:pStyle w:val="16"/>
            </w:pPr>
            <w:r>
              <w:t>大力推动</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3、成安县文化广电和旅游局申请毛主席纪念馆工作经费绩效目标表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支付工资的人数</w:t>
            </w:r>
          </w:p>
        </w:tc>
        <w:tc>
          <w:tcPr>
            <w:tcW w:w="2835" w:type="dxa"/>
            <w:vAlign w:val="center"/>
          </w:tcPr>
          <w:p>
            <w:pPr>
              <w:pStyle w:val="16"/>
            </w:pPr>
            <w:r>
              <w:t>支付工资的人数</w:t>
            </w:r>
          </w:p>
        </w:tc>
        <w:tc>
          <w:tcPr>
            <w:tcW w:w="2551" w:type="dxa"/>
            <w:vAlign w:val="center"/>
          </w:tcPr>
          <w:p>
            <w:pPr>
              <w:pStyle w:val="16"/>
            </w:pPr>
            <w:r>
              <w:t>9人</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工资发放保障率</w:t>
            </w:r>
          </w:p>
        </w:tc>
        <w:tc>
          <w:tcPr>
            <w:tcW w:w="2835" w:type="dxa"/>
            <w:vAlign w:val="center"/>
          </w:tcPr>
          <w:p>
            <w:pPr>
              <w:pStyle w:val="16"/>
            </w:pPr>
            <w:r>
              <w:t>保障工资发放到位率</w:t>
            </w:r>
          </w:p>
        </w:tc>
        <w:tc>
          <w:tcPr>
            <w:tcW w:w="2551" w:type="dxa"/>
            <w:vAlign w:val="center"/>
          </w:tcPr>
          <w:p>
            <w:pPr>
              <w:pStyle w:val="16"/>
            </w:pPr>
            <w:r>
              <w:t>100百分比</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保障纪念馆正常运行周期</w:t>
            </w:r>
          </w:p>
        </w:tc>
        <w:tc>
          <w:tcPr>
            <w:tcW w:w="2835" w:type="dxa"/>
            <w:vAlign w:val="center"/>
          </w:tcPr>
          <w:p>
            <w:pPr>
              <w:pStyle w:val="16"/>
            </w:pPr>
            <w:r>
              <w:t>纪念馆正常运行周期</w:t>
            </w:r>
          </w:p>
        </w:tc>
        <w:tc>
          <w:tcPr>
            <w:tcW w:w="2551" w:type="dxa"/>
            <w:vAlign w:val="center"/>
          </w:tcPr>
          <w:p>
            <w:pPr>
              <w:pStyle w:val="16"/>
            </w:pPr>
            <w:r>
              <w:t>1年</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摆放花坛的完整率</w:t>
            </w:r>
          </w:p>
        </w:tc>
        <w:tc>
          <w:tcPr>
            <w:tcW w:w="2835" w:type="dxa"/>
            <w:vAlign w:val="center"/>
          </w:tcPr>
          <w:p>
            <w:pPr>
              <w:pStyle w:val="16"/>
            </w:pPr>
            <w:r>
              <w:t>租摆的花坛的成活率及完整率</w:t>
            </w:r>
          </w:p>
        </w:tc>
        <w:tc>
          <w:tcPr>
            <w:tcW w:w="2551" w:type="dxa"/>
            <w:vAlign w:val="center"/>
          </w:tcPr>
          <w:p>
            <w:pPr>
              <w:pStyle w:val="16"/>
            </w:pPr>
            <w:r>
              <w:t>100百分比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花坛摆设费</w:t>
            </w:r>
          </w:p>
        </w:tc>
        <w:tc>
          <w:tcPr>
            <w:tcW w:w="2835" w:type="dxa"/>
            <w:vAlign w:val="center"/>
          </w:tcPr>
          <w:p>
            <w:pPr>
              <w:pStyle w:val="16"/>
            </w:pPr>
            <w:r>
              <w:t>月花坛摆放费</w:t>
            </w:r>
          </w:p>
        </w:tc>
        <w:tc>
          <w:tcPr>
            <w:tcW w:w="2551" w:type="dxa"/>
            <w:vAlign w:val="center"/>
          </w:tcPr>
          <w:p>
            <w:pPr>
              <w:pStyle w:val="16"/>
            </w:pPr>
            <w:r>
              <w:t>3000元</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提升红色文化服务水平</w:t>
            </w:r>
          </w:p>
        </w:tc>
        <w:tc>
          <w:tcPr>
            <w:tcW w:w="2835" w:type="dxa"/>
            <w:vAlign w:val="center"/>
          </w:tcPr>
          <w:p>
            <w:pPr>
              <w:pStyle w:val="16"/>
            </w:pPr>
            <w:r>
              <w:t>提升红色文化服务水平</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红色文化得到更好的传承</w:t>
            </w:r>
          </w:p>
        </w:tc>
        <w:tc>
          <w:tcPr>
            <w:tcW w:w="2835" w:type="dxa"/>
            <w:vAlign w:val="center"/>
          </w:tcPr>
          <w:p>
            <w:pPr>
              <w:pStyle w:val="16"/>
            </w:pPr>
            <w:r>
              <w:t>红色文化得到更好的传承</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4、冀财教【2018】117号中央补助地方美术馆公共图书馆 文化馆（站）免费开放专项资金绩效目标表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配备文化用品行政村数量</w:t>
            </w:r>
          </w:p>
        </w:tc>
        <w:tc>
          <w:tcPr>
            <w:tcW w:w="2835" w:type="dxa"/>
            <w:vAlign w:val="center"/>
          </w:tcPr>
          <w:p>
            <w:pPr>
              <w:pStyle w:val="16"/>
            </w:pPr>
            <w:r>
              <w:t>所配备文化用品行政村的数量</w:t>
            </w:r>
          </w:p>
        </w:tc>
        <w:tc>
          <w:tcPr>
            <w:tcW w:w="2551" w:type="dxa"/>
            <w:vAlign w:val="center"/>
          </w:tcPr>
          <w:p>
            <w:pPr>
              <w:pStyle w:val="16"/>
            </w:pPr>
            <w:r>
              <w:t>45个</w:t>
            </w:r>
          </w:p>
        </w:tc>
        <w:tc>
          <w:tcPr>
            <w:tcW w:w="2268" w:type="dxa"/>
            <w:vAlign w:val="center"/>
          </w:tcPr>
          <w:p>
            <w:pPr>
              <w:pStyle w:val="16"/>
            </w:pPr>
            <w:r>
              <w:t>资产移交清单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采购文化用品合格率</w:t>
            </w:r>
          </w:p>
        </w:tc>
        <w:tc>
          <w:tcPr>
            <w:tcW w:w="2835" w:type="dxa"/>
            <w:vAlign w:val="center"/>
          </w:tcPr>
          <w:p>
            <w:pPr>
              <w:pStyle w:val="16"/>
            </w:pPr>
            <w:r>
              <w:t>所采购文化用品的合格率</w:t>
            </w:r>
          </w:p>
        </w:tc>
        <w:tc>
          <w:tcPr>
            <w:tcW w:w="2551" w:type="dxa"/>
            <w:vAlign w:val="center"/>
          </w:tcPr>
          <w:p>
            <w:pPr>
              <w:pStyle w:val="16"/>
            </w:pPr>
            <w:r>
              <w:t>≥98百分比</w:t>
            </w:r>
          </w:p>
        </w:tc>
        <w:tc>
          <w:tcPr>
            <w:tcW w:w="2268" w:type="dxa"/>
            <w:vAlign w:val="center"/>
          </w:tcPr>
          <w:p>
            <w:pPr>
              <w:pStyle w:val="16"/>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采购的周期</w:t>
            </w:r>
          </w:p>
        </w:tc>
        <w:tc>
          <w:tcPr>
            <w:tcW w:w="2835" w:type="dxa"/>
            <w:vAlign w:val="center"/>
          </w:tcPr>
          <w:p>
            <w:pPr>
              <w:pStyle w:val="16"/>
            </w:pPr>
            <w:r>
              <w:t>采购文化用品的周期</w:t>
            </w:r>
          </w:p>
        </w:tc>
        <w:tc>
          <w:tcPr>
            <w:tcW w:w="2551" w:type="dxa"/>
            <w:vAlign w:val="center"/>
          </w:tcPr>
          <w:p>
            <w:pPr>
              <w:pStyle w:val="16"/>
            </w:pPr>
            <w:r>
              <w:t>≥2月</w:t>
            </w:r>
          </w:p>
        </w:tc>
        <w:tc>
          <w:tcPr>
            <w:tcW w:w="2268" w:type="dxa"/>
            <w:vAlign w:val="center"/>
          </w:tcPr>
          <w:p>
            <w:pPr>
              <w:pStyle w:val="1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采购电脑的单价</w:t>
            </w:r>
          </w:p>
        </w:tc>
        <w:tc>
          <w:tcPr>
            <w:tcW w:w="2835" w:type="dxa"/>
            <w:vAlign w:val="center"/>
          </w:tcPr>
          <w:p>
            <w:pPr>
              <w:pStyle w:val="16"/>
            </w:pPr>
            <w:r>
              <w:t>所采购电脑的单价</w:t>
            </w:r>
          </w:p>
        </w:tc>
        <w:tc>
          <w:tcPr>
            <w:tcW w:w="2551" w:type="dxa"/>
            <w:vAlign w:val="center"/>
          </w:tcPr>
          <w:p>
            <w:pPr>
              <w:pStyle w:val="16"/>
            </w:pPr>
            <w:r>
              <w:t>≥4000元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基层文化服务水平稳步上升</w:t>
            </w:r>
          </w:p>
        </w:tc>
        <w:tc>
          <w:tcPr>
            <w:tcW w:w="2835" w:type="dxa"/>
            <w:vAlign w:val="center"/>
          </w:tcPr>
          <w:p>
            <w:pPr>
              <w:pStyle w:val="16"/>
            </w:pPr>
            <w:r>
              <w:t>基层文化服务水平稳步上升</w:t>
            </w:r>
          </w:p>
        </w:tc>
        <w:tc>
          <w:tcPr>
            <w:tcW w:w="2551" w:type="dxa"/>
            <w:vAlign w:val="center"/>
          </w:tcPr>
          <w:p>
            <w:pPr>
              <w:pStyle w:val="16"/>
            </w:pPr>
            <w:r>
              <w:t>稳步上升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传播推广群众文化</w:t>
            </w:r>
          </w:p>
        </w:tc>
        <w:tc>
          <w:tcPr>
            <w:tcW w:w="2835" w:type="dxa"/>
            <w:vAlign w:val="center"/>
          </w:tcPr>
          <w:p>
            <w:pPr>
              <w:pStyle w:val="16"/>
            </w:pPr>
            <w:r>
              <w:t>传播推广群众文化</w:t>
            </w:r>
          </w:p>
        </w:tc>
        <w:tc>
          <w:tcPr>
            <w:tcW w:w="2551" w:type="dxa"/>
            <w:vAlign w:val="center"/>
          </w:tcPr>
          <w:p>
            <w:pPr>
              <w:pStyle w:val="16"/>
            </w:pPr>
            <w:r>
              <w:t>有效传播</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5、冀财教【2018】156号提前下达2019年省级宣传文化（发展）专项资金的通知绩效目标表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采购文化用品的种类</w:t>
            </w:r>
          </w:p>
        </w:tc>
        <w:tc>
          <w:tcPr>
            <w:tcW w:w="2835" w:type="dxa"/>
            <w:vAlign w:val="center"/>
          </w:tcPr>
          <w:p>
            <w:pPr>
              <w:pStyle w:val="16"/>
            </w:pPr>
            <w:r>
              <w:t>所采购文化用品的种类</w:t>
            </w:r>
          </w:p>
        </w:tc>
        <w:tc>
          <w:tcPr>
            <w:tcW w:w="2551" w:type="dxa"/>
            <w:vAlign w:val="center"/>
          </w:tcPr>
          <w:p>
            <w:pPr>
              <w:pStyle w:val="16"/>
            </w:pPr>
            <w:r>
              <w:t>6种</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采购用品合格率</w:t>
            </w:r>
          </w:p>
        </w:tc>
        <w:tc>
          <w:tcPr>
            <w:tcW w:w="2835" w:type="dxa"/>
            <w:vAlign w:val="center"/>
          </w:tcPr>
          <w:p>
            <w:pPr>
              <w:pStyle w:val="16"/>
            </w:pPr>
            <w:r>
              <w:t>所采购的文化用品合格率</w:t>
            </w:r>
          </w:p>
        </w:tc>
        <w:tc>
          <w:tcPr>
            <w:tcW w:w="2551" w:type="dxa"/>
            <w:vAlign w:val="center"/>
          </w:tcPr>
          <w:p>
            <w:pPr>
              <w:pStyle w:val="16"/>
            </w:pPr>
            <w:r>
              <w:t>≥98百分比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采购用品的周期</w:t>
            </w:r>
          </w:p>
        </w:tc>
        <w:tc>
          <w:tcPr>
            <w:tcW w:w="2835" w:type="dxa"/>
            <w:vAlign w:val="center"/>
          </w:tcPr>
          <w:p>
            <w:pPr>
              <w:pStyle w:val="16"/>
            </w:pPr>
            <w:r>
              <w:t>采购文化用品的周期</w:t>
            </w:r>
          </w:p>
        </w:tc>
        <w:tc>
          <w:tcPr>
            <w:tcW w:w="2551" w:type="dxa"/>
            <w:vAlign w:val="center"/>
          </w:tcPr>
          <w:p>
            <w:pPr>
              <w:pStyle w:val="16"/>
            </w:pPr>
            <w:r>
              <w:t>≥3月</w:t>
            </w:r>
          </w:p>
        </w:tc>
        <w:tc>
          <w:tcPr>
            <w:tcW w:w="2268" w:type="dxa"/>
            <w:vAlign w:val="center"/>
          </w:tcPr>
          <w:p>
            <w:pPr>
              <w:pStyle w:val="1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采购笔记本电脑的单价</w:t>
            </w:r>
          </w:p>
        </w:tc>
        <w:tc>
          <w:tcPr>
            <w:tcW w:w="2835" w:type="dxa"/>
            <w:vAlign w:val="center"/>
          </w:tcPr>
          <w:p>
            <w:pPr>
              <w:pStyle w:val="16"/>
            </w:pPr>
            <w:r>
              <w:t>所采购笔记本电脑的单价</w:t>
            </w:r>
          </w:p>
        </w:tc>
        <w:tc>
          <w:tcPr>
            <w:tcW w:w="2551" w:type="dxa"/>
            <w:vAlign w:val="center"/>
          </w:tcPr>
          <w:p>
            <w:pPr>
              <w:pStyle w:val="16"/>
            </w:pPr>
            <w:r>
              <w:t>≥5300元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文化服务水平提升</w:t>
            </w:r>
          </w:p>
        </w:tc>
        <w:tc>
          <w:tcPr>
            <w:tcW w:w="2835" w:type="dxa"/>
            <w:vAlign w:val="center"/>
          </w:tcPr>
          <w:p>
            <w:pPr>
              <w:pStyle w:val="16"/>
            </w:pPr>
            <w:r>
              <w:t>我县文化服务水平得到提升</w:t>
            </w:r>
          </w:p>
        </w:tc>
        <w:tc>
          <w:tcPr>
            <w:tcW w:w="2551" w:type="dxa"/>
            <w:vAlign w:val="center"/>
          </w:tcPr>
          <w:p>
            <w:pPr>
              <w:pStyle w:val="16"/>
            </w:pPr>
            <w:r>
              <w:t>大力提升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文化艺术中心免费开放的运转率</w:t>
            </w:r>
          </w:p>
        </w:tc>
        <w:tc>
          <w:tcPr>
            <w:tcW w:w="2835" w:type="dxa"/>
            <w:vAlign w:val="center"/>
          </w:tcPr>
          <w:p>
            <w:pPr>
              <w:pStyle w:val="16"/>
            </w:pPr>
            <w:r>
              <w:t>文化艺术中心免费开放的运转率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6、冀财教【2019】134号提前下达2020中央补助地方公共文化服务体系建设专项资金绩效目标表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配备文化用品行政村的数量</w:t>
            </w:r>
          </w:p>
        </w:tc>
        <w:tc>
          <w:tcPr>
            <w:tcW w:w="2835" w:type="dxa"/>
            <w:vAlign w:val="center"/>
          </w:tcPr>
          <w:p>
            <w:pPr>
              <w:pStyle w:val="16"/>
            </w:pPr>
            <w:r>
              <w:t>需配备文化用品的行政村数量</w:t>
            </w:r>
          </w:p>
        </w:tc>
        <w:tc>
          <w:tcPr>
            <w:tcW w:w="2551" w:type="dxa"/>
            <w:vAlign w:val="center"/>
          </w:tcPr>
          <w:p>
            <w:pPr>
              <w:pStyle w:val="16"/>
            </w:pPr>
            <w:r>
              <w:t>54个</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文化用品合格率</w:t>
            </w:r>
          </w:p>
        </w:tc>
        <w:tc>
          <w:tcPr>
            <w:tcW w:w="2835" w:type="dxa"/>
            <w:vAlign w:val="center"/>
          </w:tcPr>
          <w:p>
            <w:pPr>
              <w:pStyle w:val="16"/>
            </w:pPr>
            <w:r>
              <w:t>购买文化用品合格率</w:t>
            </w:r>
          </w:p>
        </w:tc>
        <w:tc>
          <w:tcPr>
            <w:tcW w:w="2551" w:type="dxa"/>
            <w:vAlign w:val="center"/>
          </w:tcPr>
          <w:p>
            <w:pPr>
              <w:pStyle w:val="16"/>
            </w:pPr>
            <w:r>
              <w:t>≥98百分比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文化用品购买周期</w:t>
            </w:r>
          </w:p>
        </w:tc>
        <w:tc>
          <w:tcPr>
            <w:tcW w:w="2835" w:type="dxa"/>
            <w:vAlign w:val="center"/>
          </w:tcPr>
          <w:p>
            <w:pPr>
              <w:pStyle w:val="16"/>
            </w:pPr>
            <w:r>
              <w:t>购买文化用品所需周期</w:t>
            </w:r>
          </w:p>
        </w:tc>
        <w:tc>
          <w:tcPr>
            <w:tcW w:w="2551" w:type="dxa"/>
            <w:vAlign w:val="center"/>
          </w:tcPr>
          <w:p>
            <w:pPr>
              <w:pStyle w:val="16"/>
            </w:pPr>
            <w:r>
              <w:t>≥3月</w:t>
            </w:r>
          </w:p>
        </w:tc>
        <w:tc>
          <w:tcPr>
            <w:tcW w:w="2268" w:type="dxa"/>
            <w:vAlign w:val="center"/>
          </w:tcPr>
          <w:p>
            <w:pPr>
              <w:pStyle w:val="1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广场舞服的单价</w:t>
            </w:r>
          </w:p>
        </w:tc>
        <w:tc>
          <w:tcPr>
            <w:tcW w:w="2835" w:type="dxa"/>
            <w:vAlign w:val="center"/>
          </w:tcPr>
          <w:p>
            <w:pPr>
              <w:pStyle w:val="16"/>
            </w:pPr>
            <w:r>
              <w:t>购买广场舞服的单价</w:t>
            </w:r>
          </w:p>
        </w:tc>
        <w:tc>
          <w:tcPr>
            <w:tcW w:w="2551" w:type="dxa"/>
            <w:vAlign w:val="center"/>
          </w:tcPr>
          <w:p>
            <w:pPr>
              <w:pStyle w:val="16"/>
            </w:pPr>
            <w:r>
              <w:t>182元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基层文化服务水平提升</w:t>
            </w:r>
          </w:p>
        </w:tc>
        <w:tc>
          <w:tcPr>
            <w:tcW w:w="2835" w:type="dxa"/>
            <w:vAlign w:val="center"/>
          </w:tcPr>
          <w:p>
            <w:pPr>
              <w:pStyle w:val="16"/>
            </w:pPr>
            <w:r>
              <w:t>基层文化服务水平得到提升</w:t>
            </w:r>
          </w:p>
        </w:tc>
        <w:tc>
          <w:tcPr>
            <w:tcW w:w="2551" w:type="dxa"/>
            <w:vAlign w:val="center"/>
          </w:tcPr>
          <w:p>
            <w:pPr>
              <w:pStyle w:val="16"/>
            </w:pPr>
            <w:r>
              <w:t>大力提升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群众文化得到推广</w:t>
            </w:r>
          </w:p>
        </w:tc>
        <w:tc>
          <w:tcPr>
            <w:tcW w:w="2835" w:type="dxa"/>
            <w:vAlign w:val="center"/>
          </w:tcPr>
          <w:p>
            <w:pPr>
              <w:pStyle w:val="16"/>
            </w:pPr>
            <w:r>
              <w:t>群众文化得到推广</w:t>
            </w:r>
          </w:p>
        </w:tc>
        <w:tc>
          <w:tcPr>
            <w:tcW w:w="2551" w:type="dxa"/>
            <w:vAlign w:val="center"/>
          </w:tcPr>
          <w:p>
            <w:pPr>
              <w:pStyle w:val="16"/>
            </w:pPr>
            <w:r>
              <w:t>大力推广</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7、冀财教【2020】96号下达2020年中央支持地方公共文化服务体系建设补助资金的通知绩效目标表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所购买文化用品的种类</w:t>
            </w:r>
          </w:p>
        </w:tc>
        <w:tc>
          <w:tcPr>
            <w:tcW w:w="2835" w:type="dxa"/>
            <w:vAlign w:val="center"/>
          </w:tcPr>
          <w:p>
            <w:pPr>
              <w:pStyle w:val="16"/>
            </w:pPr>
            <w:r>
              <w:t>所购买文化用品的种类</w:t>
            </w:r>
          </w:p>
        </w:tc>
        <w:tc>
          <w:tcPr>
            <w:tcW w:w="2551" w:type="dxa"/>
            <w:vAlign w:val="center"/>
          </w:tcPr>
          <w:p>
            <w:pPr>
              <w:pStyle w:val="16"/>
            </w:pPr>
            <w:r>
              <w:t>3种</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文化用品合格率</w:t>
            </w:r>
          </w:p>
        </w:tc>
        <w:tc>
          <w:tcPr>
            <w:tcW w:w="2835" w:type="dxa"/>
            <w:vAlign w:val="center"/>
          </w:tcPr>
          <w:p>
            <w:pPr>
              <w:pStyle w:val="16"/>
            </w:pPr>
            <w:r>
              <w:t>文化用品验收合格率</w:t>
            </w:r>
          </w:p>
        </w:tc>
        <w:tc>
          <w:tcPr>
            <w:tcW w:w="2551" w:type="dxa"/>
            <w:vAlign w:val="center"/>
          </w:tcPr>
          <w:p>
            <w:pPr>
              <w:pStyle w:val="16"/>
            </w:pPr>
            <w:r>
              <w:t>≥98百分比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购买文化用品的周期</w:t>
            </w:r>
          </w:p>
        </w:tc>
        <w:tc>
          <w:tcPr>
            <w:tcW w:w="2835" w:type="dxa"/>
            <w:vAlign w:val="center"/>
          </w:tcPr>
          <w:p>
            <w:pPr>
              <w:pStyle w:val="16"/>
            </w:pPr>
            <w:r>
              <w:t>购买文化用品的时间</w:t>
            </w:r>
          </w:p>
        </w:tc>
        <w:tc>
          <w:tcPr>
            <w:tcW w:w="2551" w:type="dxa"/>
            <w:vAlign w:val="center"/>
          </w:tcPr>
          <w:p>
            <w:pPr>
              <w:pStyle w:val="16"/>
            </w:pPr>
            <w:r>
              <w:t>≥2月</w:t>
            </w:r>
          </w:p>
        </w:tc>
        <w:tc>
          <w:tcPr>
            <w:tcW w:w="2268" w:type="dxa"/>
            <w:vAlign w:val="center"/>
          </w:tcPr>
          <w:p>
            <w:pPr>
              <w:pStyle w:val="1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购买演出服的单价</w:t>
            </w:r>
          </w:p>
        </w:tc>
        <w:tc>
          <w:tcPr>
            <w:tcW w:w="2835" w:type="dxa"/>
            <w:vAlign w:val="center"/>
          </w:tcPr>
          <w:p>
            <w:pPr>
              <w:pStyle w:val="16"/>
            </w:pPr>
            <w:r>
              <w:t>购买广场舞演出服的单价</w:t>
            </w:r>
          </w:p>
        </w:tc>
        <w:tc>
          <w:tcPr>
            <w:tcW w:w="2551" w:type="dxa"/>
            <w:vAlign w:val="center"/>
          </w:tcPr>
          <w:p>
            <w:pPr>
              <w:pStyle w:val="16"/>
            </w:pPr>
            <w:r>
              <w:t>182元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基层公共文化服务水平提升</w:t>
            </w:r>
          </w:p>
        </w:tc>
        <w:tc>
          <w:tcPr>
            <w:tcW w:w="2835" w:type="dxa"/>
            <w:vAlign w:val="center"/>
          </w:tcPr>
          <w:p>
            <w:pPr>
              <w:pStyle w:val="16"/>
            </w:pPr>
            <w:r>
              <w:t>基层公共文化服务水平</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人民生活幸福指数</w:t>
            </w:r>
          </w:p>
        </w:tc>
        <w:tc>
          <w:tcPr>
            <w:tcW w:w="2835" w:type="dxa"/>
            <w:vAlign w:val="center"/>
          </w:tcPr>
          <w:p>
            <w:pPr>
              <w:pStyle w:val="16"/>
            </w:pPr>
            <w:r>
              <w:t>基层人民生活指数得到提升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群众文化得到推广</w:t>
            </w:r>
          </w:p>
        </w:tc>
        <w:tc>
          <w:tcPr>
            <w:tcW w:w="2835" w:type="dxa"/>
            <w:vAlign w:val="center"/>
          </w:tcPr>
          <w:p>
            <w:pPr>
              <w:pStyle w:val="16"/>
            </w:pPr>
            <w:r>
              <w:t>群众文化得到推广</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8、冀财教【2021】138号提前下达2022年中央补助地方公共文化服务体系建设专项资金绩效目标表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进行数字文化平台建设的行政村</w:t>
            </w:r>
          </w:p>
        </w:tc>
        <w:tc>
          <w:tcPr>
            <w:tcW w:w="2835" w:type="dxa"/>
            <w:vAlign w:val="center"/>
          </w:tcPr>
          <w:p>
            <w:pPr>
              <w:pStyle w:val="16"/>
            </w:pPr>
            <w:r>
              <w:t>进行数字文化平台建设的行政村数量</w:t>
            </w:r>
          </w:p>
        </w:tc>
        <w:tc>
          <w:tcPr>
            <w:tcW w:w="2551" w:type="dxa"/>
            <w:vAlign w:val="center"/>
          </w:tcPr>
          <w:p>
            <w:pPr>
              <w:pStyle w:val="16"/>
            </w:pPr>
            <w:r>
              <w:t>20个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补助资金到位率</w:t>
            </w:r>
          </w:p>
        </w:tc>
        <w:tc>
          <w:tcPr>
            <w:tcW w:w="2835" w:type="dxa"/>
            <w:vAlign w:val="center"/>
          </w:tcPr>
          <w:p>
            <w:pPr>
              <w:pStyle w:val="16"/>
            </w:pPr>
            <w:r>
              <w:t>补助资金到位率</w:t>
            </w:r>
          </w:p>
        </w:tc>
        <w:tc>
          <w:tcPr>
            <w:tcW w:w="2551" w:type="dxa"/>
            <w:vAlign w:val="center"/>
          </w:tcPr>
          <w:p>
            <w:pPr>
              <w:pStyle w:val="16"/>
            </w:pPr>
            <w:r>
              <w:t>100百分比</w:t>
            </w:r>
          </w:p>
        </w:tc>
        <w:tc>
          <w:tcPr>
            <w:tcW w:w="2268" w:type="dxa"/>
            <w:vAlign w:val="center"/>
          </w:tcPr>
          <w:p>
            <w:pPr>
              <w:pStyle w:val="16"/>
            </w:pPr>
            <w:r>
              <w:t>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文化活动按期完成率</w:t>
            </w:r>
          </w:p>
        </w:tc>
        <w:tc>
          <w:tcPr>
            <w:tcW w:w="2835" w:type="dxa"/>
            <w:vAlign w:val="center"/>
          </w:tcPr>
          <w:p>
            <w:pPr>
              <w:pStyle w:val="16"/>
            </w:pPr>
            <w:r>
              <w:t>文化活动按期完成率</w:t>
            </w:r>
          </w:p>
        </w:tc>
        <w:tc>
          <w:tcPr>
            <w:tcW w:w="2551" w:type="dxa"/>
            <w:vAlign w:val="center"/>
          </w:tcPr>
          <w:p>
            <w:pPr>
              <w:pStyle w:val="16"/>
            </w:pPr>
            <w:r>
              <w:t>≥95百分比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≤139.85万元</w:t>
            </w:r>
          </w:p>
        </w:tc>
        <w:tc>
          <w:tcPr>
            <w:tcW w:w="2268" w:type="dxa"/>
            <w:vAlign w:val="center"/>
          </w:tcPr>
          <w:p>
            <w:pPr>
              <w:pStyle w:val="16"/>
            </w:pPr>
            <w:r>
              <w:t>专项资金文件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提升基层文化服务水平</w:t>
            </w:r>
          </w:p>
        </w:tc>
        <w:tc>
          <w:tcPr>
            <w:tcW w:w="2835" w:type="dxa"/>
            <w:vAlign w:val="center"/>
          </w:tcPr>
          <w:p>
            <w:pPr>
              <w:pStyle w:val="16"/>
            </w:pPr>
            <w:r>
              <w:t>基层文化服务水平提升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传播推广群众文化</w:t>
            </w:r>
          </w:p>
        </w:tc>
        <w:tc>
          <w:tcPr>
            <w:tcW w:w="2835" w:type="dxa"/>
            <w:vAlign w:val="center"/>
          </w:tcPr>
          <w:p>
            <w:pPr>
              <w:pStyle w:val="16"/>
            </w:pPr>
            <w:r>
              <w:t>传播推广群众文化</w:t>
            </w:r>
          </w:p>
        </w:tc>
        <w:tc>
          <w:tcPr>
            <w:tcW w:w="2551" w:type="dxa"/>
            <w:vAlign w:val="center"/>
          </w:tcPr>
          <w:p>
            <w:pPr>
              <w:pStyle w:val="16"/>
            </w:pPr>
            <w:r>
              <w:t>大力传播</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9、冀财教【2021】141号提前下达2022中央补助地方美术馆 公共图书馆 文化馆免费开放资金的通知绩效目标表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免费开放的乡镇文化站数量</w:t>
            </w:r>
          </w:p>
        </w:tc>
        <w:tc>
          <w:tcPr>
            <w:tcW w:w="2835" w:type="dxa"/>
            <w:vAlign w:val="center"/>
          </w:tcPr>
          <w:p>
            <w:pPr>
              <w:pStyle w:val="16"/>
            </w:pPr>
            <w:r>
              <w:t>免费开放的乡镇文化站的数量</w:t>
            </w:r>
          </w:p>
        </w:tc>
        <w:tc>
          <w:tcPr>
            <w:tcW w:w="2551" w:type="dxa"/>
            <w:vAlign w:val="center"/>
          </w:tcPr>
          <w:p>
            <w:pPr>
              <w:pStyle w:val="16"/>
            </w:pPr>
            <w:r>
              <w:t>10个</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举办文化活动较上年增长率</w:t>
            </w:r>
          </w:p>
        </w:tc>
        <w:tc>
          <w:tcPr>
            <w:tcW w:w="2835" w:type="dxa"/>
            <w:vAlign w:val="center"/>
          </w:tcPr>
          <w:p>
            <w:pPr>
              <w:pStyle w:val="16"/>
            </w:pPr>
            <w:r>
              <w:t>举办文化活动较上年增长率</w:t>
            </w:r>
          </w:p>
        </w:tc>
        <w:tc>
          <w:tcPr>
            <w:tcW w:w="2551" w:type="dxa"/>
            <w:vAlign w:val="center"/>
          </w:tcPr>
          <w:p>
            <w:pPr>
              <w:pStyle w:val="16"/>
            </w:pPr>
            <w:r>
              <w:t>≥5百分比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免费开放的周期</w:t>
            </w:r>
          </w:p>
        </w:tc>
        <w:tc>
          <w:tcPr>
            <w:tcW w:w="2835" w:type="dxa"/>
            <w:vAlign w:val="center"/>
          </w:tcPr>
          <w:p>
            <w:pPr>
              <w:pStyle w:val="16"/>
            </w:pPr>
            <w:r>
              <w:t>文化站免费开放的周期</w:t>
            </w:r>
          </w:p>
        </w:tc>
        <w:tc>
          <w:tcPr>
            <w:tcW w:w="2551" w:type="dxa"/>
            <w:vAlign w:val="center"/>
          </w:tcPr>
          <w:p>
            <w:pPr>
              <w:pStyle w:val="16"/>
            </w:pPr>
            <w:r>
              <w:t>1年</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每个文化站补助标准</w:t>
            </w:r>
          </w:p>
        </w:tc>
        <w:tc>
          <w:tcPr>
            <w:tcW w:w="2835" w:type="dxa"/>
            <w:vAlign w:val="center"/>
          </w:tcPr>
          <w:p>
            <w:pPr>
              <w:pStyle w:val="16"/>
            </w:pPr>
            <w:r>
              <w:t>每个乡镇文化站补助补助</w:t>
            </w:r>
          </w:p>
        </w:tc>
        <w:tc>
          <w:tcPr>
            <w:tcW w:w="2551" w:type="dxa"/>
            <w:vAlign w:val="center"/>
          </w:tcPr>
          <w:p>
            <w:pPr>
              <w:pStyle w:val="16"/>
            </w:pPr>
            <w:r>
              <w:t>3万元</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免费开放服务水平稳步提升</w:t>
            </w:r>
          </w:p>
        </w:tc>
        <w:tc>
          <w:tcPr>
            <w:tcW w:w="2835" w:type="dxa"/>
            <w:vAlign w:val="center"/>
          </w:tcPr>
          <w:p>
            <w:pPr>
              <w:pStyle w:val="16"/>
            </w:pPr>
            <w:r>
              <w:t>免费开放服务水平稳步提升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免费开放文化场馆正常运转</w:t>
            </w:r>
          </w:p>
        </w:tc>
        <w:tc>
          <w:tcPr>
            <w:tcW w:w="2835" w:type="dxa"/>
            <w:vAlign w:val="center"/>
          </w:tcPr>
          <w:p>
            <w:pPr>
              <w:pStyle w:val="16"/>
            </w:pPr>
            <w:r>
              <w:t>免费开放文化站正常运转率</w:t>
            </w:r>
          </w:p>
        </w:tc>
        <w:tc>
          <w:tcPr>
            <w:tcW w:w="2551" w:type="dxa"/>
            <w:vAlign w:val="center"/>
          </w:tcPr>
          <w:p>
            <w:pPr>
              <w:pStyle w:val="16"/>
            </w:pPr>
            <w:r>
              <w:t>≥95百分比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10、冀财教【2021】155号提前下达2022省级三馆一站免费开放补助资金绩效目标表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补助资金到位率</w:t>
            </w:r>
          </w:p>
        </w:tc>
        <w:tc>
          <w:tcPr>
            <w:tcW w:w="2835" w:type="dxa"/>
            <w:vAlign w:val="center"/>
          </w:tcPr>
          <w:p>
            <w:pPr>
              <w:pStyle w:val="16"/>
            </w:pPr>
            <w:r>
              <w:t>补助资金到位率</w:t>
            </w:r>
          </w:p>
        </w:tc>
        <w:tc>
          <w:tcPr>
            <w:tcW w:w="2551" w:type="dxa"/>
            <w:vAlign w:val="center"/>
          </w:tcPr>
          <w:p>
            <w:pPr>
              <w:pStyle w:val="16"/>
            </w:pPr>
            <w:r>
              <w:t>100百分比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举办文化活动较上年增长率</w:t>
            </w:r>
          </w:p>
        </w:tc>
        <w:tc>
          <w:tcPr>
            <w:tcW w:w="2835" w:type="dxa"/>
            <w:vAlign w:val="center"/>
          </w:tcPr>
          <w:p>
            <w:pPr>
              <w:pStyle w:val="16"/>
            </w:pPr>
            <w:r>
              <w:t>举办文化活动较上年增长率</w:t>
            </w:r>
          </w:p>
        </w:tc>
        <w:tc>
          <w:tcPr>
            <w:tcW w:w="2551" w:type="dxa"/>
            <w:vAlign w:val="center"/>
          </w:tcPr>
          <w:p>
            <w:pPr>
              <w:pStyle w:val="16"/>
            </w:pPr>
            <w:r>
              <w:t>≥5百分比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免费开放的周期</w:t>
            </w:r>
          </w:p>
        </w:tc>
        <w:tc>
          <w:tcPr>
            <w:tcW w:w="2835" w:type="dxa"/>
            <w:vAlign w:val="center"/>
          </w:tcPr>
          <w:p>
            <w:pPr>
              <w:pStyle w:val="16"/>
            </w:pPr>
            <w:r>
              <w:t>免费开放的周期</w:t>
            </w:r>
          </w:p>
        </w:tc>
        <w:tc>
          <w:tcPr>
            <w:tcW w:w="2551" w:type="dxa"/>
            <w:vAlign w:val="center"/>
          </w:tcPr>
          <w:p>
            <w:pPr>
              <w:pStyle w:val="16"/>
            </w:pPr>
            <w:r>
              <w:t>1年</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每个乡镇文化站的补助标准</w:t>
            </w:r>
          </w:p>
        </w:tc>
        <w:tc>
          <w:tcPr>
            <w:tcW w:w="2835" w:type="dxa"/>
            <w:vAlign w:val="center"/>
          </w:tcPr>
          <w:p>
            <w:pPr>
              <w:pStyle w:val="16"/>
            </w:pPr>
            <w:r>
              <w:t>每个乡镇文化站的补助标准</w:t>
            </w:r>
          </w:p>
        </w:tc>
        <w:tc>
          <w:tcPr>
            <w:tcW w:w="2551" w:type="dxa"/>
            <w:vAlign w:val="center"/>
          </w:tcPr>
          <w:p>
            <w:pPr>
              <w:pStyle w:val="16"/>
            </w:pPr>
            <w:r>
              <w:t>0.5万元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免费开放服务水平稳步提升</w:t>
            </w:r>
          </w:p>
        </w:tc>
        <w:tc>
          <w:tcPr>
            <w:tcW w:w="2835" w:type="dxa"/>
            <w:vAlign w:val="center"/>
          </w:tcPr>
          <w:p>
            <w:pPr>
              <w:pStyle w:val="16"/>
            </w:pPr>
            <w:r>
              <w:t>免费开放服务水平稳步提升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免费开放服务水平稳步提升</w:t>
            </w:r>
          </w:p>
        </w:tc>
        <w:tc>
          <w:tcPr>
            <w:tcW w:w="2835" w:type="dxa"/>
            <w:vAlign w:val="center"/>
          </w:tcPr>
          <w:p>
            <w:pPr>
              <w:pStyle w:val="16"/>
            </w:pPr>
            <w:r>
              <w:t>免费开放服务水平稳步提升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≥98百分百</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11、毛主席视察纪念馆老馆主馆修缮项目绩效目标表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地面走廊混凝土厚度</w:t>
            </w:r>
          </w:p>
        </w:tc>
        <w:tc>
          <w:tcPr>
            <w:tcW w:w="2835" w:type="dxa"/>
            <w:vAlign w:val="center"/>
          </w:tcPr>
          <w:p>
            <w:pPr>
              <w:pStyle w:val="16"/>
            </w:pPr>
            <w:r>
              <w:t>地面走廊混凝土垫层的厚度</w:t>
            </w:r>
          </w:p>
        </w:tc>
        <w:tc>
          <w:tcPr>
            <w:tcW w:w="2551" w:type="dxa"/>
            <w:vAlign w:val="center"/>
          </w:tcPr>
          <w:p>
            <w:pPr>
              <w:pStyle w:val="16"/>
            </w:pPr>
            <w:r>
              <w:t>60mm</w:t>
            </w:r>
          </w:p>
        </w:tc>
        <w:tc>
          <w:tcPr>
            <w:tcW w:w="2268" w:type="dxa"/>
            <w:vAlign w:val="center"/>
          </w:tcPr>
          <w:p>
            <w:pPr>
              <w:pStyle w:val="16"/>
            </w:pPr>
            <w:r>
              <w:t>工程签证单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工程验收合格率</w:t>
            </w:r>
          </w:p>
        </w:tc>
        <w:tc>
          <w:tcPr>
            <w:tcW w:w="2835" w:type="dxa"/>
            <w:vAlign w:val="center"/>
          </w:tcPr>
          <w:p>
            <w:pPr>
              <w:pStyle w:val="16"/>
            </w:pPr>
            <w:r>
              <w:t>工程验收合格率</w:t>
            </w:r>
          </w:p>
        </w:tc>
        <w:tc>
          <w:tcPr>
            <w:tcW w:w="2551" w:type="dxa"/>
            <w:vAlign w:val="center"/>
          </w:tcPr>
          <w:p>
            <w:pPr>
              <w:pStyle w:val="16"/>
            </w:pPr>
            <w:r>
              <w:t>≥98百分比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工程进行时间</w:t>
            </w:r>
          </w:p>
        </w:tc>
        <w:tc>
          <w:tcPr>
            <w:tcW w:w="2835" w:type="dxa"/>
            <w:vAlign w:val="center"/>
          </w:tcPr>
          <w:p>
            <w:pPr>
              <w:pStyle w:val="16"/>
            </w:pPr>
            <w:r>
              <w:t>工程进行时间</w:t>
            </w:r>
          </w:p>
        </w:tc>
        <w:tc>
          <w:tcPr>
            <w:tcW w:w="2551" w:type="dxa"/>
            <w:vAlign w:val="center"/>
          </w:tcPr>
          <w:p>
            <w:pPr>
              <w:pStyle w:val="16"/>
            </w:pPr>
            <w:r>
              <w:t>2月</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人工费成本</w:t>
            </w:r>
          </w:p>
        </w:tc>
        <w:tc>
          <w:tcPr>
            <w:tcW w:w="2835" w:type="dxa"/>
            <w:vAlign w:val="center"/>
          </w:tcPr>
          <w:p>
            <w:pPr>
              <w:pStyle w:val="16"/>
            </w:pPr>
            <w:r>
              <w:t>整个工程人工费合计</w:t>
            </w:r>
          </w:p>
        </w:tc>
        <w:tc>
          <w:tcPr>
            <w:tcW w:w="2551" w:type="dxa"/>
            <w:vAlign w:val="center"/>
          </w:tcPr>
          <w:p>
            <w:pPr>
              <w:pStyle w:val="16"/>
            </w:pPr>
            <w:r>
              <w:t>≤50667.78元</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提升红色文化服务水平</w:t>
            </w:r>
          </w:p>
        </w:tc>
        <w:tc>
          <w:tcPr>
            <w:tcW w:w="2835" w:type="dxa"/>
            <w:vAlign w:val="center"/>
          </w:tcPr>
          <w:p>
            <w:pPr>
              <w:pStyle w:val="16"/>
            </w:pPr>
            <w:r>
              <w:t>提升红色文化服务水平</w:t>
            </w:r>
          </w:p>
        </w:tc>
        <w:tc>
          <w:tcPr>
            <w:tcW w:w="2551" w:type="dxa"/>
            <w:vAlign w:val="center"/>
          </w:tcPr>
          <w:p>
            <w:pPr>
              <w:pStyle w:val="16"/>
            </w:pPr>
            <w:r>
              <w:t>稳步提升</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纪念馆的使用寿命</w:t>
            </w:r>
          </w:p>
        </w:tc>
        <w:tc>
          <w:tcPr>
            <w:tcW w:w="2835" w:type="dxa"/>
            <w:vAlign w:val="center"/>
          </w:tcPr>
          <w:p>
            <w:pPr>
              <w:pStyle w:val="16"/>
            </w:pPr>
            <w:r>
              <w:t>毛主席视察成安纪念馆老馆使用寿命延长</w:t>
            </w:r>
          </w:p>
        </w:tc>
        <w:tc>
          <w:tcPr>
            <w:tcW w:w="2551" w:type="dxa"/>
            <w:vAlign w:val="center"/>
          </w:tcPr>
          <w:p>
            <w:pPr>
              <w:pStyle w:val="16"/>
            </w:pPr>
            <w:r>
              <w:t>延长使用时间</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12、文广旅局关于申请毛主席纪念馆公厕建设资金的报告绩效目标表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抹墙真石漆平方数</w:t>
            </w:r>
          </w:p>
        </w:tc>
        <w:tc>
          <w:tcPr>
            <w:tcW w:w="2835" w:type="dxa"/>
            <w:vAlign w:val="center"/>
          </w:tcPr>
          <w:p>
            <w:pPr>
              <w:pStyle w:val="16"/>
            </w:pPr>
            <w:r>
              <w:t>公厕外墙面涂抹真石漆平方数</w:t>
            </w:r>
          </w:p>
        </w:tc>
        <w:tc>
          <w:tcPr>
            <w:tcW w:w="2551" w:type="dxa"/>
            <w:vAlign w:val="center"/>
          </w:tcPr>
          <w:p>
            <w:pPr>
              <w:pStyle w:val="16"/>
            </w:pPr>
            <w:r>
              <w:t>≥186.8平方米</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工程验收合格率</w:t>
            </w:r>
          </w:p>
        </w:tc>
        <w:tc>
          <w:tcPr>
            <w:tcW w:w="2835" w:type="dxa"/>
            <w:vAlign w:val="center"/>
          </w:tcPr>
          <w:p>
            <w:pPr>
              <w:pStyle w:val="16"/>
            </w:pPr>
            <w:r>
              <w:t>公厕建设工程验收合格率</w:t>
            </w:r>
          </w:p>
        </w:tc>
        <w:tc>
          <w:tcPr>
            <w:tcW w:w="2551" w:type="dxa"/>
            <w:vAlign w:val="center"/>
          </w:tcPr>
          <w:p>
            <w:pPr>
              <w:pStyle w:val="16"/>
            </w:pPr>
            <w:r>
              <w:t>≥98百分比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建设公厕的周期</w:t>
            </w:r>
          </w:p>
        </w:tc>
        <w:tc>
          <w:tcPr>
            <w:tcW w:w="2835" w:type="dxa"/>
            <w:vAlign w:val="center"/>
          </w:tcPr>
          <w:p>
            <w:pPr>
              <w:pStyle w:val="16"/>
            </w:pPr>
            <w:r>
              <w:t>公厕建设的时间</w:t>
            </w:r>
          </w:p>
        </w:tc>
        <w:tc>
          <w:tcPr>
            <w:tcW w:w="2551" w:type="dxa"/>
            <w:vAlign w:val="center"/>
          </w:tcPr>
          <w:p>
            <w:pPr>
              <w:pStyle w:val="16"/>
            </w:pPr>
            <w:r>
              <w:t>≥3月</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≥27.5万元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提升红色文化服务水平</w:t>
            </w:r>
          </w:p>
        </w:tc>
        <w:tc>
          <w:tcPr>
            <w:tcW w:w="2835" w:type="dxa"/>
            <w:vAlign w:val="center"/>
          </w:tcPr>
          <w:p>
            <w:pPr>
              <w:pStyle w:val="16"/>
            </w:pPr>
            <w:r>
              <w:t>提升红色文化服务水平</w:t>
            </w:r>
          </w:p>
        </w:tc>
        <w:tc>
          <w:tcPr>
            <w:tcW w:w="2551" w:type="dxa"/>
            <w:vAlign w:val="center"/>
          </w:tcPr>
          <w:p>
            <w:pPr>
              <w:pStyle w:val="16"/>
            </w:pPr>
            <w:r>
              <w:t>大力提升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改善毛主席视察成安纪念馆的生态环境</w:t>
            </w:r>
          </w:p>
        </w:tc>
        <w:tc>
          <w:tcPr>
            <w:tcW w:w="2835" w:type="dxa"/>
            <w:vAlign w:val="center"/>
          </w:tcPr>
          <w:p>
            <w:pPr>
              <w:pStyle w:val="16"/>
            </w:pPr>
            <w:r>
              <w:t>对毛主席视察成安纪念馆的生态环境改善</w:t>
            </w:r>
          </w:p>
        </w:tc>
        <w:tc>
          <w:tcPr>
            <w:tcW w:w="2551" w:type="dxa"/>
            <w:vAlign w:val="center"/>
          </w:tcPr>
          <w:p>
            <w:pPr>
              <w:pStyle w:val="16"/>
            </w:pPr>
            <w:r>
              <w:t>改善生态环境</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红色文化传承</w:t>
            </w:r>
          </w:p>
        </w:tc>
        <w:tc>
          <w:tcPr>
            <w:tcW w:w="2835" w:type="dxa"/>
            <w:vAlign w:val="center"/>
          </w:tcPr>
          <w:p>
            <w:pPr>
              <w:pStyle w:val="16"/>
            </w:pPr>
            <w:r>
              <w:t>红色文化传承率大大提升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13、冀财教【2021】141号提前下达2022中央补助地方美术馆 公共图书馆 文化馆免费开放资金的通知绩效目标表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补助资金到位率</w:t>
            </w:r>
          </w:p>
        </w:tc>
        <w:tc>
          <w:tcPr>
            <w:tcW w:w="2835" w:type="dxa"/>
            <w:vAlign w:val="center"/>
          </w:tcPr>
          <w:p>
            <w:pPr>
              <w:pStyle w:val="16"/>
            </w:pPr>
            <w:r>
              <w:t>补助资金到位率</w:t>
            </w:r>
          </w:p>
        </w:tc>
        <w:tc>
          <w:tcPr>
            <w:tcW w:w="2551" w:type="dxa"/>
            <w:vAlign w:val="center"/>
          </w:tcPr>
          <w:p>
            <w:pPr>
              <w:pStyle w:val="16"/>
            </w:pPr>
            <w:r>
              <w:t>≥100百分比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举办文化活动较上年增长率</w:t>
            </w:r>
          </w:p>
        </w:tc>
        <w:tc>
          <w:tcPr>
            <w:tcW w:w="2835" w:type="dxa"/>
            <w:vAlign w:val="center"/>
          </w:tcPr>
          <w:p>
            <w:pPr>
              <w:pStyle w:val="16"/>
            </w:pPr>
            <w:r>
              <w:t>举办文化活动较上年增长率</w:t>
            </w:r>
          </w:p>
        </w:tc>
        <w:tc>
          <w:tcPr>
            <w:tcW w:w="2551" w:type="dxa"/>
            <w:vAlign w:val="center"/>
          </w:tcPr>
          <w:p>
            <w:pPr>
              <w:pStyle w:val="16"/>
            </w:pPr>
            <w:r>
              <w:t>≥5百分比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免费开放周期</w:t>
            </w:r>
          </w:p>
        </w:tc>
        <w:tc>
          <w:tcPr>
            <w:tcW w:w="2835" w:type="dxa"/>
            <w:vAlign w:val="center"/>
          </w:tcPr>
          <w:p>
            <w:pPr>
              <w:pStyle w:val="16"/>
            </w:pPr>
            <w:r>
              <w:t>免费开放周期</w:t>
            </w:r>
          </w:p>
        </w:tc>
        <w:tc>
          <w:tcPr>
            <w:tcW w:w="2551" w:type="dxa"/>
            <w:vAlign w:val="center"/>
          </w:tcPr>
          <w:p>
            <w:pPr>
              <w:pStyle w:val="16"/>
            </w:pPr>
            <w:r>
              <w:t>1年</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举办文化活动的成本</w:t>
            </w:r>
          </w:p>
        </w:tc>
        <w:tc>
          <w:tcPr>
            <w:tcW w:w="2835" w:type="dxa"/>
            <w:vAlign w:val="center"/>
          </w:tcPr>
          <w:p>
            <w:pPr>
              <w:pStyle w:val="16"/>
            </w:pPr>
            <w:r>
              <w:t>举办文化活动的成本</w:t>
            </w:r>
          </w:p>
        </w:tc>
        <w:tc>
          <w:tcPr>
            <w:tcW w:w="2551" w:type="dxa"/>
            <w:vAlign w:val="center"/>
          </w:tcPr>
          <w:p>
            <w:pPr>
              <w:pStyle w:val="16"/>
            </w:pPr>
            <w:r>
              <w:t>≤5000元</w:t>
            </w:r>
          </w:p>
        </w:tc>
        <w:tc>
          <w:tcPr>
            <w:tcW w:w="2268" w:type="dxa"/>
            <w:vAlign w:val="center"/>
          </w:tcPr>
          <w:p>
            <w:pPr>
              <w:pStyle w:val="16"/>
            </w:pPr>
            <w:r>
              <w:t>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免费开放服务水平稳步提升</w:t>
            </w:r>
          </w:p>
        </w:tc>
        <w:tc>
          <w:tcPr>
            <w:tcW w:w="2835" w:type="dxa"/>
            <w:vAlign w:val="center"/>
          </w:tcPr>
          <w:p>
            <w:pPr>
              <w:pStyle w:val="16"/>
            </w:pPr>
            <w:r>
              <w:t>免费开放服务水平稳步提升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免费开放服务水平稳步提升</w:t>
            </w:r>
          </w:p>
        </w:tc>
        <w:tc>
          <w:tcPr>
            <w:tcW w:w="2835" w:type="dxa"/>
            <w:vAlign w:val="center"/>
          </w:tcPr>
          <w:p>
            <w:pPr>
              <w:pStyle w:val="16"/>
            </w:pPr>
            <w:r>
              <w:t>免费开放服务水平稳步提升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受益群众对免费开放文化活动的满意度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14、冀财教【2021】152号提前下达2022年省级非物质文化遗产保护专项资金绩效目标表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补助省级代表性传承人传习人数</w:t>
            </w:r>
          </w:p>
        </w:tc>
        <w:tc>
          <w:tcPr>
            <w:tcW w:w="2835" w:type="dxa"/>
            <w:vAlign w:val="center"/>
          </w:tcPr>
          <w:p>
            <w:pPr>
              <w:pStyle w:val="16"/>
            </w:pPr>
            <w:r>
              <w:t>补助省级代表性传承人传习人数</w:t>
            </w:r>
          </w:p>
        </w:tc>
        <w:tc>
          <w:tcPr>
            <w:tcW w:w="2551" w:type="dxa"/>
            <w:vAlign w:val="center"/>
          </w:tcPr>
          <w:p>
            <w:pPr>
              <w:pStyle w:val="16"/>
            </w:pPr>
            <w:r>
              <w:t>2人</w:t>
            </w:r>
          </w:p>
        </w:tc>
        <w:tc>
          <w:tcPr>
            <w:tcW w:w="2268" w:type="dxa"/>
            <w:vAlign w:val="center"/>
          </w:tcPr>
          <w:p>
            <w:pPr>
              <w:pStyle w:val="16"/>
            </w:pPr>
            <w:r>
              <w:t>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省级传承人活动补助发放到位率</w:t>
            </w:r>
          </w:p>
        </w:tc>
        <w:tc>
          <w:tcPr>
            <w:tcW w:w="2835" w:type="dxa"/>
            <w:vAlign w:val="center"/>
          </w:tcPr>
          <w:p>
            <w:pPr>
              <w:pStyle w:val="16"/>
            </w:pPr>
            <w:r>
              <w:t>省级代表性传承人传习活动补助发放到位率</w:t>
            </w:r>
          </w:p>
        </w:tc>
        <w:tc>
          <w:tcPr>
            <w:tcW w:w="2551" w:type="dxa"/>
            <w:vAlign w:val="center"/>
          </w:tcPr>
          <w:p>
            <w:pPr>
              <w:pStyle w:val="16"/>
            </w:pPr>
            <w:r>
              <w:t>100百分比</w:t>
            </w:r>
          </w:p>
        </w:tc>
        <w:tc>
          <w:tcPr>
            <w:tcW w:w="2268" w:type="dxa"/>
            <w:vAlign w:val="center"/>
          </w:tcPr>
          <w:p>
            <w:pPr>
              <w:pStyle w:val="16"/>
            </w:pPr>
            <w:r>
              <w:t>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补助期限</w:t>
            </w:r>
          </w:p>
        </w:tc>
        <w:tc>
          <w:tcPr>
            <w:tcW w:w="2835" w:type="dxa"/>
            <w:vAlign w:val="center"/>
          </w:tcPr>
          <w:p>
            <w:pPr>
              <w:pStyle w:val="16"/>
            </w:pPr>
            <w:r>
              <w:t>非遗传承人补助期限</w:t>
            </w:r>
          </w:p>
        </w:tc>
        <w:tc>
          <w:tcPr>
            <w:tcW w:w="2551" w:type="dxa"/>
            <w:vAlign w:val="center"/>
          </w:tcPr>
          <w:p>
            <w:pPr>
              <w:pStyle w:val="16"/>
            </w:pPr>
            <w:r>
              <w:t>2022年</w:t>
            </w:r>
          </w:p>
        </w:tc>
        <w:tc>
          <w:tcPr>
            <w:tcW w:w="2268" w:type="dxa"/>
            <w:vAlign w:val="center"/>
          </w:tcPr>
          <w:p>
            <w:pPr>
              <w:pStyle w:val="16"/>
            </w:pPr>
            <w:r>
              <w:t>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人均补助标准</w:t>
            </w:r>
          </w:p>
        </w:tc>
        <w:tc>
          <w:tcPr>
            <w:tcW w:w="2835" w:type="dxa"/>
            <w:vAlign w:val="center"/>
          </w:tcPr>
          <w:p>
            <w:pPr>
              <w:pStyle w:val="16"/>
            </w:pPr>
            <w:r>
              <w:t>人均补助标准</w:t>
            </w:r>
          </w:p>
        </w:tc>
        <w:tc>
          <w:tcPr>
            <w:tcW w:w="2551" w:type="dxa"/>
            <w:vAlign w:val="center"/>
          </w:tcPr>
          <w:p>
            <w:pPr>
              <w:pStyle w:val="16"/>
            </w:pPr>
            <w:r>
              <w:t>6000元</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非遗传承人群增长率</w:t>
            </w:r>
          </w:p>
        </w:tc>
        <w:tc>
          <w:tcPr>
            <w:tcW w:w="2835" w:type="dxa"/>
            <w:vAlign w:val="center"/>
          </w:tcPr>
          <w:p>
            <w:pPr>
              <w:pStyle w:val="16"/>
            </w:pPr>
            <w:r>
              <w:t>非遗传承人群增长率</w:t>
            </w:r>
          </w:p>
        </w:tc>
        <w:tc>
          <w:tcPr>
            <w:tcW w:w="2551" w:type="dxa"/>
            <w:vAlign w:val="center"/>
          </w:tcPr>
          <w:p>
            <w:pPr>
              <w:pStyle w:val="16"/>
            </w:pPr>
            <w:r>
              <w:t>≥5百分比</w:t>
            </w:r>
          </w:p>
        </w:tc>
        <w:tc>
          <w:tcPr>
            <w:tcW w:w="2268" w:type="dxa"/>
            <w:vAlign w:val="center"/>
          </w:tcPr>
          <w:p>
            <w:pPr>
              <w:pStyle w:val="16"/>
            </w:pPr>
            <w:r>
              <w:t>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对中华优秀传统文化传承影响</w:t>
            </w:r>
          </w:p>
        </w:tc>
        <w:tc>
          <w:tcPr>
            <w:tcW w:w="2835" w:type="dxa"/>
            <w:vAlign w:val="center"/>
          </w:tcPr>
          <w:p>
            <w:pPr>
              <w:pStyle w:val="16"/>
            </w:pPr>
            <w:r>
              <w:t>对中华优秀传统文化传承影响</w:t>
            </w:r>
          </w:p>
        </w:tc>
        <w:tc>
          <w:tcPr>
            <w:tcW w:w="2551" w:type="dxa"/>
            <w:vAlign w:val="center"/>
          </w:tcPr>
          <w:p>
            <w:pPr>
              <w:pStyle w:val="16"/>
            </w:pPr>
            <w:r>
              <w:t>显著</w:t>
            </w:r>
          </w:p>
        </w:tc>
        <w:tc>
          <w:tcPr>
            <w:tcW w:w="2268" w:type="dxa"/>
            <w:vAlign w:val="center"/>
          </w:tcPr>
          <w:p>
            <w:pPr>
              <w:pStyle w:val="16"/>
            </w:pPr>
            <w:r>
              <w:t>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社会公众对非物质文化遗产保护满意度</w:t>
            </w:r>
          </w:p>
        </w:tc>
        <w:tc>
          <w:tcPr>
            <w:tcW w:w="2835" w:type="dxa"/>
            <w:vAlign w:val="center"/>
          </w:tcPr>
          <w:p>
            <w:pPr>
              <w:pStyle w:val="16"/>
            </w:pPr>
            <w:r>
              <w:t>社会公众对非物质文化遗产保护满意度</w:t>
            </w:r>
          </w:p>
        </w:tc>
        <w:tc>
          <w:tcPr>
            <w:tcW w:w="2551" w:type="dxa"/>
            <w:vAlign w:val="center"/>
          </w:tcPr>
          <w:p>
            <w:pPr>
              <w:pStyle w:val="16"/>
            </w:pPr>
            <w:r>
              <w:t>≥98百分比</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15、冀财教【2021】155号提前下达2022省级三馆一站免费开放补助资金绩效目标表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补助资金到位率</w:t>
            </w:r>
          </w:p>
        </w:tc>
        <w:tc>
          <w:tcPr>
            <w:tcW w:w="2835" w:type="dxa"/>
            <w:vAlign w:val="center"/>
          </w:tcPr>
          <w:p>
            <w:pPr>
              <w:pStyle w:val="16"/>
            </w:pPr>
            <w:r>
              <w:t>补助资金到位率</w:t>
            </w:r>
          </w:p>
        </w:tc>
        <w:tc>
          <w:tcPr>
            <w:tcW w:w="2551" w:type="dxa"/>
            <w:vAlign w:val="center"/>
          </w:tcPr>
          <w:p>
            <w:pPr>
              <w:pStyle w:val="16"/>
            </w:pPr>
            <w:r>
              <w:t>100百分比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举办文化活动较上年增长率</w:t>
            </w:r>
          </w:p>
        </w:tc>
        <w:tc>
          <w:tcPr>
            <w:tcW w:w="2835" w:type="dxa"/>
            <w:vAlign w:val="center"/>
          </w:tcPr>
          <w:p>
            <w:pPr>
              <w:pStyle w:val="16"/>
            </w:pPr>
            <w:r>
              <w:t>举办文化活动较上年增长率</w:t>
            </w:r>
          </w:p>
        </w:tc>
        <w:tc>
          <w:tcPr>
            <w:tcW w:w="2551" w:type="dxa"/>
            <w:vAlign w:val="center"/>
          </w:tcPr>
          <w:p>
            <w:pPr>
              <w:pStyle w:val="16"/>
            </w:pPr>
            <w:r>
              <w:t>≥5百分比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免费开放的周期</w:t>
            </w:r>
          </w:p>
        </w:tc>
        <w:tc>
          <w:tcPr>
            <w:tcW w:w="2835" w:type="dxa"/>
            <w:vAlign w:val="center"/>
          </w:tcPr>
          <w:p>
            <w:pPr>
              <w:pStyle w:val="16"/>
            </w:pPr>
            <w:r>
              <w:t>免费开放的周期</w:t>
            </w:r>
          </w:p>
        </w:tc>
        <w:tc>
          <w:tcPr>
            <w:tcW w:w="2551" w:type="dxa"/>
            <w:vAlign w:val="center"/>
          </w:tcPr>
          <w:p>
            <w:pPr>
              <w:pStyle w:val="16"/>
            </w:pPr>
            <w:r>
              <w:t>1年</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举办文化活动的成本</w:t>
            </w:r>
          </w:p>
        </w:tc>
        <w:tc>
          <w:tcPr>
            <w:tcW w:w="2835" w:type="dxa"/>
            <w:vAlign w:val="center"/>
          </w:tcPr>
          <w:p>
            <w:pPr>
              <w:pStyle w:val="16"/>
            </w:pPr>
            <w:r>
              <w:t>举办文化活动的成本</w:t>
            </w:r>
          </w:p>
        </w:tc>
        <w:tc>
          <w:tcPr>
            <w:tcW w:w="2551" w:type="dxa"/>
            <w:vAlign w:val="center"/>
          </w:tcPr>
          <w:p>
            <w:pPr>
              <w:pStyle w:val="16"/>
            </w:pPr>
            <w:r>
              <w:t>≤5000元</w:t>
            </w:r>
          </w:p>
        </w:tc>
        <w:tc>
          <w:tcPr>
            <w:tcW w:w="2268" w:type="dxa"/>
            <w:vAlign w:val="center"/>
          </w:tcPr>
          <w:p>
            <w:pPr>
              <w:pStyle w:val="16"/>
            </w:pPr>
            <w:r>
              <w:t>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免费开放服务水平稳步提升</w:t>
            </w:r>
          </w:p>
        </w:tc>
        <w:tc>
          <w:tcPr>
            <w:tcW w:w="2835" w:type="dxa"/>
            <w:vAlign w:val="center"/>
          </w:tcPr>
          <w:p>
            <w:pPr>
              <w:pStyle w:val="16"/>
            </w:pPr>
            <w:r>
              <w:t>免费开放服务水平稳步提升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免费开放服务水平稳步提升</w:t>
            </w:r>
          </w:p>
        </w:tc>
        <w:tc>
          <w:tcPr>
            <w:tcW w:w="2835" w:type="dxa"/>
            <w:vAlign w:val="center"/>
          </w:tcPr>
          <w:p>
            <w:pPr>
              <w:pStyle w:val="16"/>
            </w:pPr>
            <w:r>
              <w:t>免费开放服务水平稳步提升</w:t>
            </w:r>
          </w:p>
        </w:tc>
        <w:tc>
          <w:tcPr>
            <w:tcW w:w="2551" w:type="dxa"/>
            <w:vAlign w:val="center"/>
          </w:tcPr>
          <w:p>
            <w:pPr>
              <w:pStyle w:val="16"/>
            </w:pPr>
            <w:r>
              <w:t>免费开放服务水平稳步提升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受益群众对免费开放文化活动的满意度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16、冀财教【2021】155号提前下达2022省级三馆一站免费开放补助资金绩效目标表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预算购买图书的数量</w:t>
            </w:r>
          </w:p>
        </w:tc>
        <w:tc>
          <w:tcPr>
            <w:tcW w:w="2835" w:type="dxa"/>
            <w:vAlign w:val="center"/>
          </w:tcPr>
          <w:p>
            <w:pPr>
              <w:pStyle w:val="16"/>
            </w:pPr>
            <w:r>
              <w:t>预计购买图书的数量</w:t>
            </w:r>
          </w:p>
        </w:tc>
        <w:tc>
          <w:tcPr>
            <w:tcW w:w="2551" w:type="dxa"/>
            <w:vAlign w:val="center"/>
          </w:tcPr>
          <w:p>
            <w:pPr>
              <w:pStyle w:val="16"/>
            </w:pPr>
            <w:r>
              <w:t>≥1000册</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购买图书验收合格率</w:t>
            </w:r>
          </w:p>
        </w:tc>
        <w:tc>
          <w:tcPr>
            <w:tcW w:w="2835" w:type="dxa"/>
            <w:vAlign w:val="center"/>
          </w:tcPr>
          <w:p>
            <w:pPr>
              <w:pStyle w:val="16"/>
            </w:pPr>
            <w:r>
              <w:t>所购买的图书验收合格率</w:t>
            </w:r>
          </w:p>
        </w:tc>
        <w:tc>
          <w:tcPr>
            <w:tcW w:w="2551" w:type="dxa"/>
            <w:vAlign w:val="center"/>
          </w:tcPr>
          <w:p>
            <w:pPr>
              <w:pStyle w:val="16"/>
            </w:pPr>
            <w:r>
              <w:t>≥98百分比</w:t>
            </w:r>
          </w:p>
        </w:tc>
        <w:tc>
          <w:tcPr>
            <w:tcW w:w="2268" w:type="dxa"/>
            <w:vAlign w:val="center"/>
          </w:tcPr>
          <w:p>
            <w:pPr>
              <w:pStyle w:val="16"/>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图书购买周期</w:t>
            </w:r>
          </w:p>
        </w:tc>
        <w:tc>
          <w:tcPr>
            <w:tcW w:w="2835" w:type="dxa"/>
            <w:vAlign w:val="center"/>
          </w:tcPr>
          <w:p>
            <w:pPr>
              <w:pStyle w:val="16"/>
            </w:pPr>
            <w:r>
              <w:t>购买图书所需要的时间</w:t>
            </w:r>
          </w:p>
        </w:tc>
        <w:tc>
          <w:tcPr>
            <w:tcW w:w="2551" w:type="dxa"/>
            <w:vAlign w:val="center"/>
          </w:tcPr>
          <w:p>
            <w:pPr>
              <w:pStyle w:val="16"/>
            </w:pPr>
            <w:r>
              <w:t>≥2月</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购买图书的均单价</w:t>
            </w:r>
          </w:p>
        </w:tc>
        <w:tc>
          <w:tcPr>
            <w:tcW w:w="2835" w:type="dxa"/>
            <w:vAlign w:val="center"/>
          </w:tcPr>
          <w:p>
            <w:pPr>
              <w:pStyle w:val="16"/>
            </w:pPr>
            <w:r>
              <w:t>所购买的图书均价</w:t>
            </w:r>
          </w:p>
        </w:tc>
        <w:tc>
          <w:tcPr>
            <w:tcW w:w="2551" w:type="dxa"/>
            <w:vAlign w:val="center"/>
          </w:tcPr>
          <w:p>
            <w:pPr>
              <w:pStyle w:val="16"/>
            </w:pPr>
            <w:r>
              <w:t>≥15元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图书馆免费开放服务水平</w:t>
            </w:r>
          </w:p>
        </w:tc>
        <w:tc>
          <w:tcPr>
            <w:tcW w:w="2835" w:type="dxa"/>
            <w:vAlign w:val="center"/>
          </w:tcPr>
          <w:p>
            <w:pPr>
              <w:pStyle w:val="16"/>
            </w:pPr>
            <w:r>
              <w:t>图书馆免费开放服务水平提升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图书馆的正常运转</w:t>
            </w:r>
          </w:p>
        </w:tc>
        <w:tc>
          <w:tcPr>
            <w:tcW w:w="2835" w:type="dxa"/>
            <w:vAlign w:val="center"/>
          </w:tcPr>
          <w:p>
            <w:pPr>
              <w:pStyle w:val="16"/>
            </w:pPr>
            <w:r>
              <w:t>图书馆免费开放的正常运转率</w:t>
            </w:r>
          </w:p>
        </w:tc>
        <w:tc>
          <w:tcPr>
            <w:tcW w:w="2551" w:type="dxa"/>
            <w:vAlign w:val="center"/>
          </w:tcPr>
          <w:p>
            <w:pPr>
              <w:pStyle w:val="16"/>
            </w:pPr>
            <w:r>
              <w:t>≥98百分比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17、冀财教（2021）141号文关于提前下达2022年中央补助图书馆，文化馆资金预算通知绩效目标表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1.提高基本公共文化服务水平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补助资金到位率</w:t>
            </w:r>
          </w:p>
        </w:tc>
        <w:tc>
          <w:tcPr>
            <w:tcW w:w="2835" w:type="dxa"/>
            <w:vAlign w:val="center"/>
          </w:tcPr>
          <w:p>
            <w:pPr>
              <w:pStyle w:val="16"/>
            </w:pPr>
            <w:r>
              <w:t>补助资金到位率</w:t>
            </w:r>
          </w:p>
        </w:tc>
        <w:tc>
          <w:tcPr>
            <w:tcW w:w="2551" w:type="dxa"/>
            <w:vAlign w:val="center"/>
          </w:tcPr>
          <w:p>
            <w:pPr>
              <w:pStyle w:val="16"/>
            </w:pPr>
            <w:r>
              <w:t>100百分比</w:t>
            </w:r>
          </w:p>
        </w:tc>
        <w:tc>
          <w:tcPr>
            <w:tcW w:w="2268" w:type="dxa"/>
            <w:vAlign w:val="center"/>
          </w:tcPr>
          <w:p>
            <w:pPr>
              <w:pStyle w:val="16"/>
            </w:pPr>
            <w:r>
              <w:t>冀财教（2021）141号文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举办文化活动较上年增长率</w:t>
            </w:r>
          </w:p>
        </w:tc>
        <w:tc>
          <w:tcPr>
            <w:tcW w:w="2835" w:type="dxa"/>
            <w:vAlign w:val="center"/>
          </w:tcPr>
          <w:p>
            <w:pPr>
              <w:pStyle w:val="16"/>
            </w:pPr>
            <w:r>
              <w:t>举办文化活动较上年增长率</w:t>
            </w:r>
          </w:p>
        </w:tc>
        <w:tc>
          <w:tcPr>
            <w:tcW w:w="2551" w:type="dxa"/>
            <w:vAlign w:val="center"/>
          </w:tcPr>
          <w:p>
            <w:pPr>
              <w:pStyle w:val="16"/>
            </w:pPr>
            <w:r>
              <w:t>≥5百分比</w:t>
            </w:r>
          </w:p>
        </w:tc>
        <w:tc>
          <w:tcPr>
            <w:tcW w:w="2268" w:type="dxa"/>
            <w:vAlign w:val="center"/>
          </w:tcPr>
          <w:p>
            <w:pPr>
              <w:pStyle w:val="16"/>
            </w:pPr>
            <w:r>
              <w:t>冀财教（2021）141号文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完成时间</w:t>
            </w:r>
          </w:p>
        </w:tc>
        <w:tc>
          <w:tcPr>
            <w:tcW w:w="2551" w:type="dxa"/>
            <w:vAlign w:val="center"/>
          </w:tcPr>
          <w:p>
            <w:pPr>
              <w:pStyle w:val="16"/>
            </w:pPr>
            <w:r>
              <w:t>2022年12月底完成</w:t>
            </w:r>
          </w:p>
        </w:tc>
        <w:tc>
          <w:tcPr>
            <w:tcW w:w="2268" w:type="dxa"/>
            <w:vAlign w:val="center"/>
          </w:tcPr>
          <w:p>
            <w:pPr>
              <w:pStyle w:val="16"/>
            </w:pPr>
            <w:r>
              <w:t>冀财教（2021）141号文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补贴金额</w:t>
            </w:r>
          </w:p>
        </w:tc>
        <w:tc>
          <w:tcPr>
            <w:tcW w:w="2835" w:type="dxa"/>
            <w:vAlign w:val="center"/>
          </w:tcPr>
          <w:p>
            <w:pPr>
              <w:pStyle w:val="16"/>
            </w:pPr>
            <w:r>
              <w:t>补贴金额</w:t>
            </w:r>
          </w:p>
        </w:tc>
        <w:tc>
          <w:tcPr>
            <w:tcW w:w="2551" w:type="dxa"/>
            <w:vAlign w:val="center"/>
          </w:tcPr>
          <w:p>
            <w:pPr>
              <w:pStyle w:val="16"/>
            </w:pPr>
            <w:r>
              <w:t>12万元</w:t>
            </w:r>
          </w:p>
        </w:tc>
        <w:tc>
          <w:tcPr>
            <w:tcW w:w="2268" w:type="dxa"/>
            <w:vAlign w:val="center"/>
          </w:tcPr>
          <w:p>
            <w:pPr>
              <w:pStyle w:val="16"/>
            </w:pPr>
            <w:r>
              <w:t>冀财教（2021）141号文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带动其它相关消费项目增收情况</w:t>
            </w:r>
          </w:p>
        </w:tc>
        <w:tc>
          <w:tcPr>
            <w:tcW w:w="2835" w:type="dxa"/>
            <w:vAlign w:val="center"/>
          </w:tcPr>
          <w:p>
            <w:pPr>
              <w:pStyle w:val="16"/>
            </w:pPr>
            <w:r>
              <w:t>带动其它相关消费项目增收情况</w:t>
            </w:r>
          </w:p>
        </w:tc>
        <w:tc>
          <w:tcPr>
            <w:tcW w:w="2551" w:type="dxa"/>
            <w:vAlign w:val="center"/>
          </w:tcPr>
          <w:p>
            <w:pPr>
              <w:pStyle w:val="16"/>
            </w:pPr>
            <w:r>
              <w:t>带动其它相关消费项目增收情况</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免费开放服务水平稳步提升</w:t>
            </w:r>
          </w:p>
        </w:tc>
        <w:tc>
          <w:tcPr>
            <w:tcW w:w="2835" w:type="dxa"/>
            <w:vAlign w:val="center"/>
          </w:tcPr>
          <w:p>
            <w:pPr>
              <w:pStyle w:val="16"/>
            </w:pPr>
            <w:r>
              <w:t>免费开放服务水平稳步提升</w:t>
            </w:r>
          </w:p>
        </w:tc>
        <w:tc>
          <w:tcPr>
            <w:tcW w:w="2551" w:type="dxa"/>
            <w:vAlign w:val="center"/>
          </w:tcPr>
          <w:p>
            <w:pPr>
              <w:pStyle w:val="16"/>
            </w:pPr>
            <w:r>
              <w:t>免费开放服务水平稳步提升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≥96百分比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2022年，成安县文化广电和旅游局安排政府采购预算0.00万元。具体内容见下表。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821成安县文化广电和旅游局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rPr>
          <w:highlight w:val="none"/>
        </w:rPr>
      </w:pPr>
      <w:bookmarkStart w:id="15" w:name="_Toc_3_3_0000000016"/>
      <w:r>
        <w:rPr>
          <w:rFonts w:ascii="黑体" w:hAnsi="黑体" w:eastAsia="黑体" w:cs="黑体"/>
          <w:color w:val="000000"/>
          <w:sz w:val="32"/>
          <w:highlight w:val="none"/>
        </w:rPr>
        <w:t>七、国有资产信息</w:t>
      </w:r>
      <w:bookmarkEnd w:id="15"/>
    </w:p>
    <w:p>
      <w:pPr>
        <w:spacing w:line="560" w:lineRule="exact"/>
        <w:ind w:firstLine="640"/>
        <w:rPr>
          <w:rFonts w:ascii="仿宋" w:hAnsi="仿宋" w:eastAsia="仿宋" w:cs="Times New Roman"/>
          <w:sz w:val="32"/>
          <w:szCs w:val="32"/>
        </w:rPr>
      </w:pPr>
      <w:r>
        <w:rPr>
          <w:rFonts w:ascii="Times New Roman" w:hAnsi="Times New Roman" w:eastAsia="方正仿宋_GBK" w:cs="Times New Roman"/>
          <w:color w:val="000000"/>
          <w:sz w:val="32"/>
        </w:rPr>
        <w:t xml:space="preserve"> </w:t>
      </w:r>
      <w:r>
        <w:rPr>
          <w:rFonts w:hint="eastAsia" w:ascii="仿宋" w:hAnsi="仿宋" w:eastAsia="仿宋" w:cs="仿宋_GB2312"/>
          <w:sz w:val="32"/>
          <w:szCs w:val="32"/>
        </w:rPr>
        <w:t>文化广电和旅游局，上年末固定资产金额为19.7万元，本年度拟购置固定资产</w:t>
      </w:r>
      <w:r>
        <w:rPr>
          <w:rFonts w:hint="eastAsia" w:ascii="仿宋" w:hAnsi="仿宋" w:eastAsia="仿宋" w:cs="仿宋_GB2312"/>
          <w:sz w:val="32"/>
          <w:szCs w:val="32"/>
          <w:lang w:val="en-US" w:eastAsia="zh-CN"/>
        </w:rPr>
        <w:t>0万元</w:t>
      </w:r>
      <w:r>
        <w:rPr>
          <w:rFonts w:hint="eastAsia" w:ascii="仿宋" w:hAnsi="仿宋" w:eastAsia="仿宋" w:cs="仿宋_GB2312"/>
          <w:sz w:val="32"/>
          <w:szCs w:val="32"/>
        </w:rPr>
        <w:t>。办公地点占用文化馆100平方米。详见下表。</w:t>
      </w:r>
    </w:p>
    <w:tbl>
      <w:tblPr>
        <w:tblStyle w:val="8"/>
        <w:tblW w:w="10063" w:type="dxa"/>
        <w:tblInd w:w="1951" w:type="dxa"/>
        <w:tblLayout w:type="fixed"/>
        <w:tblCellMar>
          <w:top w:w="0" w:type="dxa"/>
          <w:left w:w="108" w:type="dxa"/>
          <w:bottom w:w="0" w:type="dxa"/>
          <w:right w:w="108" w:type="dxa"/>
        </w:tblCellMar>
      </w:tblPr>
      <w:tblGrid>
        <w:gridCol w:w="4802"/>
        <w:gridCol w:w="1417"/>
        <w:gridCol w:w="3844"/>
      </w:tblGrid>
      <w:tr>
        <w:tblPrEx>
          <w:tblCellMar>
            <w:top w:w="0" w:type="dxa"/>
            <w:left w:w="108" w:type="dxa"/>
            <w:bottom w:w="0" w:type="dxa"/>
            <w:right w:w="108" w:type="dxa"/>
          </w:tblCellMar>
        </w:tblPrEx>
        <w:trPr>
          <w:trHeight w:val="705" w:hRule="atLeast"/>
        </w:trPr>
        <w:tc>
          <w:tcPr>
            <w:tcW w:w="10063" w:type="dxa"/>
            <w:gridSpan w:val="3"/>
            <w:tcBorders>
              <w:top w:val="nil"/>
              <w:left w:val="nil"/>
              <w:bottom w:val="nil"/>
              <w:right w:val="nil"/>
            </w:tcBorders>
            <w:vAlign w:val="center"/>
          </w:tcPr>
          <w:p>
            <w:pPr>
              <w:widowControl/>
              <w:jc w:val="center"/>
              <w:rPr>
                <w:rFonts w:ascii="仿宋" w:hAnsi="仿宋" w:eastAsia="仿宋" w:cs="Times New Roman"/>
                <w:b/>
                <w:bCs/>
                <w:kern w:val="0"/>
                <w:sz w:val="32"/>
                <w:szCs w:val="32"/>
              </w:rPr>
            </w:pPr>
          </w:p>
          <w:p>
            <w:pPr>
              <w:widowControl/>
              <w:jc w:val="center"/>
              <w:rPr>
                <w:rFonts w:ascii="楷体" w:hAnsi="楷体" w:eastAsia="楷体" w:cs="Times New Roman"/>
                <w:b/>
                <w:bCs/>
                <w:kern w:val="0"/>
                <w:sz w:val="32"/>
                <w:szCs w:val="32"/>
              </w:rPr>
            </w:pPr>
            <w:r>
              <w:rPr>
                <w:rFonts w:hint="eastAsia" w:ascii="楷体" w:hAnsi="楷体" w:eastAsia="楷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6219" w:type="dxa"/>
            <w:gridSpan w:val="2"/>
            <w:tcBorders>
              <w:top w:val="nil"/>
              <w:left w:val="nil"/>
              <w:bottom w:val="nil"/>
              <w:right w:val="nil"/>
            </w:tcBorders>
            <w:vAlign w:val="center"/>
          </w:tcPr>
          <w:p>
            <w:pPr>
              <w:widowControl/>
              <w:jc w:val="left"/>
              <w:rPr>
                <w:rFonts w:cs="Times New Roman" w:asciiTheme="minorEastAsia" w:hAnsiTheme="minorEastAsia"/>
                <w:kern w:val="0"/>
              </w:rPr>
            </w:pPr>
            <w:r>
              <w:rPr>
                <w:rFonts w:hint="eastAsia" w:cs="宋体" w:asciiTheme="minorEastAsia" w:hAnsiTheme="minorEastAsia"/>
                <w:kern w:val="0"/>
              </w:rPr>
              <w:t>编制部门：成安县文化广电和旅游局</w:t>
            </w:r>
          </w:p>
        </w:tc>
        <w:tc>
          <w:tcPr>
            <w:tcW w:w="3844" w:type="dxa"/>
            <w:tcBorders>
              <w:top w:val="nil"/>
              <w:left w:val="nil"/>
              <w:bottom w:val="nil"/>
              <w:right w:val="nil"/>
            </w:tcBorders>
            <w:vAlign w:val="center"/>
          </w:tcPr>
          <w:p>
            <w:pPr>
              <w:widowControl/>
              <w:ind w:firstLine="600" w:firstLineChars="250"/>
              <w:jc w:val="left"/>
              <w:rPr>
                <w:rFonts w:cs="宋体" w:asciiTheme="minorEastAsia" w:hAnsiTheme="minorEastAsia"/>
                <w:kern w:val="0"/>
              </w:rPr>
            </w:pPr>
            <w:r>
              <w:rPr>
                <w:rFonts w:hint="eastAsia" w:cs="宋体" w:asciiTheme="minorEastAsia" w:hAnsiTheme="minorEastAsia"/>
                <w:kern w:val="0"/>
              </w:rPr>
              <w:t>截止时间：20</w:t>
            </w:r>
            <w:r>
              <w:rPr>
                <w:rFonts w:hint="eastAsia" w:cs="宋体" w:asciiTheme="minorEastAsia" w:hAnsiTheme="minorEastAsia"/>
                <w:kern w:val="0"/>
                <w:lang w:val="en-US" w:eastAsia="zh-CN"/>
              </w:rPr>
              <w:t>21</w:t>
            </w:r>
            <w:r>
              <w:rPr>
                <w:rFonts w:hint="eastAsia" w:cs="宋体" w:asciiTheme="minorEastAsia" w:hAnsiTheme="minorEastAsia"/>
                <w:kern w:val="0"/>
              </w:rPr>
              <w:t>年</w:t>
            </w:r>
            <w:r>
              <w:rPr>
                <w:rFonts w:cs="宋体" w:asciiTheme="minorEastAsia" w:hAnsiTheme="minorEastAsia"/>
                <w:kern w:val="0"/>
              </w:rPr>
              <w:t>12</w:t>
            </w:r>
            <w:r>
              <w:rPr>
                <w:rFonts w:hint="eastAsia" w:cs="宋体" w:asciiTheme="minorEastAsia" w:hAnsiTheme="minorEastAsia"/>
                <w:kern w:val="0"/>
              </w:rPr>
              <w:t>月</w:t>
            </w:r>
            <w:r>
              <w:rPr>
                <w:rFonts w:cs="宋体" w:asciiTheme="minorEastAsia" w:hAnsiTheme="minorEastAsia"/>
                <w:kern w:val="0"/>
              </w:rPr>
              <w:t>31</w:t>
            </w:r>
            <w:r>
              <w:rPr>
                <w:rFonts w:hint="eastAsia" w:cs="宋体" w:asciiTheme="minorEastAsia" w:hAnsiTheme="minorEastAsia"/>
                <w:kern w:val="0"/>
              </w:rPr>
              <w:t>日</w:t>
            </w:r>
          </w:p>
        </w:tc>
      </w:tr>
      <w:tr>
        <w:tblPrEx>
          <w:tblCellMar>
            <w:top w:w="0" w:type="dxa"/>
            <w:left w:w="108" w:type="dxa"/>
            <w:bottom w:w="0" w:type="dxa"/>
            <w:right w:w="108" w:type="dxa"/>
          </w:tblCellMar>
        </w:tblPrEx>
        <w:trPr>
          <w:trHeight w:val="645" w:hRule="atLeast"/>
        </w:trPr>
        <w:tc>
          <w:tcPr>
            <w:tcW w:w="4802"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b/>
                <w:bCs/>
                <w:kern w:val="0"/>
              </w:rPr>
            </w:pPr>
            <w:r>
              <w:rPr>
                <w:rFonts w:hint="eastAsia" w:cs="宋体" w:asciiTheme="minorEastAsia" w:hAnsiTheme="minorEastAsia"/>
                <w:b/>
                <w:bCs/>
                <w:kern w:val="0"/>
              </w:rPr>
              <w:t>项目</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cs="Times New Roman" w:asciiTheme="minorEastAsia" w:hAnsiTheme="minorEastAsia"/>
                <w:b/>
                <w:bCs/>
                <w:kern w:val="0"/>
              </w:rPr>
            </w:pPr>
            <w:r>
              <w:rPr>
                <w:rFonts w:hint="eastAsia" w:cs="宋体" w:asciiTheme="minorEastAsia" w:hAnsiTheme="minorEastAsia"/>
                <w:b/>
                <w:bCs/>
                <w:kern w:val="0"/>
              </w:rPr>
              <w:t>数量</w:t>
            </w:r>
          </w:p>
        </w:tc>
        <w:tc>
          <w:tcPr>
            <w:tcW w:w="3844" w:type="dxa"/>
            <w:tcBorders>
              <w:top w:val="single" w:color="auto" w:sz="4" w:space="0"/>
              <w:left w:val="nil"/>
              <w:bottom w:val="single" w:color="auto" w:sz="4" w:space="0"/>
              <w:right w:val="single" w:color="auto" w:sz="4" w:space="0"/>
            </w:tcBorders>
            <w:vAlign w:val="center"/>
          </w:tcPr>
          <w:p>
            <w:pPr>
              <w:widowControl/>
              <w:jc w:val="center"/>
              <w:rPr>
                <w:rFonts w:cs="Times New Roman" w:asciiTheme="minorEastAsia" w:hAnsiTheme="minorEastAsia"/>
                <w:b/>
                <w:bCs/>
                <w:kern w:val="0"/>
              </w:rPr>
            </w:pPr>
            <w:r>
              <w:rPr>
                <w:rFonts w:hint="eastAsia" w:cs="宋体" w:asciiTheme="minorEastAsia" w:hAnsiTheme="minorEastAsia"/>
                <w:b/>
                <w:bCs/>
                <w:kern w:val="0"/>
              </w:rPr>
              <w:t>价值（金额单位：万元）</w:t>
            </w:r>
          </w:p>
        </w:tc>
      </w:tr>
      <w:tr>
        <w:tblPrEx>
          <w:tblCellMar>
            <w:top w:w="0" w:type="dxa"/>
            <w:left w:w="108" w:type="dxa"/>
            <w:bottom w:w="0" w:type="dxa"/>
            <w:right w:w="108" w:type="dxa"/>
          </w:tblCellMar>
        </w:tblPrEx>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宋体" w:asciiTheme="minorEastAsia" w:hAnsiTheme="minorEastAsia"/>
                <w:kern w:val="0"/>
              </w:rPr>
              <w:t>资产总额</w:t>
            </w:r>
          </w:p>
        </w:tc>
        <w:tc>
          <w:tcPr>
            <w:tcW w:w="14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rPr>
            </w:pPr>
            <w:r>
              <w:rPr>
                <w:rFonts w:cs="宋体" w:asciiTheme="minorEastAsia" w:hAnsiTheme="minorEastAsia"/>
                <w:kern w:val="0"/>
              </w:rPr>
              <w:t>——</w:t>
            </w:r>
          </w:p>
        </w:tc>
        <w:tc>
          <w:tcPr>
            <w:tcW w:w="38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rPr>
            </w:pPr>
            <w:r>
              <w:rPr>
                <w:rFonts w:hint="eastAsia" w:cs="宋体" w:asciiTheme="minorEastAsia" w:hAnsiTheme="minorEastAsia"/>
                <w:kern w:val="0"/>
              </w:rPr>
              <w:t>19.7</w:t>
            </w:r>
          </w:p>
        </w:tc>
      </w:tr>
      <w:tr>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rPr>
            </w:pPr>
            <w:r>
              <w:rPr>
                <w:rFonts w:cs="宋体" w:asciiTheme="minorEastAsia" w:hAnsiTheme="minorEastAsia"/>
                <w:kern w:val="0"/>
              </w:rPr>
              <w:t>1</w:t>
            </w:r>
            <w:r>
              <w:rPr>
                <w:rFonts w:hint="eastAsia" w:cs="宋体" w:asciiTheme="minorEastAsia" w:hAnsiTheme="minorEastAsia"/>
                <w:kern w:val="0"/>
              </w:rPr>
              <w:t>、房屋（平方米）</w:t>
            </w:r>
          </w:p>
        </w:tc>
        <w:tc>
          <w:tcPr>
            <w:tcW w:w="1417"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100</w:t>
            </w:r>
          </w:p>
        </w:tc>
        <w:tc>
          <w:tcPr>
            <w:tcW w:w="3844"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占用文化馆100平方米办公</w:t>
            </w:r>
          </w:p>
        </w:tc>
      </w:tr>
      <w:tr>
        <w:tblPrEx>
          <w:tblCellMar>
            <w:top w:w="0" w:type="dxa"/>
            <w:left w:w="108" w:type="dxa"/>
            <w:bottom w:w="0" w:type="dxa"/>
            <w:right w:w="108" w:type="dxa"/>
          </w:tblCellMar>
        </w:tblPrEx>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rPr>
            </w:pPr>
            <w:r>
              <w:rPr>
                <w:rFonts w:hint="eastAsia" w:cs="宋体" w:asciiTheme="minorEastAsia" w:hAnsiTheme="minorEastAsia"/>
                <w:kern w:val="0"/>
              </w:rPr>
              <w:t>其中：办公用房（平方米）</w:t>
            </w:r>
          </w:p>
        </w:tc>
        <w:tc>
          <w:tcPr>
            <w:tcW w:w="1417"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100</w:t>
            </w:r>
          </w:p>
        </w:tc>
        <w:tc>
          <w:tcPr>
            <w:tcW w:w="3844"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p>
        </w:tc>
      </w:tr>
      <w:tr>
        <w:tblPrEx>
          <w:tblCellMar>
            <w:top w:w="0" w:type="dxa"/>
            <w:left w:w="108" w:type="dxa"/>
            <w:bottom w:w="0" w:type="dxa"/>
            <w:right w:w="108" w:type="dxa"/>
          </w:tblCellMar>
        </w:tblPrEx>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rPr>
            </w:pPr>
            <w:r>
              <w:rPr>
                <w:rFonts w:cs="宋体" w:asciiTheme="minorEastAsia" w:hAnsiTheme="minorEastAsia"/>
                <w:kern w:val="0"/>
              </w:rPr>
              <w:t>2</w:t>
            </w:r>
            <w:r>
              <w:rPr>
                <w:rFonts w:hint="eastAsia" w:cs="宋体" w:asciiTheme="minorEastAsia" w:hAnsiTheme="minorEastAsia"/>
                <w:kern w:val="0"/>
              </w:rPr>
              <w:t>、车辆（台、辆）</w:t>
            </w:r>
          </w:p>
        </w:tc>
        <w:tc>
          <w:tcPr>
            <w:tcW w:w="1417"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1</w:t>
            </w:r>
          </w:p>
        </w:tc>
        <w:tc>
          <w:tcPr>
            <w:tcW w:w="3844"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13.2</w:t>
            </w:r>
          </w:p>
        </w:tc>
      </w:tr>
      <w:tr>
        <w:tblPrEx>
          <w:tblCellMar>
            <w:top w:w="0" w:type="dxa"/>
            <w:left w:w="108" w:type="dxa"/>
            <w:bottom w:w="0" w:type="dxa"/>
            <w:right w:w="108" w:type="dxa"/>
          </w:tblCellMar>
        </w:tblPrEx>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rPr>
            </w:pPr>
            <w:r>
              <w:rPr>
                <w:rFonts w:cs="宋体" w:asciiTheme="minorEastAsia" w:hAnsiTheme="minorEastAsia"/>
                <w:kern w:val="0"/>
              </w:rPr>
              <w:t>3</w:t>
            </w:r>
            <w:r>
              <w:rPr>
                <w:rFonts w:hint="eastAsia" w:cs="宋体" w:asciiTheme="minorEastAsia" w:hAnsiTheme="minorEastAsia"/>
                <w:kern w:val="0"/>
              </w:rPr>
              <w:t>、单价在</w:t>
            </w:r>
            <w:r>
              <w:rPr>
                <w:rFonts w:cs="宋体" w:asciiTheme="minorEastAsia" w:hAnsiTheme="minorEastAsia"/>
                <w:kern w:val="0"/>
              </w:rPr>
              <w:t>50</w:t>
            </w:r>
            <w:r>
              <w:rPr>
                <w:rFonts w:hint="eastAsia" w:cs="宋体" w:asciiTheme="minorEastAsia" w:hAnsiTheme="minorEastAsia"/>
                <w:kern w:val="0"/>
              </w:rPr>
              <w:t>万元以上的设备</w:t>
            </w:r>
          </w:p>
        </w:tc>
        <w:tc>
          <w:tcPr>
            <w:tcW w:w="1417"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p>
        </w:tc>
        <w:tc>
          <w:tcPr>
            <w:tcW w:w="3844"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p>
        </w:tc>
      </w:tr>
      <w:tr>
        <w:tblPrEx>
          <w:tblCellMar>
            <w:top w:w="0" w:type="dxa"/>
            <w:left w:w="108" w:type="dxa"/>
            <w:bottom w:w="0" w:type="dxa"/>
            <w:right w:w="108" w:type="dxa"/>
          </w:tblCellMar>
        </w:tblPrEx>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rPr>
            </w:pPr>
            <w:r>
              <w:rPr>
                <w:rFonts w:cs="宋体" w:asciiTheme="minorEastAsia" w:hAnsiTheme="minorEastAsia"/>
                <w:kern w:val="0"/>
              </w:rPr>
              <w:t>4</w:t>
            </w:r>
            <w:r>
              <w:rPr>
                <w:rFonts w:hint="eastAsia" w:cs="宋体" w:asciiTheme="minorEastAsia" w:hAnsiTheme="minorEastAsia"/>
                <w:kern w:val="0"/>
              </w:rPr>
              <w:t>、其他固定资产</w:t>
            </w:r>
          </w:p>
        </w:tc>
        <w:tc>
          <w:tcPr>
            <w:tcW w:w="1417"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10</w:t>
            </w:r>
          </w:p>
        </w:tc>
        <w:tc>
          <w:tcPr>
            <w:tcW w:w="3844"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6.5</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ascii="方正小标宋_GBK" w:hAnsi="方正小标宋_GBK" w:eastAsia="方正小标宋_GBK" w:cs="方正小标宋_GBK"/>
          <w:color w:val="000000"/>
          <w:sz w:val="36"/>
          <w:highlight w:val="none"/>
        </w:r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ascii="方正小标宋_GBK" w:hAnsi="方正小标宋_GBK" w:eastAsia="方正小标宋_GBK" w:cs="方正小标宋_GBK"/>
          <w:color w:val="000000"/>
          <w:sz w:val="36"/>
          <w:highlight w:val="none"/>
        </w:rPr>
      </w:pPr>
    </w:p>
    <w:p>
      <w:pPr>
        <w:spacing w:before="0" w:after="0"/>
        <w:ind w:firstLine="640"/>
        <w:jc w:val="left"/>
        <w:outlineLvl w:val="9"/>
        <w:rPr>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6" w:name="_Toc_3_3_0000000017"/>
      <w:r>
        <w:rPr>
          <w:rFonts w:ascii="黑体" w:hAnsi="黑体" w:eastAsia="黑体" w:cs="黑体"/>
          <w:color w:val="000000"/>
          <w:sz w:val="32"/>
        </w:rPr>
        <w:t>八、名词解释</w:t>
      </w:r>
      <w:bookmarkEnd w:id="16"/>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7" w:name="_Toc_3_3_0000000018"/>
      <w:r>
        <w:rPr>
          <w:rFonts w:ascii="黑体" w:hAnsi="黑体" w:eastAsia="黑体" w:cs="黑体"/>
          <w:color w:val="000000"/>
          <w:sz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7E8C9"/>
    <w:multiLevelType w:val="singleLevel"/>
    <w:tmpl w:val="BC67E8C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ZmVmZTdlZDEzYTQ1OTk1NmNlODA2ODlhNGEyMjUifQ=="/>
  </w:docVars>
  <w:rsids>
    <w:rsidRoot w:val="00000000"/>
    <w:rsid w:val="006535FE"/>
    <w:rsid w:val="039A5D8E"/>
    <w:rsid w:val="03D81528"/>
    <w:rsid w:val="03E27E9F"/>
    <w:rsid w:val="05C432C0"/>
    <w:rsid w:val="08311D88"/>
    <w:rsid w:val="0AAF7892"/>
    <w:rsid w:val="0B530CA8"/>
    <w:rsid w:val="1CD7747E"/>
    <w:rsid w:val="1E504226"/>
    <w:rsid w:val="22687088"/>
    <w:rsid w:val="298452FD"/>
    <w:rsid w:val="29D44EBC"/>
    <w:rsid w:val="29F029E0"/>
    <w:rsid w:val="34795F18"/>
    <w:rsid w:val="3583008C"/>
    <w:rsid w:val="39087F98"/>
    <w:rsid w:val="3A54487C"/>
    <w:rsid w:val="3AE93CCE"/>
    <w:rsid w:val="3D83454E"/>
    <w:rsid w:val="41E44B72"/>
    <w:rsid w:val="4A776BBE"/>
    <w:rsid w:val="526F68FC"/>
    <w:rsid w:val="543D1653"/>
    <w:rsid w:val="54D24ABF"/>
    <w:rsid w:val="54ED4C48"/>
    <w:rsid w:val="5A1479A5"/>
    <w:rsid w:val="629E217A"/>
    <w:rsid w:val="65B02D21"/>
    <w:rsid w:val="680975BA"/>
    <w:rsid w:val="684F009B"/>
    <w:rsid w:val="68E63EB3"/>
    <w:rsid w:val="690C3919"/>
    <w:rsid w:val="696375D8"/>
    <w:rsid w:val="6C8D40DA"/>
    <w:rsid w:val="73474F4B"/>
    <w:rsid w:val="738952DC"/>
    <w:rsid w:val="76C6463F"/>
    <w:rsid w:val="789619E5"/>
    <w:rsid w:val="79210E86"/>
    <w:rsid w:val="7A681935"/>
    <w:rsid w:val="7D8370C8"/>
    <w:rsid w:val="EFBFA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toc 3"/>
    <w:basedOn w:val="1"/>
    <w:next w:val="1"/>
    <w:qFormat/>
    <w:uiPriority w:val="0"/>
    <w:pPr>
      <w:ind w:left="480"/>
    </w:pPr>
  </w:style>
  <w:style w:type="paragraph" w:styleId="4">
    <w:name w:val="Plain Text"/>
    <w:basedOn w:val="1"/>
    <w:unhideWhenUsed/>
    <w:qFormat/>
    <w:uiPriority w:val="0"/>
    <w:rPr>
      <w:rFonts w:ascii="宋体" w:hAnsi="Courier New" w:eastAsia="宋体" w:cs="Courier New"/>
      <w:kern w:val="0"/>
      <w:sz w:val="20"/>
      <w:szCs w:val="21"/>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12434</Words>
  <Characters>14161</Characters>
  <TotalTime>3</TotalTime>
  <ScaleCrop>false</ScaleCrop>
  <LinksUpToDate>false</LinksUpToDate>
  <CharactersWithSpaces>14349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2022-03-18T00:18:00Z</dcterms:created>
  <dc:creator>Administrator</dc:creator>
  <cp:lastModifiedBy>Administrator</cp:lastModifiedBy>
  <dcterms:modified xsi:type="dcterms:W3CDTF">2023-06-14T02:39:01Z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EA6F4658A31D47E68E3F0986A7E42F9A_13</vt:lpwstr>
  </property>
</Properties>
</file>