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成安县财政局</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2</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4</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4</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4</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4</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5</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5</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5</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5</w:t>
      </w:r>
      <w:r>
        <w:rPr>
          <w:rFonts w:hint="eastAsia"/>
          <w:lang w:eastAsia="zh-CN"/>
        </w:rPr>
        <w:fldChar w:fldCharType="end"/>
      </w:r>
      <w:r>
        <w:rPr>
          <w:rFonts w:hint="eastAsia"/>
          <w:lang w:eastAsia="zh-CN"/>
        </w:rPr>
        <w:t>8</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318成安县财政局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1622.14</w:t>
            </w:r>
          </w:p>
        </w:tc>
        <w:tc>
          <w:tcPr>
            <w:tcW w:w="1971" w:type="dxa"/>
            <w:vAlign w:val="center"/>
          </w:tcPr>
          <w:p>
            <w:pPr>
              <w:pStyle w:val="14"/>
            </w:pPr>
            <w:r>
              <w:t>一、一般公共服务支出</w:t>
            </w:r>
          </w:p>
        </w:tc>
        <w:tc>
          <w:tcPr>
            <w:tcW w:w="1971" w:type="dxa"/>
            <w:vAlign w:val="center"/>
          </w:tcPr>
          <w:p>
            <w:pPr>
              <w:pStyle w:val="13"/>
            </w:pPr>
            <w:r>
              <w:t>1513.36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w:t>
            </w:r>
            <w:r>
              <w:rPr>
                <w:rFonts w:hint="eastAsia"/>
                <w:lang w:eastAsia="zh-CN"/>
              </w:rPr>
              <w:t>部门</w:t>
            </w:r>
            <w:r>
              <w:t>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w:t>
            </w:r>
            <w:r>
              <w:rPr>
                <w:rFonts w:hint="eastAsia"/>
                <w:lang w:eastAsia="zh-CN"/>
              </w:rPr>
              <w:t>部门</w:t>
            </w:r>
            <w:r>
              <w:t>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1622.14</w:t>
            </w:r>
          </w:p>
        </w:tc>
        <w:tc>
          <w:tcPr>
            <w:tcW w:w="1971" w:type="dxa"/>
            <w:vAlign w:val="center"/>
          </w:tcPr>
          <w:p>
            <w:pPr>
              <w:pStyle w:val="16"/>
            </w:pPr>
            <w:r>
              <w:t>本年支出合计</w:t>
            </w:r>
          </w:p>
        </w:tc>
        <w:tc>
          <w:tcPr>
            <w:tcW w:w="1971" w:type="dxa"/>
            <w:vAlign w:val="center"/>
          </w:tcPr>
          <w:p>
            <w:pPr>
              <w:pStyle w:val="17"/>
            </w:pPr>
            <w:r>
              <w:t>1622.14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1622.14</w:t>
            </w:r>
          </w:p>
        </w:tc>
        <w:tc>
          <w:tcPr>
            <w:tcW w:w="1971" w:type="dxa"/>
            <w:vAlign w:val="center"/>
          </w:tcPr>
          <w:p>
            <w:pPr>
              <w:pStyle w:val="16"/>
            </w:pPr>
            <w:r>
              <w:t>支出总计</w:t>
            </w:r>
          </w:p>
        </w:tc>
        <w:tc>
          <w:tcPr>
            <w:tcW w:w="1971" w:type="dxa"/>
            <w:vAlign w:val="center"/>
          </w:tcPr>
          <w:p>
            <w:pPr>
              <w:pStyle w:val="17"/>
            </w:pPr>
            <w:r>
              <w:t>1622.14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318成安县财政局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w:t>
            </w:r>
            <w:r>
              <w:rPr>
                <w:rFonts w:hint="eastAsia"/>
                <w:lang w:eastAsia="zh-CN"/>
              </w:rPr>
              <w:t>部门</w:t>
            </w:r>
            <w:r>
              <w:t>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1622.14</w:t>
            </w:r>
          </w:p>
        </w:tc>
        <w:tc>
          <w:tcPr>
            <w:tcW w:w="758" w:type="dxa"/>
            <w:vAlign w:val="center"/>
          </w:tcPr>
          <w:p>
            <w:pPr>
              <w:pStyle w:val="17"/>
            </w:pPr>
            <w:r>
              <w:t>1622.14</w:t>
            </w:r>
          </w:p>
        </w:tc>
        <w:tc>
          <w:tcPr>
            <w:tcW w:w="758" w:type="dxa"/>
            <w:vAlign w:val="center"/>
          </w:tcPr>
          <w:p>
            <w:pPr>
              <w:pStyle w:val="17"/>
            </w:pPr>
            <w:r>
              <w:t>1622.14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1513.36</w:t>
            </w:r>
          </w:p>
        </w:tc>
        <w:tc>
          <w:tcPr>
            <w:tcW w:w="758" w:type="dxa"/>
            <w:vAlign w:val="center"/>
          </w:tcPr>
          <w:p>
            <w:pPr>
              <w:pStyle w:val="13"/>
            </w:pPr>
            <w:r>
              <w:t>1513.36</w:t>
            </w:r>
          </w:p>
        </w:tc>
        <w:tc>
          <w:tcPr>
            <w:tcW w:w="758" w:type="dxa"/>
            <w:vAlign w:val="center"/>
          </w:tcPr>
          <w:p>
            <w:pPr>
              <w:pStyle w:val="13"/>
            </w:pPr>
            <w:r>
              <w:t>1513.36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20106</w:t>
            </w:r>
          </w:p>
        </w:tc>
        <w:tc>
          <w:tcPr>
            <w:tcW w:w="758" w:type="dxa"/>
            <w:vAlign w:val="center"/>
          </w:tcPr>
          <w:p>
            <w:pPr>
              <w:pStyle w:val="14"/>
            </w:pPr>
            <w:r>
              <w:t>财政事务</w:t>
            </w:r>
          </w:p>
        </w:tc>
        <w:tc>
          <w:tcPr>
            <w:tcW w:w="758" w:type="dxa"/>
            <w:vAlign w:val="center"/>
          </w:tcPr>
          <w:p>
            <w:pPr>
              <w:pStyle w:val="13"/>
            </w:pPr>
            <w:r>
              <w:t>1513.36</w:t>
            </w:r>
          </w:p>
        </w:tc>
        <w:tc>
          <w:tcPr>
            <w:tcW w:w="758" w:type="dxa"/>
            <w:vAlign w:val="center"/>
          </w:tcPr>
          <w:p>
            <w:pPr>
              <w:pStyle w:val="13"/>
            </w:pPr>
            <w:r>
              <w:t>1513.36</w:t>
            </w:r>
          </w:p>
        </w:tc>
        <w:tc>
          <w:tcPr>
            <w:tcW w:w="758" w:type="dxa"/>
            <w:vAlign w:val="center"/>
          </w:tcPr>
          <w:p>
            <w:pPr>
              <w:pStyle w:val="13"/>
            </w:pPr>
            <w:r>
              <w:t>1513.36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2010601</w:t>
            </w:r>
          </w:p>
        </w:tc>
        <w:tc>
          <w:tcPr>
            <w:tcW w:w="758" w:type="dxa"/>
            <w:vAlign w:val="center"/>
          </w:tcPr>
          <w:p>
            <w:pPr>
              <w:pStyle w:val="14"/>
            </w:pPr>
            <w:r>
              <w:t>行政运行</w:t>
            </w:r>
          </w:p>
        </w:tc>
        <w:tc>
          <w:tcPr>
            <w:tcW w:w="758" w:type="dxa"/>
            <w:vAlign w:val="center"/>
          </w:tcPr>
          <w:p>
            <w:pPr>
              <w:pStyle w:val="13"/>
            </w:pPr>
            <w:r>
              <w:t>913.36</w:t>
            </w:r>
          </w:p>
        </w:tc>
        <w:tc>
          <w:tcPr>
            <w:tcW w:w="758" w:type="dxa"/>
            <w:vAlign w:val="center"/>
          </w:tcPr>
          <w:p>
            <w:pPr>
              <w:pStyle w:val="13"/>
            </w:pPr>
            <w:r>
              <w:t>913.36</w:t>
            </w:r>
          </w:p>
        </w:tc>
        <w:tc>
          <w:tcPr>
            <w:tcW w:w="758" w:type="dxa"/>
            <w:vAlign w:val="center"/>
          </w:tcPr>
          <w:p>
            <w:pPr>
              <w:pStyle w:val="13"/>
            </w:pPr>
            <w:r>
              <w:t>913.36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2010602</w:t>
            </w:r>
          </w:p>
        </w:tc>
        <w:tc>
          <w:tcPr>
            <w:tcW w:w="758" w:type="dxa"/>
            <w:vAlign w:val="center"/>
          </w:tcPr>
          <w:p>
            <w:pPr>
              <w:pStyle w:val="14"/>
            </w:pPr>
            <w:r>
              <w:t>一般行政管理事务</w:t>
            </w:r>
          </w:p>
        </w:tc>
        <w:tc>
          <w:tcPr>
            <w:tcW w:w="758" w:type="dxa"/>
            <w:vAlign w:val="center"/>
          </w:tcPr>
          <w:p>
            <w:pPr>
              <w:pStyle w:val="13"/>
            </w:pPr>
            <w:r>
              <w:t>600.00</w:t>
            </w:r>
          </w:p>
        </w:tc>
        <w:tc>
          <w:tcPr>
            <w:tcW w:w="758" w:type="dxa"/>
            <w:vAlign w:val="center"/>
          </w:tcPr>
          <w:p>
            <w:pPr>
              <w:pStyle w:val="13"/>
            </w:pPr>
            <w:r>
              <w:t>600.00</w:t>
            </w:r>
          </w:p>
        </w:tc>
        <w:tc>
          <w:tcPr>
            <w:tcW w:w="758" w:type="dxa"/>
            <w:vAlign w:val="center"/>
          </w:tcPr>
          <w:p>
            <w:pPr>
              <w:pStyle w:val="13"/>
            </w:pPr>
            <w:r>
              <w:t>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63.33</w:t>
            </w:r>
          </w:p>
        </w:tc>
        <w:tc>
          <w:tcPr>
            <w:tcW w:w="758" w:type="dxa"/>
            <w:vAlign w:val="center"/>
          </w:tcPr>
          <w:p>
            <w:pPr>
              <w:pStyle w:val="13"/>
            </w:pPr>
            <w:r>
              <w:t>63.33</w:t>
            </w:r>
          </w:p>
        </w:tc>
        <w:tc>
          <w:tcPr>
            <w:tcW w:w="758" w:type="dxa"/>
            <w:vAlign w:val="center"/>
          </w:tcPr>
          <w:p>
            <w:pPr>
              <w:pStyle w:val="13"/>
            </w:pPr>
            <w:r>
              <w:t>63.33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w:t>
            </w:r>
            <w:r>
              <w:rPr>
                <w:rFonts w:hint="eastAsia"/>
                <w:lang w:eastAsia="zh-CN"/>
              </w:rPr>
              <w:t>部门</w:t>
            </w:r>
            <w:r>
              <w:t>养老支出</w:t>
            </w:r>
          </w:p>
        </w:tc>
        <w:tc>
          <w:tcPr>
            <w:tcW w:w="758" w:type="dxa"/>
            <w:vAlign w:val="center"/>
          </w:tcPr>
          <w:p>
            <w:pPr>
              <w:pStyle w:val="13"/>
            </w:pPr>
            <w:r>
              <w:t>53.69</w:t>
            </w:r>
          </w:p>
        </w:tc>
        <w:tc>
          <w:tcPr>
            <w:tcW w:w="758" w:type="dxa"/>
            <w:vAlign w:val="center"/>
          </w:tcPr>
          <w:p>
            <w:pPr>
              <w:pStyle w:val="13"/>
            </w:pPr>
            <w:r>
              <w:t>53.69</w:t>
            </w:r>
          </w:p>
        </w:tc>
        <w:tc>
          <w:tcPr>
            <w:tcW w:w="758" w:type="dxa"/>
            <w:vAlign w:val="center"/>
          </w:tcPr>
          <w:p>
            <w:pPr>
              <w:pStyle w:val="13"/>
            </w:pPr>
            <w:r>
              <w:t>53.69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w:t>
            </w:r>
            <w:r>
              <w:rPr>
                <w:rFonts w:hint="eastAsia"/>
                <w:lang w:eastAsia="zh-CN"/>
              </w:rPr>
              <w:t>部门</w:t>
            </w:r>
            <w:r>
              <w:t>离退休</w:t>
            </w:r>
          </w:p>
        </w:tc>
        <w:tc>
          <w:tcPr>
            <w:tcW w:w="758" w:type="dxa"/>
            <w:vAlign w:val="center"/>
          </w:tcPr>
          <w:p>
            <w:pPr>
              <w:pStyle w:val="13"/>
            </w:pPr>
            <w:r>
              <w:t>20.25</w:t>
            </w:r>
          </w:p>
        </w:tc>
        <w:tc>
          <w:tcPr>
            <w:tcW w:w="758" w:type="dxa"/>
            <w:vAlign w:val="center"/>
          </w:tcPr>
          <w:p>
            <w:pPr>
              <w:pStyle w:val="13"/>
            </w:pPr>
            <w:r>
              <w:t>20.25</w:t>
            </w:r>
          </w:p>
        </w:tc>
        <w:tc>
          <w:tcPr>
            <w:tcW w:w="758" w:type="dxa"/>
            <w:vAlign w:val="center"/>
          </w:tcPr>
          <w:p>
            <w:pPr>
              <w:pStyle w:val="13"/>
            </w:pPr>
            <w:r>
              <w:t>20.25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w:t>
            </w:r>
            <w:r>
              <w:rPr>
                <w:rFonts w:hint="eastAsia"/>
                <w:lang w:eastAsia="zh-CN"/>
              </w:rPr>
              <w:t>部门</w:t>
            </w:r>
            <w:r>
              <w:t>基本养老保险缴费支出</w:t>
            </w:r>
          </w:p>
        </w:tc>
        <w:tc>
          <w:tcPr>
            <w:tcW w:w="758" w:type="dxa"/>
            <w:vAlign w:val="center"/>
          </w:tcPr>
          <w:p>
            <w:pPr>
              <w:pStyle w:val="13"/>
            </w:pPr>
            <w:r>
              <w:t>33.43</w:t>
            </w:r>
          </w:p>
        </w:tc>
        <w:tc>
          <w:tcPr>
            <w:tcW w:w="758" w:type="dxa"/>
            <w:vAlign w:val="center"/>
          </w:tcPr>
          <w:p>
            <w:pPr>
              <w:pStyle w:val="13"/>
            </w:pPr>
            <w:r>
              <w:t>33.43</w:t>
            </w:r>
          </w:p>
        </w:tc>
        <w:tc>
          <w:tcPr>
            <w:tcW w:w="758" w:type="dxa"/>
            <w:vAlign w:val="center"/>
          </w:tcPr>
          <w:p>
            <w:pPr>
              <w:pStyle w:val="13"/>
            </w:pPr>
            <w:r>
              <w:t>33.43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9.64</w:t>
            </w:r>
          </w:p>
        </w:tc>
        <w:tc>
          <w:tcPr>
            <w:tcW w:w="758" w:type="dxa"/>
            <w:vAlign w:val="center"/>
          </w:tcPr>
          <w:p>
            <w:pPr>
              <w:pStyle w:val="13"/>
            </w:pPr>
            <w:r>
              <w:t>9.64</w:t>
            </w:r>
          </w:p>
        </w:tc>
        <w:tc>
          <w:tcPr>
            <w:tcW w:w="758" w:type="dxa"/>
            <w:vAlign w:val="center"/>
          </w:tcPr>
          <w:p>
            <w:pPr>
              <w:pStyle w:val="13"/>
            </w:pPr>
            <w:r>
              <w:t>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9.64</w:t>
            </w:r>
          </w:p>
        </w:tc>
        <w:tc>
          <w:tcPr>
            <w:tcW w:w="758" w:type="dxa"/>
            <w:vAlign w:val="center"/>
          </w:tcPr>
          <w:p>
            <w:pPr>
              <w:pStyle w:val="13"/>
            </w:pPr>
            <w:r>
              <w:t>9.64</w:t>
            </w:r>
          </w:p>
        </w:tc>
        <w:tc>
          <w:tcPr>
            <w:tcW w:w="758" w:type="dxa"/>
            <w:vAlign w:val="center"/>
          </w:tcPr>
          <w:p>
            <w:pPr>
              <w:pStyle w:val="13"/>
            </w:pPr>
            <w:r>
              <w:t>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2101201</w:t>
            </w:r>
          </w:p>
        </w:tc>
        <w:tc>
          <w:tcPr>
            <w:tcW w:w="758" w:type="dxa"/>
            <w:vAlign w:val="center"/>
          </w:tcPr>
          <w:p>
            <w:pPr>
              <w:pStyle w:val="14"/>
            </w:pPr>
            <w:r>
              <w:t>财政对职工基本医疗保险基金的补助</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2130799</w:t>
            </w:r>
          </w:p>
        </w:tc>
        <w:tc>
          <w:tcPr>
            <w:tcW w:w="758" w:type="dxa"/>
            <w:vAlign w:val="center"/>
          </w:tcPr>
          <w:p>
            <w:pPr>
              <w:pStyle w:val="14"/>
            </w:pPr>
            <w:r>
              <w:t>其他农村综合改革支出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1622.14</w:t>
            </w:r>
          </w:p>
        </w:tc>
        <w:tc>
          <w:tcPr>
            <w:tcW w:w="1095" w:type="dxa"/>
            <w:vAlign w:val="center"/>
          </w:tcPr>
          <w:p>
            <w:pPr>
              <w:pStyle w:val="17"/>
            </w:pPr>
            <w:r>
              <w:t>1015.14</w:t>
            </w:r>
          </w:p>
        </w:tc>
        <w:tc>
          <w:tcPr>
            <w:tcW w:w="1095" w:type="dxa"/>
            <w:vAlign w:val="center"/>
          </w:tcPr>
          <w:p>
            <w:pPr>
              <w:pStyle w:val="17"/>
            </w:pPr>
            <w:r>
              <w:t>607.00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1513.36</w:t>
            </w:r>
          </w:p>
        </w:tc>
        <w:tc>
          <w:tcPr>
            <w:tcW w:w="1095" w:type="dxa"/>
            <w:vAlign w:val="center"/>
          </w:tcPr>
          <w:p>
            <w:pPr>
              <w:pStyle w:val="13"/>
            </w:pPr>
            <w:r>
              <w:t>913.36</w:t>
            </w:r>
          </w:p>
        </w:tc>
        <w:tc>
          <w:tcPr>
            <w:tcW w:w="1095" w:type="dxa"/>
            <w:vAlign w:val="center"/>
          </w:tcPr>
          <w:p>
            <w:pPr>
              <w:pStyle w:val="13"/>
            </w:pPr>
            <w:r>
              <w:t>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20106</w:t>
            </w:r>
          </w:p>
        </w:tc>
        <w:tc>
          <w:tcPr>
            <w:tcW w:w="1095" w:type="dxa"/>
            <w:vAlign w:val="center"/>
          </w:tcPr>
          <w:p>
            <w:pPr>
              <w:pStyle w:val="14"/>
            </w:pPr>
            <w:r>
              <w:t>财政事务</w:t>
            </w:r>
          </w:p>
        </w:tc>
        <w:tc>
          <w:tcPr>
            <w:tcW w:w="1095" w:type="dxa"/>
            <w:vAlign w:val="center"/>
          </w:tcPr>
          <w:p>
            <w:pPr>
              <w:pStyle w:val="13"/>
            </w:pPr>
            <w:r>
              <w:t>1513.36</w:t>
            </w:r>
          </w:p>
        </w:tc>
        <w:tc>
          <w:tcPr>
            <w:tcW w:w="1095" w:type="dxa"/>
            <w:vAlign w:val="center"/>
          </w:tcPr>
          <w:p>
            <w:pPr>
              <w:pStyle w:val="13"/>
            </w:pPr>
            <w:r>
              <w:t>913.36</w:t>
            </w:r>
          </w:p>
        </w:tc>
        <w:tc>
          <w:tcPr>
            <w:tcW w:w="1095" w:type="dxa"/>
            <w:vAlign w:val="center"/>
          </w:tcPr>
          <w:p>
            <w:pPr>
              <w:pStyle w:val="13"/>
            </w:pPr>
            <w:r>
              <w:t>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2010601</w:t>
            </w:r>
          </w:p>
        </w:tc>
        <w:tc>
          <w:tcPr>
            <w:tcW w:w="1095" w:type="dxa"/>
            <w:vAlign w:val="center"/>
          </w:tcPr>
          <w:p>
            <w:pPr>
              <w:pStyle w:val="14"/>
            </w:pPr>
            <w:r>
              <w:t>行政运行</w:t>
            </w:r>
          </w:p>
        </w:tc>
        <w:tc>
          <w:tcPr>
            <w:tcW w:w="1095" w:type="dxa"/>
            <w:vAlign w:val="center"/>
          </w:tcPr>
          <w:p>
            <w:pPr>
              <w:pStyle w:val="13"/>
            </w:pPr>
            <w:r>
              <w:t>913.36</w:t>
            </w:r>
          </w:p>
        </w:tc>
        <w:tc>
          <w:tcPr>
            <w:tcW w:w="1095" w:type="dxa"/>
            <w:vAlign w:val="center"/>
          </w:tcPr>
          <w:p>
            <w:pPr>
              <w:pStyle w:val="13"/>
            </w:pPr>
            <w:r>
              <w:t>913.36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2010602</w:t>
            </w:r>
          </w:p>
        </w:tc>
        <w:tc>
          <w:tcPr>
            <w:tcW w:w="1095" w:type="dxa"/>
            <w:vAlign w:val="center"/>
          </w:tcPr>
          <w:p>
            <w:pPr>
              <w:pStyle w:val="14"/>
            </w:pPr>
            <w:r>
              <w:t>一般行政管理事务</w:t>
            </w:r>
          </w:p>
        </w:tc>
        <w:tc>
          <w:tcPr>
            <w:tcW w:w="1095" w:type="dxa"/>
            <w:vAlign w:val="center"/>
          </w:tcPr>
          <w:p>
            <w:pPr>
              <w:pStyle w:val="13"/>
            </w:pPr>
            <w:r>
              <w:t>600.00</w:t>
            </w:r>
          </w:p>
        </w:tc>
        <w:tc>
          <w:tcPr>
            <w:tcW w:w="1095" w:type="dxa"/>
            <w:vAlign w:val="center"/>
          </w:tcPr>
          <w:p>
            <w:pPr>
              <w:pStyle w:val="13"/>
            </w:pPr>
          </w:p>
        </w:tc>
        <w:tc>
          <w:tcPr>
            <w:tcW w:w="1095" w:type="dxa"/>
            <w:vAlign w:val="center"/>
          </w:tcPr>
          <w:p>
            <w:pPr>
              <w:pStyle w:val="13"/>
            </w:pPr>
            <w:r>
              <w:t>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63.33</w:t>
            </w:r>
          </w:p>
        </w:tc>
        <w:tc>
          <w:tcPr>
            <w:tcW w:w="1095" w:type="dxa"/>
            <w:vAlign w:val="center"/>
          </w:tcPr>
          <w:p>
            <w:pPr>
              <w:pStyle w:val="13"/>
            </w:pPr>
            <w:r>
              <w:t>63.33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w:t>
            </w:r>
            <w:r>
              <w:rPr>
                <w:rFonts w:hint="eastAsia"/>
                <w:lang w:eastAsia="zh-CN"/>
              </w:rPr>
              <w:t>部门</w:t>
            </w:r>
            <w:r>
              <w:t>养老支出</w:t>
            </w:r>
          </w:p>
        </w:tc>
        <w:tc>
          <w:tcPr>
            <w:tcW w:w="1095" w:type="dxa"/>
            <w:vAlign w:val="center"/>
          </w:tcPr>
          <w:p>
            <w:pPr>
              <w:pStyle w:val="13"/>
            </w:pPr>
            <w:r>
              <w:t>53.69</w:t>
            </w:r>
          </w:p>
        </w:tc>
        <w:tc>
          <w:tcPr>
            <w:tcW w:w="1095" w:type="dxa"/>
            <w:vAlign w:val="center"/>
          </w:tcPr>
          <w:p>
            <w:pPr>
              <w:pStyle w:val="13"/>
            </w:pPr>
            <w:r>
              <w:t>53.69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w:t>
            </w:r>
            <w:r>
              <w:rPr>
                <w:rFonts w:hint="eastAsia"/>
                <w:lang w:eastAsia="zh-CN"/>
              </w:rPr>
              <w:t>部门</w:t>
            </w:r>
            <w:r>
              <w:t>离退休</w:t>
            </w:r>
          </w:p>
        </w:tc>
        <w:tc>
          <w:tcPr>
            <w:tcW w:w="1095" w:type="dxa"/>
            <w:vAlign w:val="center"/>
          </w:tcPr>
          <w:p>
            <w:pPr>
              <w:pStyle w:val="13"/>
            </w:pPr>
            <w:r>
              <w:t>20.25</w:t>
            </w:r>
          </w:p>
        </w:tc>
        <w:tc>
          <w:tcPr>
            <w:tcW w:w="1095" w:type="dxa"/>
            <w:vAlign w:val="center"/>
          </w:tcPr>
          <w:p>
            <w:pPr>
              <w:pStyle w:val="13"/>
            </w:pPr>
            <w:r>
              <w:t>20.25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w:t>
            </w:r>
            <w:r>
              <w:rPr>
                <w:rFonts w:hint="eastAsia"/>
                <w:lang w:eastAsia="zh-CN"/>
              </w:rPr>
              <w:t>部门</w:t>
            </w:r>
            <w:r>
              <w:t>基本养老保险缴费支出</w:t>
            </w:r>
          </w:p>
        </w:tc>
        <w:tc>
          <w:tcPr>
            <w:tcW w:w="1095" w:type="dxa"/>
            <w:vAlign w:val="center"/>
          </w:tcPr>
          <w:p>
            <w:pPr>
              <w:pStyle w:val="13"/>
            </w:pPr>
            <w:r>
              <w:t>33.43</w:t>
            </w:r>
          </w:p>
        </w:tc>
        <w:tc>
          <w:tcPr>
            <w:tcW w:w="1095" w:type="dxa"/>
            <w:vAlign w:val="center"/>
          </w:tcPr>
          <w:p>
            <w:pPr>
              <w:pStyle w:val="13"/>
            </w:pPr>
            <w:r>
              <w:t>33.43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9.64</w:t>
            </w:r>
          </w:p>
        </w:tc>
        <w:tc>
          <w:tcPr>
            <w:tcW w:w="1095" w:type="dxa"/>
            <w:vAlign w:val="center"/>
          </w:tcPr>
          <w:p>
            <w:pPr>
              <w:pStyle w:val="13"/>
            </w:pPr>
            <w:r>
              <w:t>9.64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9.64</w:t>
            </w:r>
          </w:p>
        </w:tc>
        <w:tc>
          <w:tcPr>
            <w:tcW w:w="1095" w:type="dxa"/>
            <w:vAlign w:val="center"/>
          </w:tcPr>
          <w:p>
            <w:pPr>
              <w:pStyle w:val="13"/>
            </w:pPr>
            <w:r>
              <w:t>9.64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16.15</w:t>
            </w:r>
          </w:p>
        </w:tc>
        <w:tc>
          <w:tcPr>
            <w:tcW w:w="1095" w:type="dxa"/>
            <w:vAlign w:val="center"/>
          </w:tcPr>
          <w:p>
            <w:pPr>
              <w:pStyle w:val="13"/>
            </w:pPr>
            <w:r>
              <w:t>16.15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3"/>
            </w:pPr>
            <w:r>
              <w:t>16.15</w:t>
            </w:r>
          </w:p>
        </w:tc>
        <w:tc>
          <w:tcPr>
            <w:tcW w:w="1095" w:type="dxa"/>
            <w:vAlign w:val="center"/>
          </w:tcPr>
          <w:p>
            <w:pPr>
              <w:pStyle w:val="13"/>
            </w:pPr>
            <w:r>
              <w:t>16.15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2101201</w:t>
            </w:r>
          </w:p>
        </w:tc>
        <w:tc>
          <w:tcPr>
            <w:tcW w:w="1095" w:type="dxa"/>
            <w:vAlign w:val="center"/>
          </w:tcPr>
          <w:p>
            <w:pPr>
              <w:pStyle w:val="14"/>
            </w:pPr>
            <w:r>
              <w:t>财政对职工基本医疗保险基金的补助</w:t>
            </w:r>
          </w:p>
        </w:tc>
        <w:tc>
          <w:tcPr>
            <w:tcW w:w="1095" w:type="dxa"/>
            <w:vAlign w:val="center"/>
          </w:tcPr>
          <w:p>
            <w:pPr>
              <w:pStyle w:val="13"/>
            </w:pPr>
            <w:r>
              <w:t>16.15</w:t>
            </w:r>
          </w:p>
        </w:tc>
        <w:tc>
          <w:tcPr>
            <w:tcW w:w="1095" w:type="dxa"/>
            <w:vAlign w:val="center"/>
          </w:tcPr>
          <w:p>
            <w:pPr>
              <w:pStyle w:val="13"/>
            </w:pPr>
            <w:r>
              <w:t>16.15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2130799</w:t>
            </w:r>
          </w:p>
        </w:tc>
        <w:tc>
          <w:tcPr>
            <w:tcW w:w="1095" w:type="dxa"/>
            <w:vAlign w:val="center"/>
          </w:tcPr>
          <w:p>
            <w:pPr>
              <w:pStyle w:val="14"/>
            </w:pPr>
            <w:r>
              <w:t>其他农村综合改革支出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22.30</w:t>
            </w:r>
          </w:p>
        </w:tc>
        <w:tc>
          <w:tcPr>
            <w:tcW w:w="1095" w:type="dxa"/>
            <w:vAlign w:val="center"/>
          </w:tcPr>
          <w:p>
            <w:pPr>
              <w:pStyle w:val="13"/>
            </w:pPr>
            <w:r>
              <w:t>22.30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22.30</w:t>
            </w:r>
          </w:p>
        </w:tc>
        <w:tc>
          <w:tcPr>
            <w:tcW w:w="1095" w:type="dxa"/>
            <w:vAlign w:val="center"/>
          </w:tcPr>
          <w:p>
            <w:pPr>
              <w:pStyle w:val="13"/>
            </w:pPr>
            <w:r>
              <w:t>22.30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22.30</w:t>
            </w:r>
          </w:p>
        </w:tc>
        <w:tc>
          <w:tcPr>
            <w:tcW w:w="1095" w:type="dxa"/>
            <w:vAlign w:val="center"/>
          </w:tcPr>
          <w:p>
            <w:pPr>
              <w:pStyle w:val="13"/>
            </w:pPr>
            <w:r>
              <w:t>22.30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1622.14</w:t>
            </w:r>
          </w:p>
        </w:tc>
        <w:tc>
          <w:tcPr>
            <w:tcW w:w="1232" w:type="dxa"/>
            <w:vAlign w:val="center"/>
          </w:tcPr>
          <w:p>
            <w:pPr>
              <w:pStyle w:val="14"/>
            </w:pPr>
            <w:r>
              <w:t>一、一般公共服务支出</w:t>
            </w:r>
          </w:p>
        </w:tc>
        <w:tc>
          <w:tcPr>
            <w:tcW w:w="1232" w:type="dxa"/>
            <w:vAlign w:val="center"/>
          </w:tcPr>
          <w:p>
            <w:pPr>
              <w:pStyle w:val="13"/>
            </w:pPr>
            <w:r>
              <w:t>1513.36</w:t>
            </w:r>
          </w:p>
        </w:tc>
        <w:tc>
          <w:tcPr>
            <w:tcW w:w="1232" w:type="dxa"/>
            <w:vAlign w:val="center"/>
          </w:tcPr>
          <w:p>
            <w:pPr>
              <w:pStyle w:val="13"/>
            </w:pPr>
            <w:r>
              <w:t>1513.36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63.33</w:t>
            </w:r>
          </w:p>
        </w:tc>
        <w:tc>
          <w:tcPr>
            <w:tcW w:w="1232" w:type="dxa"/>
            <w:vAlign w:val="center"/>
          </w:tcPr>
          <w:p>
            <w:pPr>
              <w:pStyle w:val="13"/>
            </w:pPr>
            <w:r>
              <w:t>63.33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16.15</w:t>
            </w:r>
          </w:p>
        </w:tc>
        <w:tc>
          <w:tcPr>
            <w:tcW w:w="1232" w:type="dxa"/>
            <w:vAlign w:val="center"/>
          </w:tcPr>
          <w:p>
            <w:pPr>
              <w:pStyle w:val="13"/>
            </w:pPr>
            <w:r>
              <w:t>16.15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7.00</w:t>
            </w:r>
          </w:p>
        </w:tc>
        <w:tc>
          <w:tcPr>
            <w:tcW w:w="1232" w:type="dxa"/>
            <w:vAlign w:val="center"/>
          </w:tcPr>
          <w:p>
            <w:pPr>
              <w:pStyle w:val="13"/>
            </w:pPr>
            <w:r>
              <w:t>7.00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22.30</w:t>
            </w:r>
          </w:p>
        </w:tc>
        <w:tc>
          <w:tcPr>
            <w:tcW w:w="1232" w:type="dxa"/>
            <w:vAlign w:val="center"/>
          </w:tcPr>
          <w:p>
            <w:pPr>
              <w:pStyle w:val="13"/>
            </w:pPr>
            <w:r>
              <w:t>22.30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1622.14</w:t>
            </w:r>
          </w:p>
        </w:tc>
        <w:tc>
          <w:tcPr>
            <w:tcW w:w="1232" w:type="dxa"/>
            <w:vAlign w:val="center"/>
          </w:tcPr>
          <w:p>
            <w:pPr>
              <w:pStyle w:val="16"/>
            </w:pPr>
            <w:r>
              <w:t>本年支出合计</w:t>
            </w:r>
          </w:p>
        </w:tc>
        <w:tc>
          <w:tcPr>
            <w:tcW w:w="1232" w:type="dxa"/>
            <w:vAlign w:val="center"/>
          </w:tcPr>
          <w:p>
            <w:pPr>
              <w:pStyle w:val="17"/>
            </w:pPr>
            <w:r>
              <w:t>1622.14</w:t>
            </w:r>
          </w:p>
        </w:tc>
        <w:tc>
          <w:tcPr>
            <w:tcW w:w="1232" w:type="dxa"/>
            <w:vAlign w:val="center"/>
          </w:tcPr>
          <w:p>
            <w:pPr>
              <w:pStyle w:val="17"/>
            </w:pPr>
            <w:r>
              <w:t>1622.14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1622.14</w:t>
            </w:r>
          </w:p>
        </w:tc>
        <w:tc>
          <w:tcPr>
            <w:tcW w:w="1232" w:type="dxa"/>
            <w:vAlign w:val="center"/>
          </w:tcPr>
          <w:p>
            <w:pPr>
              <w:pStyle w:val="16"/>
            </w:pPr>
            <w:r>
              <w:t>支出总计</w:t>
            </w:r>
          </w:p>
        </w:tc>
        <w:tc>
          <w:tcPr>
            <w:tcW w:w="1232" w:type="dxa"/>
            <w:vAlign w:val="center"/>
          </w:tcPr>
          <w:p>
            <w:pPr>
              <w:pStyle w:val="17"/>
            </w:pPr>
            <w:r>
              <w:t>1622.14</w:t>
            </w:r>
          </w:p>
        </w:tc>
        <w:tc>
          <w:tcPr>
            <w:tcW w:w="1232" w:type="dxa"/>
            <w:vAlign w:val="center"/>
          </w:tcPr>
          <w:p>
            <w:pPr>
              <w:pStyle w:val="17"/>
            </w:pPr>
            <w:r>
              <w:t>1622.14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1622.14</w:t>
            </w:r>
          </w:p>
        </w:tc>
        <w:tc>
          <w:tcPr>
            <w:tcW w:w="1643" w:type="dxa"/>
            <w:vAlign w:val="center"/>
          </w:tcPr>
          <w:p>
            <w:pPr>
              <w:pStyle w:val="17"/>
            </w:pPr>
            <w:r>
              <w:t>1015.14</w:t>
            </w:r>
          </w:p>
        </w:tc>
        <w:tc>
          <w:tcPr>
            <w:tcW w:w="1643" w:type="dxa"/>
            <w:vAlign w:val="center"/>
          </w:tcPr>
          <w:p>
            <w:pPr>
              <w:pStyle w:val="17"/>
            </w:pPr>
            <w:r>
              <w:t>607.00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1513.36</w:t>
            </w:r>
          </w:p>
        </w:tc>
        <w:tc>
          <w:tcPr>
            <w:tcW w:w="1643" w:type="dxa"/>
            <w:vAlign w:val="center"/>
          </w:tcPr>
          <w:p>
            <w:pPr>
              <w:pStyle w:val="13"/>
            </w:pPr>
            <w:r>
              <w:t>913.36</w:t>
            </w:r>
          </w:p>
        </w:tc>
        <w:tc>
          <w:tcPr>
            <w:tcW w:w="1643"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20106</w:t>
            </w:r>
          </w:p>
        </w:tc>
        <w:tc>
          <w:tcPr>
            <w:tcW w:w="1643" w:type="dxa"/>
            <w:vAlign w:val="center"/>
          </w:tcPr>
          <w:p>
            <w:pPr>
              <w:pStyle w:val="14"/>
            </w:pPr>
            <w:r>
              <w:t>财政事务</w:t>
            </w:r>
          </w:p>
        </w:tc>
        <w:tc>
          <w:tcPr>
            <w:tcW w:w="1643" w:type="dxa"/>
            <w:vAlign w:val="center"/>
          </w:tcPr>
          <w:p>
            <w:pPr>
              <w:pStyle w:val="13"/>
            </w:pPr>
            <w:r>
              <w:t>1513.36</w:t>
            </w:r>
          </w:p>
        </w:tc>
        <w:tc>
          <w:tcPr>
            <w:tcW w:w="1643" w:type="dxa"/>
            <w:vAlign w:val="center"/>
          </w:tcPr>
          <w:p>
            <w:pPr>
              <w:pStyle w:val="13"/>
            </w:pPr>
            <w:r>
              <w:t>913.36</w:t>
            </w:r>
          </w:p>
        </w:tc>
        <w:tc>
          <w:tcPr>
            <w:tcW w:w="1643"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2010601</w:t>
            </w:r>
          </w:p>
        </w:tc>
        <w:tc>
          <w:tcPr>
            <w:tcW w:w="1643" w:type="dxa"/>
            <w:vAlign w:val="center"/>
          </w:tcPr>
          <w:p>
            <w:pPr>
              <w:pStyle w:val="14"/>
            </w:pPr>
            <w:r>
              <w:t>行政运行</w:t>
            </w:r>
          </w:p>
        </w:tc>
        <w:tc>
          <w:tcPr>
            <w:tcW w:w="1643" w:type="dxa"/>
            <w:vAlign w:val="center"/>
          </w:tcPr>
          <w:p>
            <w:pPr>
              <w:pStyle w:val="13"/>
            </w:pPr>
            <w:r>
              <w:t>913.36</w:t>
            </w:r>
          </w:p>
        </w:tc>
        <w:tc>
          <w:tcPr>
            <w:tcW w:w="1643" w:type="dxa"/>
            <w:vAlign w:val="center"/>
          </w:tcPr>
          <w:p>
            <w:pPr>
              <w:pStyle w:val="13"/>
            </w:pPr>
            <w:r>
              <w:t>913.36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2010602</w:t>
            </w:r>
          </w:p>
        </w:tc>
        <w:tc>
          <w:tcPr>
            <w:tcW w:w="1643" w:type="dxa"/>
            <w:vAlign w:val="center"/>
          </w:tcPr>
          <w:p>
            <w:pPr>
              <w:pStyle w:val="14"/>
            </w:pPr>
            <w:r>
              <w:t>一般行政管理事务</w:t>
            </w:r>
          </w:p>
        </w:tc>
        <w:tc>
          <w:tcPr>
            <w:tcW w:w="1643" w:type="dxa"/>
            <w:vAlign w:val="center"/>
          </w:tcPr>
          <w:p>
            <w:pPr>
              <w:pStyle w:val="13"/>
            </w:pPr>
            <w:r>
              <w:t>600.00</w:t>
            </w:r>
          </w:p>
        </w:tc>
        <w:tc>
          <w:tcPr>
            <w:tcW w:w="1643" w:type="dxa"/>
            <w:vAlign w:val="center"/>
          </w:tcPr>
          <w:p>
            <w:pPr>
              <w:pStyle w:val="13"/>
            </w:pPr>
          </w:p>
        </w:tc>
        <w:tc>
          <w:tcPr>
            <w:tcW w:w="1643"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63.33</w:t>
            </w:r>
          </w:p>
        </w:tc>
        <w:tc>
          <w:tcPr>
            <w:tcW w:w="1643" w:type="dxa"/>
            <w:vAlign w:val="center"/>
          </w:tcPr>
          <w:p>
            <w:pPr>
              <w:pStyle w:val="13"/>
            </w:pPr>
            <w:r>
              <w:t>63.33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w:t>
            </w:r>
            <w:r>
              <w:rPr>
                <w:rFonts w:hint="eastAsia"/>
                <w:lang w:eastAsia="zh-CN"/>
              </w:rPr>
              <w:t>部门</w:t>
            </w:r>
            <w:r>
              <w:t>养老支出</w:t>
            </w:r>
          </w:p>
        </w:tc>
        <w:tc>
          <w:tcPr>
            <w:tcW w:w="1643" w:type="dxa"/>
            <w:vAlign w:val="center"/>
          </w:tcPr>
          <w:p>
            <w:pPr>
              <w:pStyle w:val="13"/>
            </w:pPr>
            <w:r>
              <w:t>53.69</w:t>
            </w:r>
          </w:p>
        </w:tc>
        <w:tc>
          <w:tcPr>
            <w:tcW w:w="1643" w:type="dxa"/>
            <w:vAlign w:val="center"/>
          </w:tcPr>
          <w:p>
            <w:pPr>
              <w:pStyle w:val="13"/>
            </w:pPr>
            <w:r>
              <w:t>53.69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w:t>
            </w:r>
            <w:r>
              <w:rPr>
                <w:rFonts w:hint="eastAsia"/>
                <w:lang w:eastAsia="zh-CN"/>
              </w:rPr>
              <w:t>部门</w:t>
            </w:r>
            <w:r>
              <w:t>离退休</w:t>
            </w:r>
          </w:p>
        </w:tc>
        <w:tc>
          <w:tcPr>
            <w:tcW w:w="1643" w:type="dxa"/>
            <w:vAlign w:val="center"/>
          </w:tcPr>
          <w:p>
            <w:pPr>
              <w:pStyle w:val="13"/>
            </w:pPr>
            <w:r>
              <w:t>20.25</w:t>
            </w:r>
          </w:p>
        </w:tc>
        <w:tc>
          <w:tcPr>
            <w:tcW w:w="1643" w:type="dxa"/>
            <w:vAlign w:val="center"/>
          </w:tcPr>
          <w:p>
            <w:pPr>
              <w:pStyle w:val="13"/>
            </w:pPr>
            <w:r>
              <w:t>20.25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w:t>
            </w:r>
            <w:r>
              <w:rPr>
                <w:rFonts w:hint="eastAsia"/>
                <w:lang w:eastAsia="zh-CN"/>
              </w:rPr>
              <w:t>部门</w:t>
            </w:r>
            <w:r>
              <w:t>基本养老保险缴费支出</w:t>
            </w:r>
          </w:p>
        </w:tc>
        <w:tc>
          <w:tcPr>
            <w:tcW w:w="1643" w:type="dxa"/>
            <w:vAlign w:val="center"/>
          </w:tcPr>
          <w:p>
            <w:pPr>
              <w:pStyle w:val="13"/>
            </w:pPr>
            <w:r>
              <w:t>33.43</w:t>
            </w:r>
          </w:p>
        </w:tc>
        <w:tc>
          <w:tcPr>
            <w:tcW w:w="1643" w:type="dxa"/>
            <w:vAlign w:val="center"/>
          </w:tcPr>
          <w:p>
            <w:pPr>
              <w:pStyle w:val="13"/>
            </w:pPr>
            <w:r>
              <w:t>33.43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9.64</w:t>
            </w:r>
          </w:p>
        </w:tc>
        <w:tc>
          <w:tcPr>
            <w:tcW w:w="1643" w:type="dxa"/>
            <w:vAlign w:val="center"/>
          </w:tcPr>
          <w:p>
            <w:pPr>
              <w:pStyle w:val="13"/>
            </w:pPr>
            <w:r>
              <w:t>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9.64</w:t>
            </w:r>
          </w:p>
        </w:tc>
        <w:tc>
          <w:tcPr>
            <w:tcW w:w="1643" w:type="dxa"/>
            <w:vAlign w:val="center"/>
          </w:tcPr>
          <w:p>
            <w:pPr>
              <w:pStyle w:val="13"/>
            </w:pPr>
            <w:r>
              <w:t>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16.15</w:t>
            </w:r>
          </w:p>
        </w:tc>
        <w:tc>
          <w:tcPr>
            <w:tcW w:w="1643" w:type="dxa"/>
            <w:vAlign w:val="center"/>
          </w:tcPr>
          <w:p>
            <w:pPr>
              <w:pStyle w:val="13"/>
            </w:pPr>
            <w:r>
              <w:t>16.15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21012</w:t>
            </w:r>
          </w:p>
        </w:tc>
        <w:tc>
          <w:tcPr>
            <w:tcW w:w="1643" w:type="dxa"/>
            <w:vAlign w:val="center"/>
          </w:tcPr>
          <w:p>
            <w:pPr>
              <w:pStyle w:val="14"/>
            </w:pPr>
            <w:r>
              <w:t>财政对基本医疗保险基金的补助</w:t>
            </w:r>
          </w:p>
        </w:tc>
        <w:tc>
          <w:tcPr>
            <w:tcW w:w="1643" w:type="dxa"/>
            <w:vAlign w:val="center"/>
          </w:tcPr>
          <w:p>
            <w:pPr>
              <w:pStyle w:val="13"/>
            </w:pPr>
            <w:r>
              <w:t>16.15</w:t>
            </w:r>
          </w:p>
        </w:tc>
        <w:tc>
          <w:tcPr>
            <w:tcW w:w="1643" w:type="dxa"/>
            <w:vAlign w:val="center"/>
          </w:tcPr>
          <w:p>
            <w:pPr>
              <w:pStyle w:val="13"/>
            </w:pPr>
            <w:r>
              <w:t>16.15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2101201</w:t>
            </w:r>
          </w:p>
        </w:tc>
        <w:tc>
          <w:tcPr>
            <w:tcW w:w="1643" w:type="dxa"/>
            <w:vAlign w:val="center"/>
          </w:tcPr>
          <w:p>
            <w:pPr>
              <w:pStyle w:val="14"/>
            </w:pPr>
            <w:r>
              <w:t>财政对职工基本医疗保险基金的补助</w:t>
            </w:r>
          </w:p>
        </w:tc>
        <w:tc>
          <w:tcPr>
            <w:tcW w:w="1643" w:type="dxa"/>
            <w:vAlign w:val="center"/>
          </w:tcPr>
          <w:p>
            <w:pPr>
              <w:pStyle w:val="13"/>
            </w:pPr>
            <w:r>
              <w:t>16.15</w:t>
            </w:r>
          </w:p>
        </w:tc>
        <w:tc>
          <w:tcPr>
            <w:tcW w:w="1643" w:type="dxa"/>
            <w:vAlign w:val="center"/>
          </w:tcPr>
          <w:p>
            <w:pPr>
              <w:pStyle w:val="13"/>
            </w:pPr>
            <w:r>
              <w:t>16.15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2130799</w:t>
            </w:r>
          </w:p>
        </w:tc>
        <w:tc>
          <w:tcPr>
            <w:tcW w:w="1643" w:type="dxa"/>
            <w:vAlign w:val="center"/>
          </w:tcPr>
          <w:p>
            <w:pPr>
              <w:pStyle w:val="14"/>
            </w:pPr>
            <w:r>
              <w:t>其他农村综合改革支出</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22.30</w:t>
            </w:r>
          </w:p>
        </w:tc>
        <w:tc>
          <w:tcPr>
            <w:tcW w:w="1643" w:type="dxa"/>
            <w:vAlign w:val="center"/>
          </w:tcPr>
          <w:p>
            <w:pPr>
              <w:pStyle w:val="13"/>
            </w:pPr>
            <w:r>
              <w:t>22.30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22.30</w:t>
            </w:r>
          </w:p>
        </w:tc>
        <w:tc>
          <w:tcPr>
            <w:tcW w:w="1643" w:type="dxa"/>
            <w:vAlign w:val="center"/>
          </w:tcPr>
          <w:p>
            <w:pPr>
              <w:pStyle w:val="13"/>
            </w:pPr>
            <w:r>
              <w:t>22.30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22.30</w:t>
            </w:r>
          </w:p>
        </w:tc>
        <w:tc>
          <w:tcPr>
            <w:tcW w:w="1643" w:type="dxa"/>
            <w:vAlign w:val="center"/>
          </w:tcPr>
          <w:p>
            <w:pPr>
              <w:pStyle w:val="13"/>
            </w:pPr>
            <w:r>
              <w:t>22.30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1015.14</w:t>
            </w:r>
          </w:p>
        </w:tc>
        <w:tc>
          <w:tcPr>
            <w:tcW w:w="1643" w:type="dxa"/>
            <w:vAlign w:val="center"/>
          </w:tcPr>
          <w:p>
            <w:pPr>
              <w:pStyle w:val="17"/>
            </w:pPr>
            <w:r>
              <w:t>815.14</w:t>
            </w:r>
          </w:p>
        </w:tc>
        <w:tc>
          <w:tcPr>
            <w:tcW w:w="1643"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785.24</w:t>
            </w:r>
          </w:p>
        </w:tc>
        <w:tc>
          <w:tcPr>
            <w:tcW w:w="1643" w:type="dxa"/>
            <w:vAlign w:val="center"/>
          </w:tcPr>
          <w:p>
            <w:pPr>
              <w:pStyle w:val="13"/>
            </w:pPr>
            <w:r>
              <w:t>785.24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625.47</w:t>
            </w:r>
          </w:p>
        </w:tc>
        <w:tc>
          <w:tcPr>
            <w:tcW w:w="1643" w:type="dxa"/>
            <w:vAlign w:val="center"/>
          </w:tcPr>
          <w:p>
            <w:pPr>
              <w:pStyle w:val="13"/>
            </w:pPr>
            <w:r>
              <w:t>625.47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72.06</w:t>
            </w:r>
          </w:p>
        </w:tc>
        <w:tc>
          <w:tcPr>
            <w:tcW w:w="1643" w:type="dxa"/>
            <w:vAlign w:val="center"/>
          </w:tcPr>
          <w:p>
            <w:pPr>
              <w:pStyle w:val="13"/>
            </w:pPr>
            <w:r>
              <w:t>72.06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3.98</w:t>
            </w:r>
          </w:p>
        </w:tc>
        <w:tc>
          <w:tcPr>
            <w:tcW w:w="1643" w:type="dxa"/>
            <w:vAlign w:val="center"/>
          </w:tcPr>
          <w:p>
            <w:pPr>
              <w:pStyle w:val="13"/>
            </w:pPr>
            <w:r>
              <w:t>3.98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10.85</w:t>
            </w:r>
          </w:p>
        </w:tc>
        <w:tc>
          <w:tcPr>
            <w:tcW w:w="1643" w:type="dxa"/>
            <w:vAlign w:val="center"/>
          </w:tcPr>
          <w:p>
            <w:pPr>
              <w:pStyle w:val="13"/>
            </w:pPr>
            <w:r>
              <w:t>10.85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w:t>
            </w:r>
            <w:r>
              <w:rPr>
                <w:rFonts w:hint="eastAsia"/>
                <w:lang w:eastAsia="zh-CN"/>
              </w:rPr>
              <w:t>部门</w:t>
            </w:r>
            <w:r>
              <w:t>基本养老保险缴费</w:t>
            </w:r>
          </w:p>
        </w:tc>
        <w:tc>
          <w:tcPr>
            <w:tcW w:w="1643" w:type="dxa"/>
            <w:vAlign w:val="center"/>
          </w:tcPr>
          <w:p>
            <w:pPr>
              <w:pStyle w:val="13"/>
            </w:pPr>
            <w:r>
              <w:t>33.43</w:t>
            </w:r>
          </w:p>
        </w:tc>
        <w:tc>
          <w:tcPr>
            <w:tcW w:w="1643" w:type="dxa"/>
            <w:vAlign w:val="center"/>
          </w:tcPr>
          <w:p>
            <w:pPr>
              <w:pStyle w:val="13"/>
            </w:pPr>
            <w:r>
              <w:t>33.43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16.15</w:t>
            </w:r>
          </w:p>
        </w:tc>
        <w:tc>
          <w:tcPr>
            <w:tcW w:w="1643" w:type="dxa"/>
            <w:vAlign w:val="center"/>
          </w:tcPr>
          <w:p>
            <w:pPr>
              <w:pStyle w:val="13"/>
            </w:pPr>
            <w:r>
              <w:t>16.15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1.01</w:t>
            </w:r>
          </w:p>
        </w:tc>
        <w:tc>
          <w:tcPr>
            <w:tcW w:w="1643" w:type="dxa"/>
            <w:vAlign w:val="center"/>
          </w:tcPr>
          <w:p>
            <w:pPr>
              <w:pStyle w:val="13"/>
            </w:pPr>
            <w:r>
              <w:t>1.01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22.30</w:t>
            </w:r>
          </w:p>
        </w:tc>
        <w:tc>
          <w:tcPr>
            <w:tcW w:w="1643" w:type="dxa"/>
            <w:vAlign w:val="center"/>
          </w:tcPr>
          <w:p>
            <w:pPr>
              <w:pStyle w:val="13"/>
            </w:pPr>
            <w:r>
              <w:t>22.30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200.00</w:t>
            </w:r>
          </w:p>
        </w:tc>
        <w:tc>
          <w:tcPr>
            <w:tcW w:w="1643" w:type="dxa"/>
            <w:vAlign w:val="center"/>
          </w:tcPr>
          <w:p>
            <w:pPr>
              <w:pStyle w:val="13"/>
            </w:pPr>
          </w:p>
        </w:tc>
        <w:tc>
          <w:tcPr>
            <w:tcW w:w="164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58.00</w:t>
            </w:r>
          </w:p>
        </w:tc>
        <w:tc>
          <w:tcPr>
            <w:tcW w:w="1643" w:type="dxa"/>
            <w:vAlign w:val="center"/>
          </w:tcPr>
          <w:p>
            <w:pPr>
              <w:pStyle w:val="13"/>
            </w:pPr>
          </w:p>
        </w:tc>
        <w:tc>
          <w:tcPr>
            <w:tcW w:w="1643"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44.30</w:t>
            </w:r>
          </w:p>
        </w:tc>
        <w:tc>
          <w:tcPr>
            <w:tcW w:w="1643" w:type="dxa"/>
            <w:vAlign w:val="center"/>
          </w:tcPr>
          <w:p>
            <w:pPr>
              <w:pStyle w:val="13"/>
            </w:pPr>
          </w:p>
        </w:tc>
        <w:tc>
          <w:tcPr>
            <w:tcW w:w="1643" w:type="dxa"/>
            <w:vAlign w:val="center"/>
          </w:tcPr>
          <w:p>
            <w:pPr>
              <w:pStyle w:val="13"/>
            </w:pPr>
            <w:r>
              <w:t>44.30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9.00</w:t>
            </w:r>
          </w:p>
        </w:tc>
        <w:tc>
          <w:tcPr>
            <w:tcW w:w="1643"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11.60</w:t>
            </w:r>
          </w:p>
        </w:tc>
        <w:tc>
          <w:tcPr>
            <w:tcW w:w="1643" w:type="dxa"/>
            <w:vAlign w:val="center"/>
          </w:tcPr>
          <w:p>
            <w:pPr>
              <w:pStyle w:val="13"/>
            </w:pPr>
          </w:p>
        </w:tc>
        <w:tc>
          <w:tcPr>
            <w:tcW w:w="1643" w:type="dxa"/>
            <w:vAlign w:val="center"/>
          </w:tcPr>
          <w:p>
            <w:pPr>
              <w:pStyle w:val="13"/>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8.10</w:t>
            </w:r>
          </w:p>
        </w:tc>
        <w:tc>
          <w:tcPr>
            <w:tcW w:w="1643" w:type="dxa"/>
            <w:vAlign w:val="center"/>
          </w:tcPr>
          <w:p>
            <w:pPr>
              <w:pStyle w:val="13"/>
            </w:pPr>
          </w:p>
        </w:tc>
        <w:tc>
          <w:tcPr>
            <w:tcW w:w="1643" w:type="dxa"/>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29.89</w:t>
            </w:r>
          </w:p>
        </w:tc>
        <w:tc>
          <w:tcPr>
            <w:tcW w:w="1643" w:type="dxa"/>
            <w:vAlign w:val="center"/>
          </w:tcPr>
          <w:p>
            <w:pPr>
              <w:pStyle w:val="13"/>
            </w:pPr>
            <w:r>
              <w:t>29.89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20.25</w:t>
            </w:r>
          </w:p>
        </w:tc>
        <w:tc>
          <w:tcPr>
            <w:tcW w:w="1643" w:type="dxa"/>
            <w:vAlign w:val="center"/>
          </w:tcPr>
          <w:p>
            <w:pPr>
              <w:pStyle w:val="13"/>
            </w:pPr>
            <w:r>
              <w:t>20.25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9.64</w:t>
            </w:r>
          </w:p>
        </w:tc>
        <w:tc>
          <w:tcPr>
            <w:tcW w:w="1643" w:type="dxa"/>
            <w:vAlign w:val="center"/>
          </w:tcPr>
          <w:p>
            <w:pPr>
              <w:pStyle w:val="13"/>
            </w:pPr>
            <w:r>
              <w:t>9.64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2381"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rPr>
                <w:rFonts w:hint="eastAsia"/>
                <w:lang w:eastAsia="zh-CN"/>
              </w:rPr>
              <w:t>0.9</w:t>
            </w:r>
          </w:p>
        </w:tc>
        <w:tc>
          <w:tcPr>
            <w:tcW w:w="2381" w:type="dxa"/>
            <w:vAlign w:val="center"/>
          </w:tcPr>
          <w:p>
            <w:pPr>
              <w:pStyle w:val="17"/>
            </w:pPr>
            <w:r>
              <w:rPr>
                <w:rFonts w:hint="eastAsia"/>
                <w:lang w:eastAsia="zh-CN"/>
              </w:rPr>
              <w:t>0.9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rPr>
                <w:rFonts w:hint="eastAsia"/>
                <w:lang w:eastAsia="zh-CN"/>
              </w:rPr>
              <w:t>0.9</w:t>
            </w:r>
          </w:p>
        </w:tc>
        <w:tc>
          <w:tcPr>
            <w:tcW w:w="2381" w:type="dxa"/>
            <w:vAlign w:val="center"/>
          </w:tcPr>
          <w:p>
            <w:pPr>
              <w:pStyle w:val="13"/>
            </w:pPr>
            <w:r>
              <w:rPr>
                <w:rFonts w:hint="eastAsia"/>
                <w:lang w:eastAsia="zh-CN"/>
              </w:rPr>
              <w:t>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rPr>
                <w:lang w:eastAsia="zh-CN"/>
              </w:rPr>
            </w:pPr>
            <w:r>
              <w:rPr>
                <w:rFonts w:hint="eastAsia"/>
                <w:lang w:eastAsia="zh-CN"/>
              </w:rPr>
              <w:t>0.9</w:t>
            </w:r>
          </w:p>
        </w:tc>
        <w:tc>
          <w:tcPr>
            <w:tcW w:w="2381" w:type="dxa"/>
            <w:vAlign w:val="center"/>
          </w:tcPr>
          <w:p>
            <w:pPr>
              <w:pStyle w:val="13"/>
              <w:rPr>
                <w:lang w:eastAsia="zh-CN"/>
              </w:rPr>
            </w:pPr>
            <w:r>
              <w:rPr>
                <w:rFonts w:hint="eastAsia"/>
                <w:lang w:eastAsia="zh-CN"/>
              </w:rPr>
              <w:t>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bookmarkEnd w:id="8"/>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成安县财政局2023年部门预算信息公开情况说明</w:t>
      </w:r>
    </w:p>
    <w:p>
      <w:pPr>
        <w:jc w:val="center"/>
        <w:rPr>
          <w:highlight w:val="none"/>
        </w:rPr>
      </w:pPr>
      <w:r>
        <w:rPr>
          <w:rFonts w:ascii="方正小标宋_GBK" w:hAnsi="方正小标宋_GBK" w:eastAsia="方正小标宋_GBK" w:cs="方正小标宋_GBK"/>
          <w:color w:val="000000"/>
          <w:sz w:val="44"/>
          <w:highlight w:val="none"/>
        </w:rPr>
        <w:t>成安县财政局2023年</w:t>
      </w:r>
      <w:r>
        <w:rPr>
          <w:rFonts w:hint="eastAsia" w:ascii="方正小标宋_GBK" w:hAnsi="方正小标宋_GBK" w:eastAsia="方正小标宋_GBK" w:cs="方正小标宋_GBK"/>
          <w:color w:val="000000"/>
          <w:sz w:val="44"/>
          <w:highlight w:val="none"/>
          <w:lang w:eastAsia="zh-CN"/>
        </w:rPr>
        <w:t>部门</w:t>
      </w:r>
      <w:r>
        <w:rPr>
          <w:rFonts w:ascii="方正小标宋_GBK" w:hAnsi="方正小标宋_GBK" w:eastAsia="方正小标宋_GBK" w:cs="方正小标宋_GBK"/>
          <w:color w:val="000000"/>
          <w:sz w:val="44"/>
          <w:highlight w:val="none"/>
        </w:rPr>
        <w:t>预算信息公开情况说明</w:t>
      </w:r>
    </w:p>
    <w:p>
      <w:pPr>
        <w:spacing w:line="500" w:lineRule="exact"/>
        <w:ind w:firstLine="560"/>
        <w:rPr>
          <w:highlight w:val="none"/>
        </w:rPr>
      </w:pPr>
      <w:r>
        <w:rPr>
          <w:rFonts w:eastAsia="方正仿宋_GBK" w:cs="Times New Roman"/>
          <w:color w:val="000000"/>
          <w:sz w:val="28"/>
          <w:highlight w:val="none"/>
        </w:rPr>
        <w:t>按照《</w:t>
      </w:r>
      <w:r>
        <w:rPr>
          <w:rFonts w:hint="eastAsia" w:eastAsia="方正仿宋_GBK" w:cs="Times New Roman"/>
          <w:color w:val="000000"/>
          <w:sz w:val="28"/>
          <w:highlight w:val="none"/>
          <w:lang w:val="en-US" w:eastAsia="zh-CN"/>
        </w:rPr>
        <w:t>中华人民共和国</w:t>
      </w:r>
      <w:r>
        <w:rPr>
          <w:rFonts w:eastAsia="方正仿宋_GBK" w:cs="Times New Roman"/>
          <w:color w:val="000000"/>
          <w:sz w:val="28"/>
          <w:highlight w:val="none"/>
        </w:rPr>
        <w:t>预算法》、《地方预决算公开操作规程》和《关于进一步推进预算公开工作的实施意见》规定，现将成安县财政局2023年</w:t>
      </w:r>
      <w:r>
        <w:rPr>
          <w:rFonts w:hint="eastAsia" w:eastAsia="方正仿宋_GBK" w:cs="Times New Roman"/>
          <w:color w:val="000000"/>
          <w:sz w:val="28"/>
          <w:highlight w:val="none"/>
          <w:lang w:eastAsia="zh-CN"/>
        </w:rPr>
        <w:t>部门</w:t>
      </w:r>
      <w:r>
        <w:rPr>
          <w:rFonts w:eastAsia="方正仿宋_GBK" w:cs="Times New Roman"/>
          <w:color w:val="000000"/>
          <w:sz w:val="28"/>
          <w:highlight w:val="none"/>
        </w:rPr>
        <w:t>预算公开如下：</w:t>
      </w:r>
    </w:p>
    <w:p>
      <w:pPr>
        <w:spacing w:before="10" w:after="10" w:line="360" w:lineRule="auto"/>
        <w:ind w:firstLine="640"/>
        <w:outlineLvl w:val="2"/>
        <w:rPr>
          <w:highlight w:val="none"/>
        </w:rPr>
      </w:pPr>
      <w:bookmarkStart w:id="9" w:name="_Toc_3_3_0000000010"/>
      <w:r>
        <w:rPr>
          <w:rFonts w:ascii="黑体" w:hAnsi="黑体" w:eastAsia="黑体" w:cs="黑体"/>
          <w:color w:val="000000"/>
          <w:sz w:val="32"/>
          <w:highlight w:val="none"/>
        </w:rPr>
        <w:t>一、</w:t>
      </w:r>
      <w:r>
        <w:rPr>
          <w:rFonts w:hint="eastAsia" w:ascii="黑体" w:hAnsi="黑体" w:eastAsia="黑体" w:cs="黑体"/>
          <w:color w:val="000000"/>
          <w:sz w:val="32"/>
          <w:highlight w:val="none"/>
          <w:lang w:eastAsia="zh-CN"/>
        </w:rPr>
        <w:t>部门</w:t>
      </w:r>
      <w:r>
        <w:rPr>
          <w:rFonts w:ascii="黑体" w:hAnsi="黑体" w:eastAsia="黑体" w:cs="黑体"/>
          <w:color w:val="000000"/>
          <w:sz w:val="32"/>
          <w:highlight w:val="none"/>
        </w:rPr>
        <w:t>职责及机构设置情况</w:t>
      </w:r>
      <w:bookmarkEnd w:id="9"/>
    </w:p>
    <w:p>
      <w:pPr>
        <w:ind w:firstLine="600"/>
        <w:rPr>
          <w:rFonts w:ascii="方正楷体_GBK" w:hAnsi="方正楷体_GBK" w:eastAsia="方正楷体_GBK" w:cs="方正楷体_GBK"/>
          <w:b/>
          <w:color w:val="000000"/>
          <w:sz w:val="32"/>
          <w:highlight w:val="none"/>
        </w:rPr>
      </w:pPr>
      <w:r>
        <w:rPr>
          <w:rFonts w:hint="eastAsia" w:ascii="方正楷体_GBK" w:hAnsi="方正楷体_GBK" w:eastAsia="方正楷体_GBK" w:cs="方正楷体_GBK"/>
          <w:b/>
          <w:color w:val="000000"/>
          <w:sz w:val="32"/>
          <w:highlight w:val="none"/>
          <w:lang w:eastAsia="zh-CN"/>
        </w:rPr>
        <w:t>部门</w:t>
      </w:r>
      <w:r>
        <w:rPr>
          <w:rFonts w:ascii="方正楷体_GBK" w:hAnsi="方正楷体_GBK" w:eastAsia="方正楷体_GBK" w:cs="方正楷体_GBK"/>
          <w:b/>
          <w:color w:val="000000"/>
          <w:sz w:val="32"/>
          <w:highlight w:val="none"/>
        </w:rPr>
        <w:t>职责：</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rPr>
        <w:t>拟订财税发展战略、</w:t>
      </w:r>
      <w:r>
        <w:rPr>
          <w:rFonts w:hint="eastAsia" w:ascii="仿宋" w:hAnsi="仿宋" w:eastAsia="仿宋" w:cs="仿宋"/>
          <w:sz w:val="32"/>
          <w:szCs w:val="32"/>
          <w:highlight w:val="none"/>
        </w:rPr>
        <w:t>规划</w:t>
      </w:r>
      <w:r>
        <w:rPr>
          <w:rFonts w:hint="eastAsia" w:ascii="仿宋" w:hAnsi="仿宋" w:eastAsia="仿宋" w:cs="仿宋"/>
          <w:sz w:val="32"/>
          <w:szCs w:val="32"/>
          <w:highlight w:val="none"/>
          <w:lang w:val="zh-CN"/>
        </w:rPr>
        <w:t>、办法和改革方案并组织实施</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zh-CN"/>
        </w:rPr>
        <w:t>分析预测财政经济形势，参与</w:t>
      </w:r>
      <w:bookmarkStart w:id="18" w:name="_GoBack"/>
      <w:bookmarkEnd w:id="18"/>
      <w:r>
        <w:rPr>
          <w:rFonts w:hint="eastAsia" w:ascii="仿宋" w:hAnsi="仿宋" w:eastAsia="仿宋" w:cs="仿宋"/>
          <w:sz w:val="32"/>
          <w:szCs w:val="32"/>
          <w:highlight w:val="none"/>
          <w:lang w:val="zh-CN"/>
        </w:rPr>
        <w:t>制订各项财政经济政策，提出运用财税政策实施经济调控和综合平衡社会财力的建议。</w:t>
      </w:r>
      <w:r>
        <w:rPr>
          <w:rFonts w:hint="eastAsia" w:ascii="仿宋" w:hAnsi="仿宋" w:eastAsia="仿宋" w:cs="仿宋"/>
          <w:sz w:val="32"/>
          <w:szCs w:val="32"/>
          <w:highlight w:val="none"/>
        </w:rPr>
        <w:t>贯彻执行财政、税收、财务、会计管理的法律、行政法规、规章。</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CN"/>
        </w:rPr>
        <w:t>拟订财政收入分配办法，承担财政预算管理的责任。</w:t>
      </w:r>
      <w:r>
        <w:rPr>
          <w:rFonts w:hint="eastAsia" w:ascii="仿宋" w:hAnsi="仿宋" w:eastAsia="仿宋" w:cs="仿宋"/>
          <w:sz w:val="32"/>
          <w:szCs w:val="32"/>
          <w:highlight w:val="none"/>
        </w:rPr>
        <w:t>编制年度县本级预决算草案并组织执行，汇编全县预决算草案。组织</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经费开支标准、定额，审核批复部门（</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）年度预决算。负责审核批复部门（</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）的年度预决算。全面推进绩效预算改革，开展绩效评价工作。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组织推进税收制度改革。</w:t>
      </w:r>
      <w:r>
        <w:rPr>
          <w:rFonts w:hint="eastAsia" w:ascii="仿宋" w:hAnsi="仿宋" w:eastAsia="仿宋" w:cs="仿宋"/>
          <w:sz w:val="32"/>
          <w:szCs w:val="32"/>
          <w:highlight w:val="none"/>
          <w:lang w:val="zh-CN"/>
        </w:rPr>
        <w:t>协调税务部门，加强综合治理，促进公平税负，提高收入质量，实现应收尽收。</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按分工负责政府非税收入管理。负责政府性基金管理，按规定管理行政事业性收费。管理财政票据。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研究</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国库管理制度、国库集中收付制度，指导和监督县级国库业务，开展国库现金管理工作。</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政府财务报告编制办法并组织实施。</w:t>
      </w:r>
      <w:r>
        <w:rPr>
          <w:rFonts w:hint="eastAsia" w:ascii="仿宋" w:hAnsi="仿宋" w:eastAsia="仿宋" w:cs="仿宋"/>
          <w:sz w:val="32"/>
          <w:szCs w:val="32"/>
          <w:highlight w:val="none"/>
          <w:lang w:val="zh-CN"/>
        </w:rPr>
        <w:t>贯彻执行政府采购政策，制订相关制度办法并监督实施。</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执行政府债务管理制度和政策，拟订具体办法。</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牵头编制国有资产管理情况报告。根据县政府授权，集中统一履行县级国有金融资本出资人职责。执行国有金融资本管理规章制度，</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具体办法。拟订行政事业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国有资产管理制度并组织实施，负责全县行政事业国有资产管理工作。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负责审核并汇总编制全县社会保险基金预决算草案,会同有关部门拟订有关资金（基金）财务管理制度并组织实施。承担社会保险基金财政监管工作。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负责办理和监督县级财政的经济发展支出、县级政府性投资项目的财政拨款，参与拟订县级建设投资的有关政策，执行基建财务管理制度。负责财政预算评审管理。</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负责管理全县会计工作，监督和规范会计行为，组织实施会计制度，指导和管理社会审计。</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val="zh-CN"/>
        </w:rPr>
        <w:t>监督检查财税法规、政策的执行情况，依法查处违反财经纪律行为；反映财政收支管理中的重大问题，提出加强财政税收及财务会计管理的建议。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val="zh-CN"/>
        </w:rPr>
        <w:t>研究建立国有资本运作制度，制订国有资本运作规划；推动国有资本规范运作，指导推进国有企业改革和重组，推进国有企业的现代企业制度建设</w:t>
      </w:r>
    </w:p>
    <w:p>
      <w:pPr>
        <w:spacing w:line="360" w:lineRule="auto"/>
        <w:ind w:firstLine="64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lang w:val="zh-CN"/>
        </w:rPr>
        <w:t>承办县委、县政府交办的其他事项。</w:t>
      </w:r>
    </w:p>
    <w:p>
      <w:pPr>
        <w:ind w:firstLine="640"/>
        <w:rPr>
          <w:highlight w:val="none"/>
        </w:rPr>
      </w:pP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内部机构职责：</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rPr>
        <w:t>（一）非税收入管理</w:t>
      </w:r>
      <w:r>
        <w:rPr>
          <w:rFonts w:hint="eastAsia" w:ascii="仿宋" w:hAnsi="仿宋" w:eastAsia="仿宋" w:cs="仿宋"/>
          <w:b/>
          <w:sz w:val="32"/>
          <w:szCs w:val="32"/>
          <w:highlight w:val="none"/>
          <w:lang w:eastAsia="zh-CN"/>
        </w:rPr>
        <w:t>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_GB2312" w:eastAsia="仿宋_GB2312"/>
          <w:sz w:val="32"/>
          <w:szCs w:val="32"/>
          <w:highlight w:val="none"/>
        </w:rPr>
        <w:t>负责政府非税收入管理。负责政府性基金管理，按规定管理行政事业性收费。管理财政票据。</w:t>
      </w:r>
      <w:r>
        <w:rPr>
          <w:rFonts w:hint="eastAsia" w:ascii="仿宋" w:hAnsi="仿宋" w:eastAsia="仿宋" w:cs="仿宋"/>
          <w:sz w:val="32"/>
          <w:szCs w:val="32"/>
          <w:highlight w:val="none"/>
        </w:rPr>
        <w:t>负责全县纳入预算管理的行政事业性收费、罚没收入和政府性基金征管工作，负责全县行政事业性收费（含政府性基金）“票款分离”，负责全县执收执罚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监督检查工作；参与研究收费管理制度改革。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_GB2312" w:hAnsi="仿宋_GB2312" w:eastAsia="仿宋_GB2312" w:cs="仿宋_GB2312"/>
          <w:sz w:val="32"/>
          <w:szCs w:val="32"/>
          <w:highlight w:val="none"/>
        </w:rPr>
        <w:t>承担政府性基金、行政事业性收费管理等相关工作。编制非税财政收入预算。负责罚没物资的收缴、处置和变价收入上缴国库。</w:t>
      </w:r>
      <w:r>
        <w:rPr>
          <w:rFonts w:hint="eastAsia" w:ascii="仿宋" w:hAnsi="仿宋" w:eastAsia="仿宋" w:cs="仿宋"/>
          <w:sz w:val="32"/>
          <w:szCs w:val="32"/>
          <w:highlight w:val="none"/>
        </w:rPr>
        <w:t>负责全县行政事业</w:t>
      </w:r>
      <w:r>
        <w:rPr>
          <w:rFonts w:hint="eastAsia" w:ascii="仿宋" w:hAnsi="仿宋" w:eastAsia="仿宋" w:cs="仿宋"/>
          <w:sz w:val="32"/>
          <w:szCs w:val="32"/>
          <w:highlight w:val="none"/>
          <w:lang w:eastAsia="zh-CN"/>
        </w:rPr>
        <w:t>部门非税收入</w:t>
      </w:r>
      <w:r>
        <w:rPr>
          <w:rFonts w:hint="eastAsia" w:ascii="仿宋" w:hAnsi="仿宋" w:eastAsia="仿宋" w:cs="仿宋"/>
          <w:sz w:val="32"/>
          <w:szCs w:val="32"/>
          <w:highlight w:val="none"/>
        </w:rPr>
        <w:t>征收工作；</w:t>
      </w:r>
    </w:p>
    <w:p>
      <w:pPr>
        <w:autoSpaceDE w:val="0"/>
        <w:autoSpaceDN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 w:hAnsi="仿宋" w:eastAsia="仿宋" w:cs="仿宋"/>
          <w:sz w:val="32"/>
          <w:szCs w:val="32"/>
          <w:highlight w:val="none"/>
        </w:rPr>
        <w:t>（2）落实和拟定非税收入管理政策和相关规章制度，负责审核或申报全县行政事业性收费项目和收费标准，规范财政票据管理；</w:t>
      </w:r>
      <w:r>
        <w:rPr>
          <w:rFonts w:hint="eastAsia" w:ascii="仿宋_GB2312" w:hAnsi="仿宋_GB2312" w:eastAsia="仿宋_GB2312" w:cs="仿宋_GB2312"/>
          <w:sz w:val="32"/>
          <w:szCs w:val="32"/>
          <w:highlight w:val="none"/>
        </w:rPr>
        <w:t>拟订政府非税收入管理制度和办法。</w:t>
      </w:r>
    </w:p>
    <w:p>
      <w:pPr>
        <w:spacing w:line="360" w:lineRule="auto"/>
        <w:ind w:firstLine="640"/>
        <w:rPr>
          <w:rFonts w:ascii="仿宋" w:hAnsi="仿宋" w:eastAsia="仿宋" w:cs="仿宋"/>
          <w:sz w:val="32"/>
          <w:szCs w:val="32"/>
          <w:highlight w:val="none"/>
        </w:rPr>
      </w:pP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（3）负责编制年度非税收入征缴计划，并按程序审批后组织实施；分析和改进征管工作，组织非税收入的监督检查工作，确保非税收入按进度及时足额征收；</w:t>
      </w:r>
      <w:r>
        <w:rPr>
          <w:rFonts w:hint="eastAsia" w:ascii="仿宋" w:hAnsi="仿宋" w:eastAsia="仿宋" w:cs="仿宋"/>
          <w:kern w:val="0"/>
          <w:sz w:val="32"/>
          <w:szCs w:val="32"/>
          <w:highlight w:val="none"/>
          <w:lang w:bidi="ar"/>
        </w:rPr>
        <w:t>全面推行政府性基金和行政事业性收费清单管理，完善监督制度。</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（4）牵头负责全县罚没物资管理工作，根据省、市有关政策，拟定罚没物资管理办法；</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（5）负责全县行政事业性收费和罚没收入的财政票据管理工作，并对财政票据使用情况进行监督检查；</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2、对口：市局非税收入管理局。</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rPr>
        <w:t>（二）、农村财</w:t>
      </w:r>
      <w:r>
        <w:rPr>
          <w:rFonts w:hint="eastAsia" w:ascii="仿宋" w:hAnsi="仿宋" w:eastAsia="仿宋" w:cs="仿宋"/>
          <w:b/>
          <w:sz w:val="32"/>
          <w:szCs w:val="32"/>
          <w:highlight w:val="none"/>
          <w:lang w:eastAsia="zh-CN"/>
        </w:rPr>
        <w:t>政</w:t>
      </w:r>
      <w:r>
        <w:rPr>
          <w:rFonts w:hint="eastAsia" w:ascii="仿宋" w:hAnsi="仿宋" w:eastAsia="仿宋" w:cs="仿宋"/>
          <w:b/>
          <w:sz w:val="32"/>
          <w:szCs w:val="32"/>
          <w:highlight w:val="none"/>
        </w:rPr>
        <w:t>管理</w:t>
      </w:r>
      <w:r>
        <w:rPr>
          <w:rFonts w:hint="eastAsia" w:ascii="仿宋" w:hAnsi="仿宋" w:eastAsia="仿宋" w:cs="仿宋"/>
          <w:b/>
          <w:sz w:val="32"/>
          <w:szCs w:val="32"/>
          <w:highlight w:val="none"/>
          <w:lang w:eastAsia="zh-CN"/>
        </w:rPr>
        <w:t>中心职责范围</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1、</w:t>
      </w:r>
      <w:r>
        <w:rPr>
          <w:rFonts w:hint="eastAsia" w:ascii="仿宋" w:hAnsi="仿宋" w:eastAsia="仿宋" w:cs="仿宋"/>
          <w:sz w:val="32"/>
          <w:szCs w:val="32"/>
          <w:highlight w:val="none"/>
        </w:rPr>
        <w:t>主要任务及职责</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负责组织落实“乡财县管”工作，研究执行农村综合改革中的相关政策和负责全县耕地占用税、契税法律法规与政策实施中的一般解释和指导、协调。负责财政在全县农业领域的政策协调和项目安排，监督项目实施中的资金管理使用情况；负责归口管理的</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和乡镇预算指标等业务。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其职责如下：（1）负责组织落实“乡财县管”工作；（2）探索县乡财税综合改革制度工作；（3）对全县农村“一事一议”财政奖补资金审批；（4）对农村“普九”债务进行清理化解；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）参与研究全县农业发展、农村改革政策和法规；拟定财政支农政策，确定财政支农资金投向政策的农业产业重点、地区重点及管理办法；（</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）参与管理和分配财政扶贫资金、扶贫贷款、乡镇企业政策性贷款的贴息资金、农业综合开发资金；（</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2、对口：市综改办、市局农村财政管理处。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（三）、财政监督稽查</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财政监督的政策和制度，监督财税法律、法规、方针、政策的执行情况，检查财政收支管理中的重大问题，提出加强财政管理的政策建议，依法查处违反财经纪律</w:t>
      </w:r>
      <w:r>
        <w:rPr>
          <w:rFonts w:hint="eastAsia" w:ascii="仿宋" w:hAnsi="仿宋" w:eastAsia="仿宋" w:cs="仿宋"/>
          <w:sz w:val="32"/>
          <w:szCs w:val="32"/>
          <w:highlight w:val="none"/>
          <w:lang w:eastAsia="zh-CN"/>
        </w:rPr>
        <w:t>行为</w:t>
      </w:r>
      <w:r>
        <w:rPr>
          <w:rFonts w:hint="eastAsia" w:ascii="仿宋" w:hAnsi="仿宋" w:eastAsia="仿宋" w:cs="仿宋"/>
          <w:sz w:val="32"/>
          <w:szCs w:val="32"/>
          <w:highlight w:val="none"/>
        </w:rPr>
        <w:t>，管理财政监督稽查局的业务工作。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牵头组织全县重大和专项财政监督检查工作，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检查财政资金的分配、使用、效益等；（4）会同有关</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做好对有关</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、人员违反财经纪律、财税政策和财务、会计制度的检查处理及违纪款项的收缴入库工作；（</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2、对口：市财政监督稽查局、市局财监处。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（四）、财政集中支付中心职责范围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主要任务：负责县级行政事业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工资支出、购买支出、转移支出和其他支出的审核及支付工作，负责审核、支付纳入财政直接支付范围的专项资金工作。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其职责如下：（1）负责办理全县行政事业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资金的集中收付业务，合理调度和及时拨付资金，确保</w:t>
      </w:r>
      <w:r>
        <w:rPr>
          <w:rFonts w:hint="eastAsia" w:ascii="仿宋" w:hAnsi="仿宋" w:eastAsia="仿宋" w:cs="仿宋"/>
          <w:sz w:val="32"/>
          <w:szCs w:val="32"/>
          <w:highlight w:val="none"/>
          <w:lang w:eastAsia="zh-CN"/>
        </w:rPr>
        <w:t>部门部门</w:t>
      </w:r>
      <w:r>
        <w:rPr>
          <w:rFonts w:hint="eastAsia" w:ascii="仿宋" w:hAnsi="仿宋" w:eastAsia="仿宋" w:cs="仿宋"/>
          <w:sz w:val="32"/>
          <w:szCs w:val="32"/>
          <w:highlight w:val="none"/>
        </w:rPr>
        <w:t>工作正常运转；（2）对预算</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的支出进行再审核，并完整记录预算</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资金活动情况，定期与</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核对资金结存数额，保证资金的安全、完整；（3）贯彻执行国家财经纪律和财会制度，通过对预算</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支付申请进行合规性、合理性、合法性的审核，充分发挥财政的监督作用；（</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）统一公开各</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预算执行情况，为财政监督和</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对帐提供及时准确的信息；（</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2、对口：市局集中支付中心。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（五）、办公室职责范围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_GB2312" w:hAnsi="仿宋_GB2312" w:eastAsia="仿宋_GB2312" w:cs="仿宋_GB2312"/>
          <w:kern w:val="0"/>
          <w:sz w:val="32"/>
          <w:szCs w:val="32"/>
          <w:highlight w:val="none"/>
          <w:lang w:val="zh-CN"/>
        </w:rPr>
      </w:pPr>
      <w:r>
        <w:rPr>
          <w:rFonts w:hint="eastAsia" w:ascii="仿宋" w:hAnsi="仿宋" w:eastAsia="仿宋" w:cs="仿宋"/>
          <w:sz w:val="32"/>
          <w:szCs w:val="32"/>
          <w:highlight w:val="none"/>
        </w:rPr>
        <w:t>主要任务：综合协调、处理局机关日常政务；负责有关重要会议的组织；起草和修改有关重要报告和文件；研究财政政策；统一管理财政信息、宣传、新闻发布；负责文电、机要保密、档案、信访、办公自动化、人事、财务、车辆、后勤、精神文明建设、民主评议、法制宣传教育、党务、老干部等工作；负责重要事项的督查督办。</w:t>
      </w:r>
      <w:r>
        <w:rPr>
          <w:rFonts w:hint="eastAsia" w:ascii="仿宋_GB2312" w:hAnsi="仿宋_GB2312" w:eastAsia="仿宋_GB2312" w:cs="仿宋_GB2312"/>
          <w:kern w:val="0"/>
          <w:sz w:val="32"/>
          <w:szCs w:val="32"/>
          <w:highlight w:val="none"/>
          <w:lang w:val="zh-CN"/>
        </w:rPr>
        <w:t>负责机关和所属事业部门的干部人事、机构编制工作。组织财政普法工作。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其职责如下：（1）负责局机关日常政务的综合协调和处理，保证局机关正确履行职能和维持正常、良好的工作秩序；（2）负责</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机关各项工作制度，并督导落实；（</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）负责局机关重要综合性文稿的起草、修改和以局名义发出的正式文件的核稿；（</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）负责全县财政系统财政信息、财政宣传的统一规划和组织，管理财政对外宣传报道</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）办理局党组、局长办公会、局务会议定的各项具体工作并编写会议纪要；（</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）负责管理局机关档案，指导全局各科室档案立卷、归档工作，整理和利用财政档案史料；（</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）负责财政系统保密规则制度建设，检查局机关和所属</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保密法规执行情况，调查失泄密事件；（</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）负责局机关、直属</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的机构设置和人员编制工作；（</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）负责全县财政系统干部职工队伍建设和人事、教育、统计工作，及局机关工作人员的考核、培训、工资福利、退（离）休等工作；（1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）负责管理局机关车辆管理、后勤服务、固定资产、安全保卫、综合治理等有关事项；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 xml:space="preserve">）完成领导交办的其它各项任务。 </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2、对口：市局办公室、人教处、纪检监察室。</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（六）、预算科职责范围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主要任务：编制县本级政府年度预算（草案）和县直</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w:t>
      </w:r>
      <w:r>
        <w:rPr>
          <w:rFonts w:hint="eastAsia" w:ascii="仿宋" w:hAnsi="仿宋" w:eastAsia="仿宋" w:cs="仿宋"/>
          <w:sz w:val="32"/>
          <w:szCs w:val="32"/>
          <w:highlight w:val="none"/>
          <w:lang w:eastAsia="zh-CN"/>
        </w:rPr>
        <w:t>并按程序</w:t>
      </w:r>
      <w:r>
        <w:rPr>
          <w:rFonts w:hint="eastAsia" w:ascii="仿宋" w:hAnsi="仿宋" w:eastAsia="仿宋" w:cs="仿宋"/>
          <w:sz w:val="32"/>
          <w:szCs w:val="32"/>
          <w:highlight w:val="none"/>
        </w:rPr>
        <w:t>批复</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和调整</w:t>
      </w:r>
      <w:r>
        <w:rPr>
          <w:rFonts w:hint="eastAsia" w:ascii="仿宋" w:hAnsi="仿宋" w:eastAsia="仿宋" w:cs="仿宋"/>
          <w:sz w:val="32"/>
          <w:szCs w:val="32"/>
          <w:highlight w:val="none"/>
          <w:lang w:eastAsia="zh-CN"/>
        </w:rPr>
        <w:t>部门部门</w:t>
      </w:r>
      <w:r>
        <w:rPr>
          <w:rFonts w:hint="eastAsia" w:ascii="仿宋" w:hAnsi="仿宋" w:eastAsia="仿宋" w:cs="仿宋"/>
          <w:sz w:val="32"/>
          <w:szCs w:val="32"/>
          <w:highlight w:val="none"/>
        </w:rPr>
        <w:t>公用经费开支标准和定额。确定财政资金预算安排顺序，研究财政投资政策；（3）负责编制财政预算调整方案，负责县级预算内、预算外总指标的分配、调整，办理县直</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预算的追加（减）预算指标的审批；（4）负责办理</w:t>
      </w:r>
      <w:r>
        <w:rPr>
          <w:rFonts w:hint="eastAsia" w:ascii="仿宋" w:hAnsi="仿宋" w:eastAsia="仿宋" w:cs="仿宋"/>
          <w:sz w:val="32"/>
          <w:szCs w:val="32"/>
          <w:highlight w:val="none"/>
          <w:lang w:eastAsia="zh-CN"/>
        </w:rPr>
        <w:t>省</w:t>
      </w:r>
      <w:r>
        <w:rPr>
          <w:rFonts w:hint="eastAsia" w:ascii="仿宋" w:hAnsi="仿宋" w:eastAsia="仿宋" w:cs="仿宋"/>
          <w:sz w:val="32"/>
          <w:szCs w:val="32"/>
          <w:highlight w:val="none"/>
        </w:rPr>
        <w:t>市对县的转移支付有关事宜，解释和执行地方税收政策，审核税收减免；（5）负责协调县财政与国税局、地税局有关组织收入方面的事宜，牵头负责审计机关对财政预算执行和其他财政收支情况进行的审计；（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）负责在预算编制和执行过程中，逐步开展财政支出效益评价工作，推行财政绩效预算管理；（</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2、对口：市局预算处。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（七）、国库科职责范围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主要任务：负责全县财政预算的执行工作；归口管理各类财政资金，负责总预算会计核算与资金拨付工作；负责编制财政收支旬、月报工作；牵头负责全县预算内、外资金总决算；批复</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决算；负责全县各行政、事业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新开设</w:t>
      </w:r>
      <w:r>
        <w:rPr>
          <w:rFonts w:hint="eastAsia" w:ascii="仿宋" w:hAnsi="仿宋" w:eastAsia="仿宋" w:cs="仿宋"/>
          <w:sz w:val="32"/>
          <w:szCs w:val="32"/>
          <w:highlight w:val="none"/>
          <w:lang w:eastAsia="zh-CN"/>
        </w:rPr>
        <w:t>账户</w:t>
      </w:r>
      <w:r>
        <w:rPr>
          <w:rFonts w:hint="eastAsia" w:ascii="仿宋" w:hAnsi="仿宋" w:eastAsia="仿宋" w:cs="仿宋"/>
          <w:sz w:val="32"/>
          <w:szCs w:val="32"/>
          <w:highlight w:val="none"/>
        </w:rPr>
        <w:t>管理；压缩各项支出，组织配合有关</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争取资金，整合财力办大事。</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其职责如下：（1）负责综合财政预算的执行。对</w:t>
      </w:r>
      <w:r>
        <w:rPr>
          <w:rFonts w:hint="eastAsia" w:ascii="仿宋" w:hAnsi="仿宋" w:eastAsia="仿宋" w:cs="仿宋"/>
          <w:sz w:val="32"/>
          <w:szCs w:val="32"/>
          <w:highlight w:val="none"/>
          <w:lang w:eastAsia="zh-CN"/>
        </w:rPr>
        <w:t>非税收入、</w:t>
      </w:r>
      <w:r>
        <w:rPr>
          <w:rFonts w:hint="eastAsia" w:ascii="仿宋" w:hAnsi="仿宋" w:eastAsia="仿宋" w:cs="仿宋"/>
          <w:sz w:val="32"/>
          <w:szCs w:val="32"/>
          <w:highlight w:val="none"/>
        </w:rPr>
        <w:t>政府性基金执行指标认真审核、及时拨付与核算；负责协调预算执行中的有关问题，及时反映预算执行情况；（2）负责总预算会计工作。加强资金调度，联系人行国库并协调有关事宜；负责局内所有的财政性资金和乡镇、县直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资金</w:t>
      </w:r>
      <w:r>
        <w:rPr>
          <w:rFonts w:hint="eastAsia" w:ascii="仿宋" w:hAnsi="仿宋" w:eastAsia="仿宋" w:cs="仿宋"/>
          <w:sz w:val="32"/>
          <w:szCs w:val="32"/>
          <w:highlight w:val="none"/>
          <w:lang w:eastAsia="zh-CN"/>
        </w:rPr>
        <w:t>账户</w:t>
      </w:r>
      <w:r>
        <w:rPr>
          <w:rFonts w:hint="eastAsia" w:ascii="仿宋" w:hAnsi="仿宋" w:eastAsia="仿宋" w:cs="仿宋"/>
          <w:sz w:val="32"/>
          <w:szCs w:val="32"/>
          <w:highlight w:val="none"/>
        </w:rPr>
        <w:t>的管理，会同有关科室审批新开</w:t>
      </w:r>
      <w:r>
        <w:rPr>
          <w:rFonts w:hint="eastAsia" w:ascii="仿宋" w:hAnsi="仿宋" w:eastAsia="仿宋" w:cs="仿宋"/>
          <w:sz w:val="32"/>
          <w:szCs w:val="32"/>
          <w:highlight w:val="none"/>
          <w:lang w:eastAsia="zh-CN"/>
        </w:rPr>
        <w:t>账</w:t>
      </w:r>
      <w:r>
        <w:rPr>
          <w:rFonts w:hint="eastAsia" w:ascii="仿宋" w:hAnsi="仿宋" w:eastAsia="仿宋" w:cs="仿宋"/>
          <w:sz w:val="32"/>
          <w:szCs w:val="32"/>
          <w:highlight w:val="none"/>
        </w:rPr>
        <w:t>户；（3）编制财政收支旬报和月报，分析财政收支存在的问题，提出合理化建议，确保财政收支正常运行；（4）牵头负责编制全县预算内、外资金总决算，批复县直</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决算，会同有关科室起草有关预算执行和财政总决算的文件；（5）推进国库集中支付制度改革；（6）完成领导交办的其它各项任务。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2、对口：市局国库处。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（八）、综合科职责范围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主要任务：牵头负责国家财政政策的落实以及在财政投资领域的政策协调和项目安排；监督基建项目实施中资金的管理使用情况；负责城市建设配套资金的执行、管理和监督；牵头管理国债专项资金等。</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其职责如下：（1）负责国家财政政策的组织落实工作；（2）牵头管理在财政投资基本建设领域的政策协调和项目安排，并对基建资金的使用情况进行监督；（3）负责县级城市建设配套资金的管理和监督；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_GB2312" w:hAnsi="仿宋_GB2312" w:eastAsia="仿宋_GB2312" w:cs="仿宋_GB2312"/>
          <w:kern w:val="0"/>
          <w:sz w:val="32"/>
          <w:szCs w:val="32"/>
          <w:highlight w:val="none"/>
        </w:rPr>
        <w:t>组织拟订政府购买服务制度。</w:t>
      </w:r>
      <w:r>
        <w:rPr>
          <w:rFonts w:hint="eastAsia" w:ascii="仿宋" w:hAnsi="仿宋" w:eastAsia="仿宋" w:cs="仿宋"/>
          <w:sz w:val="32"/>
          <w:szCs w:val="32"/>
          <w:highlight w:val="none"/>
          <w:lang w:val="en-US" w:eastAsia="zh-CN"/>
        </w:rPr>
        <w:t>（5）</w:t>
      </w:r>
      <w:r>
        <w:rPr>
          <w:rFonts w:hint="eastAsia" w:ascii="仿宋_GB2312" w:hAnsi="仿宋_GB2312" w:eastAsia="仿宋_GB2312" w:cs="仿宋_GB2312"/>
          <w:kern w:val="0"/>
          <w:sz w:val="32"/>
          <w:szCs w:val="32"/>
          <w:highlight w:val="none"/>
        </w:rPr>
        <w:t>提出收入分配政策建议和改革方案。管理住房改革和保障资金。</w:t>
      </w:r>
      <w:r>
        <w:rPr>
          <w:rFonts w:hint="eastAsia" w:ascii="仿宋" w:hAnsi="仿宋" w:eastAsia="仿宋" w:cs="仿宋"/>
          <w:sz w:val="32"/>
          <w:szCs w:val="32"/>
          <w:highlight w:val="none"/>
        </w:rPr>
        <w:t>负责住房公积金的管理和使用工作；（</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_GB2312" w:hAnsi="仿宋_GB2312" w:eastAsia="仿宋_GB2312" w:cs="仿宋_GB2312"/>
          <w:kern w:val="0"/>
          <w:sz w:val="32"/>
          <w:szCs w:val="32"/>
          <w:highlight w:val="none"/>
        </w:rPr>
        <w:t>会同有关方面拟订土地、矿产、海域等国有资源出让收支政策。</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）负责审核汇总全县的基本建设、预算外资金年度财务决算；（</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2、对口：市局综合处、经济建设处。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（九）、行政</w:t>
      </w:r>
      <w:r>
        <w:rPr>
          <w:rFonts w:hint="eastAsia" w:ascii="仿宋" w:hAnsi="仿宋" w:eastAsia="仿宋" w:cs="仿宋"/>
          <w:b/>
          <w:sz w:val="32"/>
          <w:szCs w:val="32"/>
          <w:highlight w:val="none"/>
          <w:lang w:eastAsia="zh-CN"/>
        </w:rPr>
        <w:t>事业及农业财务股</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主要任务：负责掌握分管业务的全县基本情况，并参与分管</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行业发展规划和相关政策、制度的研究制订工作；研究拟定行政政法、事业、教科文</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财务管理办法；监督项目实施中资金的管理使用情况，并进行项目完成后的效益考核；负责审核归口管理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的有关财务、会计报表和年度财务决算；负责分管</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指标管理工作。负责掌握全县农口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及乡镇财政业务的基本情况和涉及财政、财务的有关事宜，负责农业综合开发项目资金的审核和验收工作，负责农发有偿资金及支农周转金的清理回收及相关报表工作；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其职责如下：（1）负责掌握分管</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的全县基本情况，并参与分管</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行业发展规划和相关政策、制度的研究</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工作；（2）归口管理县级行政政法、事业、党派团体、文化、出版、文物、教育、科学、计划生育、体育、广播电视等</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及所属事业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涉及财政、财务有关事宜；（3）监督执行《行政</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财务规则》、《事业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财务规则》，研究拟定行政政法</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的财务规章制度，并对归口管理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的执行情况进行监督检查；（4）对专项资金追踪问效，监督项目实施中资金的管理使用情况，并进行项目完成后的效益考核；（5）指导行政政法</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建立健全内部财务制度，并对行政、政法事业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会计人员执业质量进行有关检查；（</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）负责归口管理行政事业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预算指标核算工作；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）研究拟定农口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和乡镇的财务管理办法，并对县级农口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和乡镇财政所的执行情况进行监督检查；（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）负责财政在全县农业领域的政策协调和项目安排，监督项目实施中的资金管理使用情况，对专项资金跟踪问效，并进行项目完成后的效益考核；（</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）完成领导交办的其它各项任务。</w:t>
      </w:r>
    </w:p>
    <w:p>
      <w:pPr>
        <w:numPr>
          <w:ilvl w:val="0"/>
          <w:numId w:val="1"/>
        </w:numPr>
        <w:spacing w:line="360" w:lineRule="auto"/>
        <w:ind w:firstLine="643"/>
        <w:rPr>
          <w:rFonts w:ascii="仿宋" w:hAnsi="仿宋" w:eastAsia="仿宋" w:cs="仿宋"/>
          <w:sz w:val="32"/>
          <w:szCs w:val="32"/>
          <w:highlight w:val="none"/>
          <w:lang w:eastAsia="zh-CN"/>
        </w:rPr>
      </w:pPr>
      <w:r>
        <w:rPr>
          <w:rFonts w:hint="eastAsia" w:ascii="仿宋" w:hAnsi="仿宋" w:eastAsia="仿宋" w:cs="仿宋"/>
          <w:sz w:val="32"/>
          <w:szCs w:val="32"/>
          <w:highlight w:val="none"/>
        </w:rPr>
        <w:t>对口：市局行政政法处、教科文处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市局农业处、涉外处。</w:t>
      </w:r>
    </w:p>
    <w:p>
      <w:pPr>
        <w:spacing w:line="360" w:lineRule="auto"/>
        <w:ind w:firstLine="640"/>
        <w:rPr>
          <w:rFonts w:ascii="仿宋" w:hAnsi="仿宋" w:eastAsia="仿宋" w:cs="仿宋"/>
          <w:sz w:val="32"/>
          <w:szCs w:val="32"/>
          <w:highlight w:val="none"/>
        </w:rPr>
      </w:pP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（十）、社</w:t>
      </w:r>
      <w:r>
        <w:rPr>
          <w:rFonts w:hint="eastAsia" w:ascii="仿宋" w:hAnsi="仿宋" w:eastAsia="仿宋" w:cs="仿宋"/>
          <w:b/>
          <w:sz w:val="32"/>
          <w:szCs w:val="32"/>
          <w:highlight w:val="none"/>
          <w:lang w:eastAsia="zh-CN"/>
        </w:rPr>
        <w:t>会保障资金管理中心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1、主要任务及职责：主要任务：根据国家和省、市有关政策，拟定社会保障财务管理办法；负责办理县级社会保障专项资金（基金）业务，并对资金使用情况进行管理监督；负责县级社会保障</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及所属企事业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年度预算执行分析及监督检查工作；负责审核归口管理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有关年度财务会计报表和年度财务决算；参与研究社会保障制度改革。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其职责如下：（1）负责编制县级社会保障</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资金预算，按预算安排的重点及顺序组织实施；（2）具体负责归口管理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涉及财政、财务的有关事宜；（3）对专项资金跟踪问效，监督项目实施中资金的管理使用情况，并进行项目完成后的效益考核；（4）规范财务规章制度管理，对归口管理的社会保障</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的财务和各类社会保障资金进行审核与监督；（5）负责归口管理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的年度正常预算执行分析和监督审核工作，编制有关财务、会计报表和年度财务决算；（6）研究归口管理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的预算支出改革，提出优化支出结构的政策建议；（7）完成领导交办的其它各项任务。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2、对口：市局社保处。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一</w:t>
      </w:r>
      <w:r>
        <w:rPr>
          <w:rFonts w:hint="eastAsia" w:ascii="仿宋" w:hAnsi="仿宋" w:eastAsia="仿宋" w:cs="仿宋"/>
          <w:b/>
          <w:sz w:val="32"/>
          <w:szCs w:val="32"/>
          <w:highlight w:val="none"/>
        </w:rPr>
        <w:t>）、金融科职责范围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主要任务：负责归口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专项资金支出预算管理建议，并监督项目实施中资金的管理使用情况并进行完成后的效益考核</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w:t>
      </w:r>
      <w:r>
        <w:rPr>
          <w:rFonts w:hint="eastAsia" w:ascii="仿宋" w:hAnsi="仿宋" w:eastAsia="仿宋" w:cs="仿宋"/>
          <w:sz w:val="32"/>
          <w:szCs w:val="32"/>
          <w:highlight w:val="none"/>
          <w:lang w:eastAsia="zh-CN"/>
        </w:rPr>
        <w:t>全县政策性农业保险保费</w:t>
      </w:r>
      <w:r>
        <w:rPr>
          <w:rFonts w:hint="eastAsia" w:ascii="仿宋" w:hAnsi="仿宋" w:eastAsia="仿宋" w:cs="仿宋"/>
          <w:sz w:val="32"/>
          <w:szCs w:val="32"/>
          <w:highlight w:val="none"/>
        </w:rPr>
        <w:t>补</w:t>
      </w:r>
      <w:r>
        <w:rPr>
          <w:rFonts w:hint="eastAsia" w:ascii="仿宋" w:hAnsi="仿宋" w:eastAsia="仿宋" w:cs="仿宋"/>
          <w:sz w:val="32"/>
          <w:szCs w:val="32"/>
          <w:highlight w:val="none"/>
          <w:lang w:eastAsia="zh-CN"/>
        </w:rPr>
        <w:t>贴</w:t>
      </w:r>
      <w:r>
        <w:rPr>
          <w:rFonts w:hint="eastAsia" w:ascii="仿宋" w:hAnsi="仿宋" w:eastAsia="仿宋" w:cs="仿宋"/>
          <w:sz w:val="32"/>
          <w:szCs w:val="32"/>
          <w:highlight w:val="none"/>
        </w:rPr>
        <w:t>资金的管理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负责上报归口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的项目</w:t>
      </w:r>
      <w:r>
        <w:rPr>
          <w:rFonts w:hint="eastAsia" w:ascii="仿宋" w:hAnsi="仿宋" w:eastAsia="仿宋" w:cs="仿宋"/>
          <w:sz w:val="32"/>
          <w:szCs w:val="32"/>
          <w:highlight w:val="none"/>
          <w:lang w:eastAsia="zh-CN"/>
        </w:rPr>
        <w:t>资金管理</w:t>
      </w:r>
      <w:r>
        <w:rPr>
          <w:rFonts w:hint="eastAsia" w:ascii="仿宋" w:hAnsi="仿宋" w:eastAsia="仿宋" w:cs="仿宋"/>
          <w:sz w:val="32"/>
          <w:szCs w:val="32"/>
          <w:highlight w:val="none"/>
        </w:rPr>
        <w:t>，争取上级资金，并对项目资金管理使用情况进行监督检查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w:t>
      </w:r>
      <w:r>
        <w:rPr>
          <w:rFonts w:hint="eastAsia" w:ascii="仿宋" w:hAnsi="仿宋" w:eastAsia="仿宋" w:cs="仿宋"/>
          <w:sz w:val="32"/>
          <w:szCs w:val="32"/>
          <w:highlight w:val="none"/>
          <w:lang w:eastAsia="zh-CN"/>
        </w:rPr>
        <w:t>金融</w:t>
      </w:r>
      <w:r>
        <w:rPr>
          <w:rFonts w:hint="eastAsia" w:ascii="仿宋" w:hAnsi="仿宋" w:eastAsia="仿宋" w:cs="仿宋"/>
          <w:sz w:val="32"/>
          <w:szCs w:val="32"/>
          <w:highlight w:val="none"/>
        </w:rPr>
        <w:t>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二</w:t>
      </w:r>
      <w:r>
        <w:rPr>
          <w:rFonts w:hint="eastAsia" w:ascii="仿宋" w:hAnsi="仿宋" w:eastAsia="仿宋" w:cs="仿宋"/>
          <w:b/>
          <w:sz w:val="32"/>
          <w:szCs w:val="32"/>
          <w:highlight w:val="none"/>
        </w:rPr>
        <w:t>）、会计科职责范围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主要任务：对全县会计人员进行管理</w:t>
      </w:r>
      <w:r>
        <w:rPr>
          <w:rFonts w:hint="eastAsia" w:ascii="仿宋" w:hAnsi="仿宋" w:eastAsia="仿宋" w:cs="仿宋"/>
          <w:sz w:val="32"/>
          <w:szCs w:val="32"/>
          <w:highlight w:val="none"/>
          <w:lang w:eastAsia="zh-CN"/>
        </w:rPr>
        <w:t>，</w:t>
      </w:r>
      <w:r>
        <w:rPr>
          <w:rFonts w:hint="eastAsia" w:ascii="仿宋_GB2312" w:eastAsia="仿宋_GB2312"/>
          <w:sz w:val="32"/>
          <w:szCs w:val="32"/>
          <w:highlight w:val="none"/>
        </w:rPr>
        <w:t>组织实施会计制度</w:t>
      </w:r>
      <w:r>
        <w:rPr>
          <w:rFonts w:hint="eastAsia" w:ascii="仿宋" w:hAnsi="仿宋" w:eastAsia="仿宋" w:cs="仿宋"/>
          <w:sz w:val="32"/>
          <w:szCs w:val="32"/>
          <w:highlight w:val="none"/>
        </w:rPr>
        <w:t>；</w:t>
      </w:r>
      <w:r>
        <w:rPr>
          <w:rFonts w:hint="eastAsia" w:ascii="仿宋_GB2312" w:eastAsia="仿宋_GB2312"/>
          <w:sz w:val="32"/>
          <w:szCs w:val="32"/>
          <w:highlight w:val="none"/>
        </w:rPr>
        <w:t>监督和规范会计行为，</w:t>
      </w:r>
      <w:r>
        <w:rPr>
          <w:rFonts w:hint="eastAsia" w:ascii="仿宋" w:hAnsi="仿宋" w:eastAsia="仿宋" w:cs="仿宋"/>
          <w:sz w:val="32"/>
          <w:szCs w:val="32"/>
          <w:highlight w:val="none"/>
        </w:rPr>
        <w:t>开展会计诚信建设，督导会计信息质量；组织和管理会计人员业务培训，以专业技术职务管理、会计证管理、电算化管理等手段加强会计基础工作规范和会计建设。</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拟定和实施监督管理的有关办法；（</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）负责组织全县会计职称资格考试、会计从业资格考试；（</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）负责全县会计基础规范化工作；（</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）组织开展会计法执行情况检查；（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）表彰和奖励会计工作先进集体和优秀会计人员，负责受理涉及打击报复会计人员的人们来信和来访；（</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）办理领导交办的其他事项。</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2、对口：市局会计处。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三</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资产评估中心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主要任务：负责制订全县国有企业、行政事业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的国有资产管理的规章制度；负责全县国有企业月报及决算工作；监督执行企业和行政事业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国有资产管理的各项法规、规章制度，组织实施全县各类国有资产权属的界定、登记、年检、转让及变现、改制；指导全县资产评估工作；具体牵头研究拟定行政事业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国有资产管理的规章制度，组织全县行政事业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国有资产的管理、权属界定、产权登记、转让、年检、纠纷调处和国有资产的变现、报废工作；贯彻执行清产核资的有关制度、办法，组织实施全县清产核资工作。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2、对口：市产权交易中心、市国资委统计评价处。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）、编审中心职责范围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1）负责全县财政供养人员工资发放银行化工作。（2）负责全县财政供养人员一次性抚恤金及丧葬费审核及发放。（3）负责全县财政供养人员和享受遗属补助人员指纹信息系统管理，以及年检工作。（4）负责财政供养人员统计评价系统维护管理及数字上报工作。（5）完成局领导交办的其他各项工作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2、对口：市局编审中心。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五</w:t>
      </w:r>
      <w:r>
        <w:rPr>
          <w:rFonts w:hint="eastAsia" w:ascii="仿宋" w:hAnsi="仿宋" w:eastAsia="仿宋" w:cs="仿宋"/>
          <w:b/>
          <w:sz w:val="32"/>
          <w:szCs w:val="32"/>
          <w:highlight w:val="none"/>
        </w:rPr>
        <w:t>）、政府采购</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主要任务：负责本级政府采购的具体组织实施工作。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w:t>
      </w:r>
      <w:r>
        <w:rPr>
          <w:rFonts w:hint="eastAsia" w:ascii="仿宋" w:hAnsi="仿宋" w:eastAsia="仿宋" w:cs="仿宋"/>
          <w:sz w:val="32"/>
          <w:szCs w:val="32"/>
          <w:highlight w:val="none"/>
          <w:lang w:eastAsia="zh-CN"/>
        </w:rPr>
        <w:t>采购计划的接受、登记、录入、传递</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负责公告信息的发布与管理</w:t>
      </w:r>
      <w:r>
        <w:rPr>
          <w:rFonts w:hint="eastAsia" w:ascii="仿宋" w:hAnsi="仿宋" w:eastAsia="仿宋" w:cs="仿宋"/>
          <w:sz w:val="32"/>
          <w:szCs w:val="32"/>
          <w:highlight w:val="none"/>
          <w:lang w:val="en-US" w:eastAsia="zh-CN"/>
        </w:rPr>
        <w:t>(3)负责政府采购信息统计分析汇总上报；（4）负责</w:t>
      </w:r>
      <w:r>
        <w:rPr>
          <w:rFonts w:hint="eastAsia" w:ascii="仿宋" w:hAnsi="仿宋" w:eastAsia="仿宋" w:cs="仿宋"/>
          <w:sz w:val="32"/>
          <w:szCs w:val="32"/>
          <w:highlight w:val="none"/>
        </w:rPr>
        <w:t>受理和处理供应商的</w:t>
      </w:r>
      <w:r>
        <w:rPr>
          <w:rFonts w:hint="eastAsia" w:ascii="仿宋" w:hAnsi="仿宋" w:eastAsia="仿宋" w:cs="仿宋"/>
          <w:sz w:val="32"/>
          <w:szCs w:val="32"/>
          <w:highlight w:val="none"/>
          <w:lang w:eastAsia="zh-CN"/>
        </w:rPr>
        <w:t>投诉</w:t>
      </w:r>
      <w:r>
        <w:rPr>
          <w:rFonts w:hint="eastAsia" w:ascii="仿宋" w:hAnsi="仿宋" w:eastAsia="仿宋" w:cs="仿宋"/>
          <w:sz w:val="32"/>
          <w:szCs w:val="32"/>
          <w:highlight w:val="none"/>
        </w:rPr>
        <w:t>，并在规定时间内给予答复；（</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）办理其他有关政府采购事务；（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）办理领导交办的其他工作。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2、对口：市局采购办。</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六</w:t>
      </w:r>
      <w:r>
        <w:rPr>
          <w:rFonts w:hint="eastAsia" w:ascii="仿宋" w:hAnsi="仿宋" w:eastAsia="仿宋" w:cs="仿宋"/>
          <w:b/>
          <w:sz w:val="32"/>
          <w:szCs w:val="32"/>
          <w:highlight w:val="none"/>
        </w:rPr>
        <w:t>）、投资评审中心职责范围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和职责：（1）审查财政性投资项目的工程概、预、竣工决（结）算，参与项目招标、工程设备采购工作；（2）评估财政性投资的基本建设、技术改造、国土资源勘探等项目，负责出具评审报告；（3）根据纪检、监察、财政</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进行工程造价控制、工程进度、质量监督和竣工验收工作；（6）完成领导交办的其它各项任务。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2、对口：市局投资评审中心。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七</w:t>
      </w:r>
      <w:r>
        <w:rPr>
          <w:rFonts w:hint="eastAsia" w:ascii="仿宋" w:hAnsi="仿宋" w:eastAsia="仿宋" w:cs="仿宋"/>
          <w:b/>
          <w:sz w:val="32"/>
          <w:szCs w:val="32"/>
          <w:highlight w:val="none"/>
        </w:rPr>
        <w:t>）、信息中心职责范围</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1、主要任务及职责：（1）研究制订财政系统信息化建设发展规划，负责县级联网的总体规划和组织实施；（2）统一管理各种信息资源，负责网络的安全运行；（3）负责财政系统各类计算机应用软件的推广，促进财政系统实现办公自动化；（4）负责指导财政系统计算机应用，组织计算机技术培训；</w:t>
      </w:r>
    </w:p>
    <w:p>
      <w:pPr>
        <w:spacing w:line="360" w:lineRule="auto"/>
        <w:ind w:firstLine="640"/>
        <w:rPr>
          <w:rFonts w:ascii="仿宋" w:hAnsi="仿宋" w:eastAsia="仿宋" w:cs="仿宋"/>
          <w:sz w:val="32"/>
          <w:szCs w:val="32"/>
          <w:highlight w:val="none"/>
          <w:lang w:eastAsia="zh-CN"/>
        </w:rPr>
      </w:pPr>
      <w:r>
        <w:rPr>
          <w:rFonts w:hint="eastAsia" w:ascii="仿宋" w:hAnsi="仿宋" w:eastAsia="仿宋" w:cs="仿宋"/>
          <w:sz w:val="32"/>
          <w:szCs w:val="32"/>
          <w:highlight w:val="none"/>
        </w:rPr>
        <w:t>2、对口：市局信息中心。</w:t>
      </w:r>
    </w:p>
    <w:p>
      <w:pPr>
        <w:pStyle w:val="19"/>
      </w:pPr>
    </w:p>
    <w:p>
      <w:pPr>
        <w:pStyle w:val="19"/>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rPr>
                <w:rFonts w:hint="eastAsia"/>
                <w:lang w:eastAsia="zh-CN"/>
              </w:rPr>
              <w:t>部门</w:t>
            </w:r>
            <w:r>
              <w:t>名称</w:t>
            </w:r>
          </w:p>
        </w:tc>
        <w:tc>
          <w:tcPr>
            <w:tcW w:w="2464" w:type="dxa"/>
            <w:vAlign w:val="center"/>
          </w:tcPr>
          <w:p>
            <w:pPr>
              <w:pStyle w:val="12"/>
            </w:pPr>
            <w:r>
              <w:rPr>
                <w:rFonts w:hint="eastAsia"/>
                <w:lang w:eastAsia="zh-CN"/>
              </w:rPr>
              <w:t>部门</w:t>
            </w:r>
            <w:r>
              <w:t>性质</w:t>
            </w:r>
          </w:p>
        </w:tc>
        <w:tc>
          <w:tcPr>
            <w:tcW w:w="2464" w:type="dxa"/>
            <w:vAlign w:val="center"/>
          </w:tcPr>
          <w:p>
            <w:pPr>
              <w:pStyle w:val="12"/>
            </w:pPr>
            <w:r>
              <w:rPr>
                <w:rFonts w:hint="eastAsia"/>
                <w:lang w:eastAsia="zh-CN"/>
              </w:rPr>
              <w:t>部门</w:t>
            </w:r>
            <w:r>
              <w:t>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成安县财政局本级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按照预算管理有关规定，目前我省部门预算的编制实行综合预算管理，即全部收入和支出都反映在预算中。成安县财政局机关及所属事业</w:t>
      </w:r>
      <w:r>
        <w:rPr>
          <w:rFonts w:hint="eastAsia" w:eastAsia="方正仿宋_GBK" w:cs="Times New Roman"/>
          <w:color w:val="000000"/>
          <w:sz w:val="28"/>
          <w:lang w:eastAsia="zh-CN"/>
        </w:rPr>
        <w:t>部门</w:t>
      </w:r>
      <w:r>
        <w:rPr>
          <w:rFonts w:eastAsia="方正仿宋_GBK" w:cs="Times New Roman"/>
          <w:color w:val="000000"/>
          <w:sz w:val="28"/>
        </w:rPr>
        <w:t>的收支包含在部门预算中。</w:t>
      </w:r>
    </w:p>
    <w:p>
      <w:pPr>
        <w:spacing w:line="560" w:lineRule="exact"/>
        <w:ind w:firstLine="643"/>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1622.14</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1622.14</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1622.14</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1015.14</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815.14</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eastAsia="zh-CN"/>
        </w:rPr>
        <w:t>200</w:t>
      </w:r>
      <w:r>
        <w:rPr>
          <w:rFonts w:hint="eastAsia" w:ascii="仿宋" w:hAnsi="仿宋" w:eastAsia="仿宋" w:cs="方正仿宋_GBK"/>
          <w:sz w:val="32"/>
          <w:szCs w:val="32"/>
        </w:rPr>
        <w:t>万元；项目支出</w:t>
      </w:r>
      <w:r>
        <w:rPr>
          <w:rFonts w:hint="eastAsia" w:ascii="仿宋" w:hAnsi="仿宋" w:eastAsia="仿宋" w:cs="方正仿宋_GBK"/>
          <w:sz w:val="32"/>
          <w:szCs w:val="32"/>
          <w:lang w:eastAsia="zh-CN"/>
        </w:rPr>
        <w:t>607</w:t>
      </w:r>
      <w:r>
        <w:rPr>
          <w:rFonts w:hint="eastAsia" w:ascii="仿宋" w:hAnsi="仿宋" w:eastAsia="仿宋" w:cs="方正仿宋_GBK"/>
          <w:sz w:val="32"/>
          <w:szCs w:val="32"/>
        </w:rPr>
        <w:t>万元。</w:t>
      </w:r>
    </w:p>
    <w:p>
      <w:pPr>
        <w:spacing w:line="560" w:lineRule="exact"/>
        <w:ind w:firstLine="643"/>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年预算收支安排</w:t>
      </w:r>
      <w:r>
        <w:rPr>
          <w:rFonts w:hint="eastAsia" w:ascii="仿宋" w:hAnsi="仿宋" w:eastAsia="仿宋"/>
          <w:sz w:val="32"/>
          <w:szCs w:val="32"/>
          <w:lang w:eastAsia="zh-CN"/>
        </w:rPr>
        <w:t>1622.14</w:t>
      </w:r>
      <w:r>
        <w:rPr>
          <w:rFonts w:hint="eastAsia" w:ascii="仿宋" w:hAnsi="仿宋" w:eastAsia="仿宋"/>
          <w:sz w:val="32"/>
          <w:szCs w:val="32"/>
        </w:rPr>
        <w:t>万元，202</w:t>
      </w:r>
      <w:r>
        <w:rPr>
          <w:rFonts w:hint="eastAsia" w:ascii="仿宋" w:hAnsi="仿宋" w:eastAsia="仿宋"/>
          <w:sz w:val="32"/>
          <w:szCs w:val="32"/>
          <w:lang w:eastAsia="zh-CN"/>
        </w:rPr>
        <w:t>2</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1290.5</w:t>
      </w:r>
      <w:r>
        <w:rPr>
          <w:rFonts w:hint="eastAsia" w:ascii="仿宋" w:hAnsi="仿宋" w:eastAsia="仿宋" w:cs="方正仿宋_GBK"/>
          <w:sz w:val="32"/>
          <w:szCs w:val="32"/>
        </w:rPr>
        <w:t>万元，较</w:t>
      </w:r>
      <w:r>
        <w:rPr>
          <w:rFonts w:hint="eastAsia" w:ascii="仿宋" w:hAnsi="仿宋" w:eastAsia="仿宋"/>
          <w:sz w:val="32"/>
          <w:szCs w:val="32"/>
        </w:rPr>
        <w:t>202</w:t>
      </w:r>
      <w:r>
        <w:rPr>
          <w:rFonts w:hint="eastAsia" w:ascii="仿宋" w:hAnsi="仿宋" w:eastAsia="仿宋"/>
          <w:sz w:val="32"/>
          <w:szCs w:val="32"/>
          <w:lang w:eastAsia="zh-CN"/>
        </w:rPr>
        <w:t>2</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增加了331.64</w:t>
      </w:r>
      <w:r>
        <w:rPr>
          <w:rFonts w:hint="eastAsia" w:ascii="仿宋" w:hAnsi="仿宋" w:eastAsia="仿宋" w:cs="方正仿宋_GBK"/>
          <w:sz w:val="32"/>
          <w:szCs w:val="32"/>
        </w:rPr>
        <w:t>万元，主要原因</w:t>
      </w:r>
      <w:r>
        <w:rPr>
          <w:rFonts w:hint="eastAsia" w:ascii="仿宋" w:hAnsi="仿宋" w:eastAsia="仿宋" w:cs="方正仿宋_GBK"/>
          <w:sz w:val="32"/>
          <w:szCs w:val="32"/>
          <w:lang w:eastAsia="zh-CN"/>
        </w:rPr>
        <w:t>是为了提高财政资金使用效益，加大对全县财政性投资项目的评审力度，评审服务及委托代理服务费用比去年有了较大提高，工资调整以后三险一金基数需要调整</w:t>
      </w:r>
      <w:r>
        <w:rPr>
          <w:rFonts w:hint="eastAsia" w:ascii="仿宋" w:hAnsi="仿宋" w:eastAsia="仿宋" w:cs="方正仿宋_GBK"/>
          <w:sz w:val="32"/>
          <w:szCs w:val="32"/>
        </w:rPr>
        <w:t>。</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rPr>
          <w:rFonts w:ascii="仿宋" w:hAnsi="仿宋" w:eastAsia="仿宋" w:cs="仿宋_GB2312"/>
          <w:sz w:val="32"/>
          <w:szCs w:val="32"/>
          <w:lang w:eastAsia="zh-CN"/>
        </w:rPr>
      </w:pPr>
      <w:r>
        <w:rPr>
          <w:rFonts w:hint="eastAsia" w:ascii="仿宋" w:hAnsi="仿宋" w:eastAsia="仿宋" w:cs="仿宋_GB2312"/>
          <w:sz w:val="32"/>
          <w:szCs w:val="32"/>
        </w:rPr>
        <w:t>日常公用经费安排</w:t>
      </w:r>
      <w:r>
        <w:rPr>
          <w:rFonts w:hint="eastAsia" w:ascii="仿宋" w:hAnsi="仿宋" w:eastAsia="仿宋" w:cs="仿宋_GB2312"/>
          <w:sz w:val="32"/>
          <w:szCs w:val="32"/>
          <w:lang w:eastAsia="zh-CN"/>
        </w:rPr>
        <w:t>196.79</w:t>
      </w:r>
      <w:r>
        <w:rPr>
          <w:rFonts w:hint="eastAsia" w:ascii="仿宋" w:hAnsi="仿宋" w:eastAsia="仿宋" w:cs="仿宋_GB2312"/>
          <w:sz w:val="32"/>
          <w:szCs w:val="32"/>
        </w:rPr>
        <w:t>万元，包括：办公费、印刷费、取暖费、差旅费、水费、电费、工会经费，其他支出等。</w:t>
      </w:r>
    </w:p>
    <w:p>
      <w:pPr>
        <w:spacing w:before="10" w:after="10" w:line="360" w:lineRule="auto"/>
        <w:ind w:firstLine="640" w:firstLineChars="20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640"/>
        <w:rPr>
          <w:rFonts w:ascii="仿宋_GB2312" w:hAnsi="Calibri" w:eastAsia="仿宋_GB2312" w:cs="仿宋_GB2312"/>
          <w:sz w:val="32"/>
          <w:szCs w:val="32"/>
        </w:rPr>
      </w:pP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eastAsia="zh-CN"/>
        </w:rPr>
        <w:t>3</w:t>
      </w:r>
      <w:r>
        <w:rPr>
          <w:rFonts w:hint="eastAsia" w:ascii="仿宋_GB2312" w:hAnsi="Calibri" w:eastAsia="仿宋_GB2312" w:cs="仿宋_GB2312"/>
          <w:sz w:val="32"/>
          <w:szCs w:val="32"/>
        </w:rPr>
        <w:t>年度“三公”预算支出</w:t>
      </w:r>
      <w:r>
        <w:rPr>
          <w:rFonts w:hint="eastAsia" w:ascii="仿宋_GB2312" w:hAnsi="Calibri" w:eastAsia="仿宋_GB2312" w:cs="仿宋_GB2312"/>
          <w:sz w:val="32"/>
          <w:szCs w:val="32"/>
          <w:lang w:eastAsia="zh-CN"/>
        </w:rPr>
        <w:t>0.9</w:t>
      </w:r>
      <w:r>
        <w:rPr>
          <w:rFonts w:hint="eastAsia" w:ascii="仿宋_GB2312" w:hAnsi="Calibri" w:eastAsia="仿宋_GB2312" w:cs="仿宋_GB2312"/>
          <w:sz w:val="32"/>
          <w:szCs w:val="32"/>
        </w:rPr>
        <w:t>万元，其中，因公出国（境）费0元</w:t>
      </w:r>
      <w:r>
        <w:rPr>
          <w:rFonts w:hint="eastAsia" w:ascii="仿宋_GB2312" w:hAnsi="Calibri" w:eastAsia="仿宋_GB2312" w:cs="仿宋_GB2312"/>
          <w:sz w:val="32"/>
          <w:szCs w:val="32"/>
          <w:lang w:eastAsia="zh-CN"/>
        </w:rPr>
        <w:t>，与</w:t>
      </w: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eastAsia="zh-CN"/>
        </w:rPr>
        <w:t>2年持平；</w:t>
      </w:r>
      <w:r>
        <w:rPr>
          <w:rFonts w:hint="eastAsia" w:ascii="仿宋_GB2312" w:hAnsi="Calibri" w:eastAsia="仿宋_GB2312" w:cs="仿宋_GB2312"/>
          <w:sz w:val="32"/>
          <w:szCs w:val="32"/>
        </w:rPr>
        <w:t>安排公务用车维护费</w:t>
      </w:r>
      <w:r>
        <w:rPr>
          <w:rFonts w:hint="eastAsia" w:ascii="仿宋_GB2312" w:hAnsi="Calibri" w:eastAsia="仿宋_GB2312" w:cs="仿宋_GB2312"/>
          <w:sz w:val="32"/>
          <w:szCs w:val="32"/>
          <w:lang w:eastAsia="zh-CN"/>
        </w:rPr>
        <w:t>0.9</w:t>
      </w:r>
      <w:r>
        <w:rPr>
          <w:rFonts w:hint="eastAsia" w:ascii="仿宋_GB2312" w:hAnsi="Calibri" w:eastAsia="仿宋_GB2312" w:cs="仿宋_GB2312"/>
          <w:sz w:val="32"/>
          <w:szCs w:val="32"/>
        </w:rPr>
        <w:t>万元，（其中公务用车购置费0元，</w:t>
      </w:r>
      <w:r>
        <w:rPr>
          <w:rFonts w:hint="eastAsia" w:ascii="仿宋_GB2312" w:hAnsi="Calibri" w:eastAsia="仿宋_GB2312" w:cs="仿宋_GB2312"/>
          <w:sz w:val="32"/>
          <w:szCs w:val="32"/>
          <w:lang w:eastAsia="zh-CN"/>
        </w:rPr>
        <w:t>与上年持平</w:t>
      </w:r>
      <w:r>
        <w:rPr>
          <w:rFonts w:hint="eastAsia" w:ascii="仿宋_GB2312" w:hAnsi="Calibri" w:eastAsia="仿宋_GB2312" w:cs="仿宋_GB2312"/>
          <w:sz w:val="32"/>
          <w:szCs w:val="32"/>
        </w:rPr>
        <w:t>；公务用车运行维护费</w:t>
      </w:r>
      <w:r>
        <w:rPr>
          <w:rFonts w:hint="eastAsia" w:ascii="仿宋_GB2312" w:hAnsi="Calibri" w:eastAsia="仿宋_GB2312" w:cs="仿宋_GB2312"/>
          <w:sz w:val="32"/>
          <w:szCs w:val="32"/>
          <w:lang w:eastAsia="zh-CN"/>
        </w:rPr>
        <w:t>0.9</w:t>
      </w:r>
      <w:r>
        <w:rPr>
          <w:rFonts w:hint="eastAsia" w:ascii="仿宋_GB2312" w:hAnsi="Calibri" w:eastAsia="仿宋_GB2312" w:cs="仿宋_GB2312"/>
          <w:sz w:val="32"/>
          <w:szCs w:val="32"/>
        </w:rPr>
        <w:t>万元），</w:t>
      </w:r>
      <w:r>
        <w:rPr>
          <w:rFonts w:hint="eastAsia" w:ascii="仿宋_GB2312" w:hAnsi="Calibri" w:eastAsia="仿宋_GB2312" w:cs="仿宋_GB2312"/>
          <w:sz w:val="32"/>
          <w:szCs w:val="32"/>
          <w:lang w:eastAsia="zh-CN"/>
        </w:rPr>
        <w:t>比</w:t>
      </w: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eastAsia="zh-CN"/>
        </w:rPr>
        <w:t>2年减少</w:t>
      </w:r>
      <w:r>
        <w:rPr>
          <w:rFonts w:hint="eastAsia" w:ascii="仿宋_GB2312" w:hAnsi="Calibri" w:eastAsia="仿宋_GB2312" w:cs="仿宋_GB2312"/>
          <w:sz w:val="32"/>
          <w:szCs w:val="32"/>
        </w:rPr>
        <w:t>；公务接</w:t>
      </w:r>
      <w:r>
        <w:rPr>
          <w:rFonts w:hint="eastAsia" w:ascii="仿宋_GB2312" w:hAnsi="Calibri" w:eastAsia="仿宋_GB2312" w:cs="仿宋_GB2312"/>
          <w:sz w:val="32"/>
          <w:szCs w:val="32"/>
          <w:lang w:eastAsia="zh-CN"/>
        </w:rPr>
        <w:t>待</w:t>
      </w:r>
      <w:r>
        <w:rPr>
          <w:rFonts w:hint="eastAsia" w:ascii="仿宋_GB2312" w:hAnsi="Calibri" w:eastAsia="仿宋_GB2312" w:cs="仿宋_GB2312"/>
          <w:sz w:val="32"/>
          <w:szCs w:val="32"/>
        </w:rPr>
        <w:t>费0万元，</w:t>
      </w:r>
      <w:r>
        <w:rPr>
          <w:rFonts w:hint="eastAsia" w:ascii="仿宋_GB2312" w:hAnsi="Calibri" w:eastAsia="仿宋_GB2312" w:cs="仿宋_GB2312"/>
          <w:sz w:val="32"/>
          <w:szCs w:val="32"/>
          <w:lang w:eastAsia="zh-CN"/>
        </w:rPr>
        <w:t>与</w:t>
      </w: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eastAsia="zh-CN"/>
        </w:rPr>
        <w:t>2年相持平。</w:t>
      </w:r>
    </w:p>
    <w:p>
      <w:pPr>
        <w:spacing w:before="10" w:after="10" w:line="360" w:lineRule="auto"/>
        <w:ind w:firstLine="640" w:firstLineChars="20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napToGrid w:val="0"/>
        <w:spacing w:line="360" w:lineRule="auto"/>
        <w:ind w:firstLine="640"/>
        <w:rPr>
          <w:rFonts w:ascii="宋体" w:hAnsi="宋体" w:eastAsia="宋体" w:cs="宋体"/>
          <w:color w:val="000000"/>
          <w:lang w:eastAsia="zh-CN"/>
        </w:rPr>
      </w:pPr>
      <w:r>
        <w:rPr>
          <w:rFonts w:hint="eastAsia" w:ascii="仿宋" w:hAnsi="仿宋" w:eastAsia="仿宋"/>
          <w:sz w:val="32"/>
          <w:szCs w:val="32"/>
          <w:lang w:eastAsia="zh-CN"/>
        </w:rPr>
        <w:t>紧紧围绕促进财政事业发展、落实县委市政府重要部署两大核心任务，以改革统揽全局，创新思路、</w:t>
      </w:r>
      <w:r>
        <w:rPr>
          <w:rFonts w:hint="eastAsia" w:ascii="仿宋_GB2312" w:hAnsi="宋体" w:eastAsia="仿宋_GB2312" w:cs="宋体"/>
          <w:color w:val="000000"/>
          <w:sz w:val="32"/>
          <w:szCs w:val="32"/>
        </w:rPr>
        <w:t>强化举措，狠抓收支管理，狠抓改革推进，狠抓重点保障，狠抓发展支撑，以点带面、活跃全局，力保财政平稳运转，力推重大改革突破，力争民生持续改善，力促经济健康发展，全力以赴开创全</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rPr>
        <w:t>财政工作新局面。</w:t>
      </w:r>
    </w:p>
    <w:p>
      <w:pPr>
        <w:pStyle w:val="23"/>
      </w:pPr>
    </w:p>
    <w:p>
      <w:pPr>
        <w:spacing w:line="500" w:lineRule="exact"/>
        <w:ind w:firstLine="280" w:firstLineChars="100"/>
      </w:pPr>
      <w:r>
        <w:rPr>
          <w:rFonts w:eastAsia="方正仿宋_GBK" w:cs="Times New Roman"/>
          <w:color w:val="000000"/>
          <w:sz w:val="28"/>
        </w:rPr>
        <w:t>（二）分项绩效目标</w:t>
      </w:r>
    </w:p>
    <w:p>
      <w:pPr>
        <w:snapToGrid w:val="0"/>
        <w:spacing w:line="360" w:lineRule="auto"/>
        <w:ind w:firstLine="641"/>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财政收入管理</w:t>
      </w:r>
    </w:p>
    <w:p>
      <w:pPr>
        <w:spacing w:line="360" w:lineRule="auto"/>
        <w:ind w:firstLine="641"/>
        <w:rPr>
          <w:rFonts w:ascii="仿宋" w:hAnsi="仿宋" w:eastAsia="仿宋"/>
          <w:sz w:val="32"/>
          <w:szCs w:val="32"/>
        </w:rPr>
      </w:pPr>
      <w:r>
        <w:rPr>
          <w:rFonts w:ascii="仿宋" w:hAnsi="仿宋" w:eastAsia="仿宋"/>
          <w:sz w:val="32"/>
          <w:szCs w:val="32"/>
          <w:lang w:eastAsia="zh-CN"/>
        </w:rPr>
        <w:t>加强非税收入政策宣传，督促各</w:t>
      </w:r>
      <w:r>
        <w:rPr>
          <w:rFonts w:hint="eastAsia" w:ascii="仿宋" w:hAnsi="仿宋" w:eastAsia="仿宋"/>
          <w:sz w:val="32"/>
          <w:szCs w:val="32"/>
          <w:lang w:eastAsia="zh-CN"/>
        </w:rPr>
        <w:t>部门</w:t>
      </w:r>
      <w:r>
        <w:rPr>
          <w:rFonts w:ascii="仿宋" w:hAnsi="仿宋" w:eastAsia="仿宋"/>
          <w:sz w:val="32"/>
          <w:szCs w:val="32"/>
          <w:lang w:eastAsia="zh-CN"/>
        </w:rPr>
        <w:t>及时将收入入库，组织财政非税收入，确保及时、足额入库，非</w:t>
      </w:r>
      <w:r>
        <w:rPr>
          <w:rFonts w:ascii="仿宋" w:hAnsi="仿宋" w:eastAsia="仿宋"/>
          <w:sz w:val="32"/>
          <w:szCs w:val="32"/>
        </w:rPr>
        <w:t>税收入入库率要达到8</w:t>
      </w:r>
      <w:r>
        <w:rPr>
          <w:rFonts w:hint="eastAsia" w:ascii="仿宋" w:hAnsi="仿宋" w:eastAsia="仿宋"/>
          <w:sz w:val="32"/>
          <w:szCs w:val="32"/>
          <w:lang w:eastAsia="zh-CN"/>
        </w:rPr>
        <w:t>7</w:t>
      </w:r>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财政监督管理</w:t>
      </w:r>
    </w:p>
    <w:p>
      <w:pPr>
        <w:spacing w:line="360" w:lineRule="auto"/>
        <w:ind w:firstLine="641"/>
        <w:rPr>
          <w:rFonts w:ascii="仿宋" w:hAnsi="仿宋" w:eastAsia="仿宋"/>
          <w:sz w:val="32"/>
          <w:szCs w:val="32"/>
        </w:rPr>
      </w:pPr>
      <w:r>
        <w:rPr>
          <w:rFonts w:ascii="仿宋" w:hAnsi="仿宋" w:eastAsia="仿宋"/>
          <w:sz w:val="32"/>
          <w:szCs w:val="32"/>
        </w:rPr>
        <w:t>提出加强财政管理的政策建议；组织对财政部门内部财经制度执行情况的监督检查，组织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8</w:t>
      </w:r>
      <w:r>
        <w:rPr>
          <w:rFonts w:hint="eastAsia" w:ascii="仿宋" w:hAnsi="仿宋" w:eastAsia="仿宋"/>
          <w:sz w:val="32"/>
          <w:szCs w:val="32"/>
        </w:rPr>
        <w:t>5</w:t>
      </w:r>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财务会计管理</w:t>
      </w:r>
    </w:p>
    <w:p>
      <w:pPr>
        <w:spacing w:line="360" w:lineRule="auto"/>
        <w:ind w:firstLine="641"/>
        <w:rPr>
          <w:rFonts w:ascii="仿宋" w:hAnsi="仿宋" w:eastAsia="仿宋"/>
          <w:sz w:val="32"/>
          <w:szCs w:val="32"/>
        </w:rPr>
      </w:pPr>
      <w:r>
        <w:rPr>
          <w:rFonts w:ascii="仿宋" w:hAnsi="仿宋" w:eastAsia="仿宋"/>
          <w:sz w:val="32"/>
          <w:szCs w:val="32"/>
        </w:rPr>
        <w:t>管理全县会计人员，管理会计人员继续教育培训，培训次数在</w:t>
      </w:r>
      <w:r>
        <w:rPr>
          <w:rFonts w:hint="eastAsia" w:ascii="仿宋" w:hAnsi="仿宋" w:eastAsia="仿宋"/>
          <w:sz w:val="32"/>
          <w:szCs w:val="32"/>
        </w:rPr>
        <w:t>2</w:t>
      </w:r>
      <w:r>
        <w:rPr>
          <w:rFonts w:ascii="仿宋" w:hAnsi="仿宋" w:eastAsia="仿宋"/>
          <w:sz w:val="32"/>
          <w:szCs w:val="32"/>
        </w:rPr>
        <w:t>次以上。</w:t>
      </w:r>
    </w:p>
    <w:p>
      <w:pPr>
        <w:spacing w:line="360" w:lineRule="auto"/>
        <w:ind w:firstLine="640"/>
        <w:rPr>
          <w:rFonts w:ascii="仿宋" w:hAnsi="仿宋" w:eastAsia="仿宋"/>
          <w:sz w:val="32"/>
          <w:szCs w:val="32"/>
          <w:lang w:eastAsia="zh-CN"/>
        </w:rPr>
      </w:pPr>
      <w:r>
        <w:rPr>
          <w:rFonts w:hint="eastAsia" w:ascii="仿宋" w:hAnsi="仿宋" w:eastAsia="仿宋"/>
          <w:sz w:val="32"/>
          <w:szCs w:val="32"/>
          <w:lang w:eastAsia="zh-CN"/>
        </w:rPr>
        <w:t>4.</w:t>
      </w:r>
      <w:r>
        <w:rPr>
          <w:rFonts w:ascii="仿宋" w:hAnsi="仿宋" w:eastAsia="仿宋"/>
          <w:sz w:val="32"/>
          <w:szCs w:val="32"/>
        </w:rPr>
        <w:t>党风廉政建设</w:t>
      </w:r>
    </w:p>
    <w:p>
      <w:pPr>
        <w:spacing w:line="360" w:lineRule="auto"/>
        <w:ind w:firstLine="640"/>
        <w:rPr>
          <w:rFonts w:ascii="仿宋" w:hAnsi="仿宋" w:eastAsia="仿宋"/>
          <w:sz w:val="32"/>
          <w:szCs w:val="32"/>
        </w:rPr>
      </w:pPr>
      <w:r>
        <w:rPr>
          <w:rFonts w:ascii="仿宋" w:hAnsi="仿宋" w:eastAsia="仿宋"/>
          <w:sz w:val="32"/>
          <w:szCs w:val="32"/>
        </w:rPr>
        <w:t>组织协调全局党风廉政建设和反腐败宣传教育工作，开展对党员、公务员的廉洁自律教育。实际开展教育活动次数占计划组织活动次数8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5.</w:t>
      </w:r>
      <w:r>
        <w:rPr>
          <w:rFonts w:ascii="仿宋" w:hAnsi="仿宋" w:eastAsia="仿宋"/>
          <w:sz w:val="32"/>
          <w:szCs w:val="32"/>
        </w:rPr>
        <w:t>国有资产管理</w:t>
      </w:r>
    </w:p>
    <w:p>
      <w:pPr>
        <w:spacing w:line="360" w:lineRule="auto"/>
        <w:ind w:firstLine="640"/>
        <w:rPr>
          <w:rFonts w:ascii="仿宋" w:hAnsi="仿宋" w:eastAsia="仿宋"/>
          <w:sz w:val="32"/>
          <w:szCs w:val="32"/>
        </w:rPr>
      </w:pPr>
      <w:r>
        <w:rPr>
          <w:rFonts w:ascii="仿宋" w:hAnsi="仿宋" w:eastAsia="仿宋"/>
          <w:sz w:val="32"/>
          <w:szCs w:val="32"/>
        </w:rPr>
        <w:t>拟定机关事业</w:t>
      </w:r>
      <w:r>
        <w:rPr>
          <w:rFonts w:hint="eastAsia" w:ascii="仿宋" w:hAnsi="仿宋" w:eastAsia="仿宋"/>
          <w:sz w:val="32"/>
          <w:szCs w:val="32"/>
          <w:lang w:eastAsia="zh-CN"/>
        </w:rPr>
        <w:t>部门</w:t>
      </w:r>
      <w:r>
        <w:rPr>
          <w:rFonts w:ascii="仿宋" w:hAnsi="仿宋" w:eastAsia="仿宋"/>
          <w:sz w:val="32"/>
          <w:szCs w:val="32"/>
        </w:rPr>
        <w:t>国有资产管理制度和办法，对县直行政事业</w:t>
      </w:r>
      <w:r>
        <w:rPr>
          <w:rFonts w:hint="eastAsia" w:ascii="仿宋" w:hAnsi="仿宋" w:eastAsia="仿宋"/>
          <w:sz w:val="32"/>
          <w:szCs w:val="32"/>
          <w:lang w:eastAsia="zh-CN"/>
        </w:rPr>
        <w:t>部门</w:t>
      </w:r>
      <w:r>
        <w:rPr>
          <w:rFonts w:ascii="仿宋" w:hAnsi="仿宋" w:eastAsia="仿宋"/>
          <w:sz w:val="32"/>
          <w:szCs w:val="32"/>
        </w:rPr>
        <w:t>资产配置、使用、处置事项进行管理，国有资产转让管理、产权登记、评估监督等工作。登记</w:t>
      </w:r>
      <w:r>
        <w:rPr>
          <w:rFonts w:hint="eastAsia" w:ascii="仿宋" w:hAnsi="仿宋" w:eastAsia="仿宋"/>
          <w:sz w:val="32"/>
          <w:szCs w:val="32"/>
          <w:lang w:eastAsia="zh-CN"/>
        </w:rPr>
        <w:t>部门</w:t>
      </w:r>
      <w:r>
        <w:rPr>
          <w:rFonts w:ascii="仿宋" w:hAnsi="仿宋" w:eastAsia="仿宋"/>
          <w:sz w:val="32"/>
          <w:szCs w:val="32"/>
        </w:rPr>
        <w:t>覆盖率8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6.</w:t>
      </w:r>
      <w:r>
        <w:rPr>
          <w:rFonts w:ascii="仿宋" w:hAnsi="仿宋" w:eastAsia="仿宋"/>
          <w:sz w:val="32"/>
          <w:szCs w:val="32"/>
        </w:rPr>
        <w:t>政府专项工作服务与管理</w:t>
      </w:r>
    </w:p>
    <w:p>
      <w:pPr>
        <w:spacing w:line="360" w:lineRule="auto"/>
        <w:ind w:firstLine="640"/>
        <w:rPr>
          <w:rFonts w:ascii="仿宋" w:hAnsi="仿宋" w:eastAsia="仿宋"/>
          <w:sz w:val="32"/>
          <w:szCs w:val="32"/>
        </w:rPr>
      </w:pPr>
      <w:r>
        <w:rPr>
          <w:rFonts w:ascii="仿宋" w:hAnsi="仿宋" w:eastAsia="仿宋"/>
          <w:sz w:val="32"/>
          <w:szCs w:val="32"/>
        </w:rPr>
        <w:t>负责牵头组织推进全县政府购买服务推进工作，代政府起草政府购买服务的实施办法，汇总编制全县政府向社会力量购买服务指导目录，汇总确定年度试点事项，对政府购买服务工作进行政策指导，及时汇总、反馈有关情况。政府购买服务资金占公共服务项目资金的比例10%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7.</w:t>
      </w:r>
      <w:r>
        <w:rPr>
          <w:rFonts w:ascii="仿宋" w:hAnsi="仿宋" w:eastAsia="仿宋"/>
          <w:sz w:val="32"/>
          <w:szCs w:val="32"/>
        </w:rPr>
        <w:t>综合事务管理</w:t>
      </w:r>
    </w:p>
    <w:p>
      <w:pPr>
        <w:spacing w:line="360" w:lineRule="auto"/>
        <w:ind w:firstLine="640"/>
        <w:rPr>
          <w:rFonts w:ascii="仿宋" w:hAnsi="仿宋" w:eastAsia="仿宋"/>
          <w:sz w:val="32"/>
          <w:szCs w:val="32"/>
        </w:rPr>
      </w:pPr>
      <w:r>
        <w:rPr>
          <w:rFonts w:ascii="仿宋" w:hAnsi="仿宋" w:eastAsia="仿宋"/>
          <w:sz w:val="32"/>
          <w:szCs w:val="32"/>
        </w:rPr>
        <w:t>协调处理机关日常政务；负责机关文电、会务、档案、人事教育等工作，以及应急事项的协调处置；承担机关文稿起草、督查督办、信息、宣传、新闻、安全保密、信访、政务公开、老干部管理等工作；管理机关财务等，工作完成率90%以上。</w:t>
      </w:r>
    </w:p>
    <w:p>
      <w:pPr>
        <w:pStyle w:val="24"/>
      </w:pPr>
    </w:p>
    <w:p>
      <w:pPr>
        <w:spacing w:line="500" w:lineRule="exact"/>
        <w:ind w:firstLine="560"/>
      </w:pPr>
      <w:r>
        <w:rPr>
          <w:rFonts w:eastAsia="方正仿宋_GBK" w:cs="Times New Roman"/>
          <w:color w:val="000000"/>
          <w:sz w:val="28"/>
        </w:rPr>
        <w:t>（三）工作保障措施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为</w:t>
      </w:r>
      <w:r>
        <w:rPr>
          <w:rFonts w:ascii="仿宋" w:hAnsi="仿宋" w:eastAsia="仿宋"/>
          <w:sz w:val="32"/>
          <w:szCs w:val="32"/>
        </w:rPr>
        <w:t>保障财政局各项工作正常开展，人员素质和业务水平及政治觉悟不断提升，提升服务，力求重点工作出精品，难点工作求突破、基础工作有创新、常规工作见特色，主要采取以下措施：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 xml:space="preserve">强化学习，提高工作质量 </w:t>
      </w:r>
    </w:p>
    <w:p>
      <w:pPr>
        <w:spacing w:line="360" w:lineRule="auto"/>
        <w:ind w:firstLine="640"/>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不断学习新知识，掌握新本领，开阔新思路，牢牢抓住工作主动权，更好地为人民服务，做好本职工作。深入学习党的重要会议精神、习</w:t>
      </w:r>
      <w:r>
        <w:rPr>
          <w:rFonts w:hint="eastAsia" w:ascii="仿宋" w:hAnsi="仿宋" w:eastAsia="仿宋"/>
          <w:sz w:val="32"/>
          <w:szCs w:val="32"/>
        </w:rPr>
        <w:t>近平</w:t>
      </w:r>
      <w:r>
        <w:rPr>
          <w:rFonts w:ascii="仿宋" w:hAnsi="仿宋" w:eastAsia="仿宋"/>
          <w:sz w:val="32"/>
          <w:szCs w:val="32"/>
        </w:rPr>
        <w:t>总书记重要讲话精神等上级政策理论和办公室业务知识，深刻领会和全面把握其科学内涵及精神实质，并结合”两学一做”学习教育，不断提高队伍的政治理论素养、服务水平和工作能力。同时，在思考和实践上下功夫，加强理论联系实际，提高工作的能力。</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全力组织收入，确保高限完成全年收入任务。我们会采取更加有力有效举措，确保高限完成县委、县政府确定的全年财政收入任务。一是积极与国税、地税等部门沟通协作，加强财政经济运行分析，建立健全综合治税信息共享管理机制和税源监控机制，对重点行业、重点领域和重点税种、重点税源的收入实施动态监控。二是结合公检法等部门严厉打击偷、漏、骗税行为，狠抓反面典型曝光处罚。坚决制止和纠正违规减免税收现象的发生，公平税负。三是依法加强非税收入征管，严格票据源头管理，严查执收、执罚</w:t>
      </w:r>
      <w:r>
        <w:rPr>
          <w:rFonts w:hint="eastAsia" w:ascii="仿宋" w:hAnsi="仿宋" w:eastAsia="仿宋"/>
          <w:sz w:val="32"/>
          <w:szCs w:val="32"/>
          <w:lang w:eastAsia="zh-CN"/>
        </w:rPr>
        <w:t>部门</w:t>
      </w:r>
      <w:r>
        <w:rPr>
          <w:rFonts w:ascii="仿宋" w:hAnsi="仿宋" w:eastAsia="仿宋"/>
          <w:sz w:val="32"/>
          <w:szCs w:val="32"/>
        </w:rPr>
        <w:t>落实“收支两条线”情况，确保非税收入及时入库。</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4.</w:t>
      </w:r>
      <w:r>
        <w:rPr>
          <w:rFonts w:ascii="仿宋" w:hAnsi="仿宋" w:eastAsia="仿宋"/>
          <w:sz w:val="32"/>
          <w:szCs w:val="32"/>
        </w:rPr>
        <w:t>加大改革力度，确保管理水平得到较大提升。一是进一步扩大县乡“分税制”财政体制试点，探索财政资金竞争性分配制度，提高资金使用效益。二是强化预算执行管理。按照省市提高财政资金绩效预算管理要求，切实优化财政资金配置，加快预算执行进度，提高资金运行的时效性，逐步实现财政预算管理的科学化、精细化。三是积极推行预算项目库建设，充分发挥预算项目库在预算决策中的作用，以预算项目库的不断完善带动预算项目管理水平的提高。四是深化国库管理制度改革，把国库集中支付改革向乡镇延伸，进一步规范和简化支付程序，确保资金安全，提高财政资金支付效率。五是完善政府采购制度，规范采购程序，进一步扩大采购范围和规模，开展服务项目采购试点，加强监督检查，更好地节约财政资金和发挥财政资金的最大效益。六是探索完善财政监督新机制，进一步严肃财经纪律、强化财政监督。七是推进财政信息化建设，努力将现代化、科学化、精细化理念融入到财政工作中。八是积极探索政府向社会购买公共服务工作，进一步发挥财政资金绩效。九是落实法治财政工作机制，全面推进我县法治财政建设，我们将严格按照上级要求，充分结合我县财政工作实际，进一步明确工作目标、细化工作方案，积极争取“全国财政系统法治财政建设示范</w:t>
      </w:r>
      <w:r>
        <w:rPr>
          <w:rFonts w:hint="eastAsia" w:ascii="仿宋" w:hAnsi="仿宋" w:eastAsia="仿宋"/>
          <w:sz w:val="32"/>
          <w:szCs w:val="32"/>
          <w:lang w:eastAsia="zh-CN"/>
        </w:rPr>
        <w:t>部门</w:t>
      </w:r>
      <w:r>
        <w:rPr>
          <w:rFonts w:ascii="仿宋" w:hAnsi="仿宋" w:eastAsia="仿宋"/>
          <w:sz w:val="32"/>
          <w:szCs w:val="32"/>
        </w:rPr>
        <w:t>”。</w:t>
      </w:r>
    </w:p>
    <w:p>
      <w:pPr>
        <w:spacing w:line="360" w:lineRule="auto"/>
        <w:ind w:firstLine="640"/>
      </w:pPr>
      <w:r>
        <w:rPr>
          <w:rFonts w:hint="eastAsia" w:ascii="仿宋" w:hAnsi="仿宋" w:eastAsia="仿宋"/>
          <w:sz w:val="32"/>
          <w:szCs w:val="32"/>
          <w:lang w:eastAsia="zh-CN"/>
        </w:rPr>
        <w:t>5.</w:t>
      </w:r>
      <w:r>
        <w:rPr>
          <w:rFonts w:ascii="仿宋" w:hAnsi="仿宋" w:eastAsia="仿宋"/>
          <w:sz w:val="32"/>
          <w:szCs w:val="32"/>
        </w:rPr>
        <w:t>加强作风建设，确保各项重点工作较好落实。今后，我们继续将贯彻中央和省、市、县关于党风、政风工作有关要求，尤其是十九大提出的“坚定不移全面从严治党，不断提高党的执政能力和领导水平”的新要求、新精神、新思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部门职责。</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
    <w:p>
      <w:pPr>
        <w:tabs>
          <w:tab w:val="left" w:pos="1238"/>
        </w:tabs>
        <w:rPr>
          <w:rFonts w:eastAsia="宋体"/>
          <w:lang w:eastAsia="zh-CN"/>
        </w:rPr>
        <w:sectPr>
          <w:pgSz w:w="16840" w:h="11900" w:orient="landscape"/>
          <w:pgMar w:top="1361" w:right="1020" w:bottom="1361" w:left="1020" w:header="720" w:footer="720" w:gutter="0"/>
          <w:cols w:space="720" w:num="1"/>
        </w:sectPr>
      </w:pPr>
      <w:r>
        <w:rPr>
          <w:rFonts w:hint="eastAsia" w:eastAsia="宋体"/>
          <w:lang w:eastAsia="zh-CN"/>
        </w:rPr>
        <w:tab/>
      </w:r>
      <w:r>
        <w:rPr>
          <w:rFonts w:hint="eastAsia" w:eastAsia="宋体"/>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1、2022年省级综合改革转移支付预算绩效目标表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1.提高群众生活幸福指数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评审项目数量</w:t>
            </w:r>
          </w:p>
        </w:tc>
        <w:tc>
          <w:tcPr>
            <w:tcW w:w="2466" w:type="dxa"/>
            <w:vAlign w:val="center"/>
          </w:tcPr>
          <w:p>
            <w:pPr>
              <w:pStyle w:val="14"/>
            </w:pPr>
            <w:r>
              <w:t>需要评审项目的数量</w:t>
            </w:r>
          </w:p>
        </w:tc>
        <w:tc>
          <w:tcPr>
            <w:tcW w:w="2466" w:type="dxa"/>
            <w:vAlign w:val="center"/>
          </w:tcPr>
          <w:p>
            <w:pPr>
              <w:pStyle w:val="14"/>
            </w:pPr>
            <w:r>
              <w:t>≥34个</w:t>
            </w:r>
          </w:p>
        </w:tc>
        <w:tc>
          <w:tcPr>
            <w:tcW w:w="2466" w:type="dxa"/>
            <w:vAlign w:val="center"/>
          </w:tcPr>
          <w:p>
            <w:pPr>
              <w:pStyle w:val="14"/>
            </w:pPr>
            <w:r>
              <w:t>完成数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评审报告的合格率</w:t>
            </w:r>
          </w:p>
        </w:tc>
        <w:tc>
          <w:tcPr>
            <w:tcW w:w="2466" w:type="dxa"/>
            <w:vAlign w:val="center"/>
          </w:tcPr>
          <w:p>
            <w:pPr>
              <w:pStyle w:val="14"/>
            </w:pPr>
            <w:r>
              <w:t>项目评审报告的合格率</w:t>
            </w:r>
          </w:p>
        </w:tc>
        <w:tc>
          <w:tcPr>
            <w:tcW w:w="2466" w:type="dxa"/>
            <w:vAlign w:val="center"/>
          </w:tcPr>
          <w:p>
            <w:pPr>
              <w:pStyle w:val="14"/>
            </w:pPr>
            <w:r>
              <w:t>≥95%</w:t>
            </w:r>
          </w:p>
        </w:tc>
        <w:tc>
          <w:tcPr>
            <w:tcW w:w="2466" w:type="dxa"/>
            <w:vAlign w:val="center"/>
          </w:tcPr>
          <w:p>
            <w:pPr>
              <w:pStyle w:val="14"/>
            </w:pPr>
            <w:r>
              <w:t>合成率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项目涉及的期间</w:t>
            </w:r>
          </w:p>
        </w:tc>
        <w:tc>
          <w:tcPr>
            <w:tcW w:w="2466" w:type="dxa"/>
            <w:vAlign w:val="center"/>
          </w:tcPr>
          <w:p>
            <w:pPr>
              <w:pStyle w:val="14"/>
            </w:pPr>
            <w:r>
              <w:t>项目涉及的期间</w:t>
            </w:r>
          </w:p>
        </w:tc>
        <w:tc>
          <w:tcPr>
            <w:tcW w:w="2466" w:type="dxa"/>
            <w:vAlign w:val="center"/>
          </w:tcPr>
          <w:p>
            <w:pPr>
              <w:pStyle w:val="14"/>
            </w:pPr>
            <w:r>
              <w:t>1年</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评审项目的成本</w:t>
            </w:r>
          </w:p>
        </w:tc>
        <w:tc>
          <w:tcPr>
            <w:tcW w:w="2466" w:type="dxa"/>
            <w:vAlign w:val="center"/>
          </w:tcPr>
          <w:p>
            <w:pPr>
              <w:pStyle w:val="14"/>
            </w:pPr>
            <w:r>
              <w:t>评审项目的成本</w:t>
            </w:r>
          </w:p>
        </w:tc>
        <w:tc>
          <w:tcPr>
            <w:tcW w:w="2466" w:type="dxa"/>
            <w:vAlign w:val="center"/>
          </w:tcPr>
          <w:p>
            <w:pPr>
              <w:pStyle w:val="14"/>
            </w:pPr>
            <w:r>
              <w:t xml:space="preserve">按照评审业务约定 </w:t>
            </w:r>
          </w:p>
        </w:tc>
        <w:tc>
          <w:tcPr>
            <w:tcW w:w="2466" w:type="dxa"/>
            <w:vAlign w:val="center"/>
          </w:tcPr>
          <w:p>
            <w:pPr>
              <w:pStyle w:val="14"/>
            </w:pPr>
            <w:r>
              <w:t>业务约定书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 xml:space="preserve">项目实现功能 </w:t>
            </w:r>
          </w:p>
        </w:tc>
        <w:tc>
          <w:tcPr>
            <w:tcW w:w="2466" w:type="dxa"/>
            <w:vAlign w:val="center"/>
          </w:tcPr>
          <w:p>
            <w:pPr>
              <w:pStyle w:val="14"/>
            </w:pPr>
            <w:r>
              <w:t>项目实现功能 ，群众的满意度</w:t>
            </w:r>
          </w:p>
        </w:tc>
        <w:tc>
          <w:tcPr>
            <w:tcW w:w="2466"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提升群众幸福指数</w:t>
            </w:r>
          </w:p>
        </w:tc>
        <w:tc>
          <w:tcPr>
            <w:tcW w:w="2466" w:type="dxa"/>
            <w:vAlign w:val="center"/>
          </w:tcPr>
          <w:p>
            <w:pPr>
              <w:pStyle w:val="14"/>
            </w:pPr>
            <w:r>
              <w:t>提升群众幸福指数</w:t>
            </w:r>
          </w:p>
        </w:tc>
        <w:tc>
          <w:tcPr>
            <w:tcW w:w="2466"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2、财政评审咨询费用绩效目标表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1.完成重点项目评审，节约财政资金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完成集中评审项目数量</w:t>
            </w:r>
          </w:p>
        </w:tc>
        <w:tc>
          <w:tcPr>
            <w:tcW w:w="2466" w:type="dxa"/>
            <w:vAlign w:val="center"/>
          </w:tcPr>
          <w:p>
            <w:pPr>
              <w:pStyle w:val="14"/>
            </w:pPr>
            <w:r>
              <w:t>完成集中评审项目数量</w:t>
            </w:r>
          </w:p>
        </w:tc>
        <w:tc>
          <w:tcPr>
            <w:tcW w:w="2466" w:type="dxa"/>
            <w:vAlign w:val="center"/>
          </w:tcPr>
          <w:p>
            <w:pPr>
              <w:pStyle w:val="14"/>
            </w:pPr>
            <w:r>
              <w:t>≥220个</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审计项目报告合格率</w:t>
            </w:r>
          </w:p>
        </w:tc>
        <w:tc>
          <w:tcPr>
            <w:tcW w:w="2466" w:type="dxa"/>
            <w:vAlign w:val="center"/>
          </w:tcPr>
          <w:p>
            <w:pPr>
              <w:pStyle w:val="14"/>
            </w:pPr>
            <w:r>
              <w:t>审计项目报告合格率</w:t>
            </w:r>
          </w:p>
        </w:tc>
        <w:tc>
          <w:tcPr>
            <w:tcW w:w="2466" w:type="dxa"/>
            <w:vAlign w:val="center"/>
          </w:tcPr>
          <w:p>
            <w:pPr>
              <w:pStyle w:val="14"/>
            </w:pPr>
            <w:r>
              <w:t>≥98%</w:t>
            </w:r>
          </w:p>
        </w:tc>
        <w:tc>
          <w:tcPr>
            <w:tcW w:w="2466"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项目涉及期间</w:t>
            </w:r>
          </w:p>
        </w:tc>
        <w:tc>
          <w:tcPr>
            <w:tcW w:w="2466" w:type="dxa"/>
            <w:vAlign w:val="center"/>
          </w:tcPr>
          <w:p>
            <w:pPr>
              <w:pStyle w:val="14"/>
            </w:pPr>
            <w:r>
              <w:t>项目涉及期间</w:t>
            </w:r>
          </w:p>
        </w:tc>
        <w:tc>
          <w:tcPr>
            <w:tcW w:w="2466" w:type="dxa"/>
            <w:vAlign w:val="center"/>
          </w:tcPr>
          <w:p>
            <w:pPr>
              <w:pStyle w:val="14"/>
            </w:pPr>
            <w:r>
              <w:t>1年</w:t>
            </w:r>
          </w:p>
        </w:tc>
        <w:tc>
          <w:tcPr>
            <w:tcW w:w="2466" w:type="dxa"/>
            <w:vAlign w:val="center"/>
          </w:tcPr>
          <w:p>
            <w:pPr>
              <w:pStyle w:val="14"/>
            </w:pPr>
            <w:r>
              <w:t>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评审项目成本</w:t>
            </w:r>
          </w:p>
        </w:tc>
        <w:tc>
          <w:tcPr>
            <w:tcW w:w="2466" w:type="dxa"/>
            <w:vAlign w:val="center"/>
          </w:tcPr>
          <w:p>
            <w:pPr>
              <w:pStyle w:val="14"/>
            </w:pPr>
            <w:r>
              <w:t>评审项目成本</w:t>
            </w:r>
          </w:p>
        </w:tc>
        <w:tc>
          <w:tcPr>
            <w:tcW w:w="2466" w:type="dxa"/>
            <w:vAlign w:val="center"/>
          </w:tcPr>
          <w:p>
            <w:pPr>
              <w:pStyle w:val="14"/>
            </w:pPr>
            <w:r>
              <w:t>按照中介机构项目评审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项目实现功能</w:t>
            </w:r>
          </w:p>
        </w:tc>
        <w:tc>
          <w:tcPr>
            <w:tcW w:w="2466" w:type="dxa"/>
            <w:vAlign w:val="center"/>
          </w:tcPr>
          <w:p>
            <w:pPr>
              <w:pStyle w:val="14"/>
            </w:pPr>
            <w:r>
              <w:t>项目实现功能，群众满意度</w:t>
            </w:r>
          </w:p>
        </w:tc>
        <w:tc>
          <w:tcPr>
            <w:tcW w:w="2466"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项目建成成果</w:t>
            </w:r>
          </w:p>
        </w:tc>
        <w:tc>
          <w:tcPr>
            <w:tcW w:w="2466" w:type="dxa"/>
            <w:vAlign w:val="center"/>
          </w:tcPr>
          <w:p>
            <w:pPr>
              <w:pStyle w:val="14"/>
            </w:pPr>
            <w:r>
              <w:t>项目建成成果</w:t>
            </w:r>
          </w:p>
        </w:tc>
        <w:tc>
          <w:tcPr>
            <w:tcW w:w="2466"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不体现</w:t>
            </w:r>
          </w:p>
        </w:tc>
        <w:tc>
          <w:tcPr>
            <w:tcW w:w="2466" w:type="dxa"/>
            <w:vAlign w:val="center"/>
          </w:tcPr>
          <w:p>
            <w:pPr>
              <w:pStyle w:val="14"/>
            </w:pPr>
            <w:r>
              <w:t>不体现</w:t>
            </w:r>
          </w:p>
        </w:tc>
        <w:tc>
          <w:tcPr>
            <w:tcW w:w="2466" w:type="dxa"/>
            <w:vAlign w:val="center"/>
          </w:tcPr>
          <w:p>
            <w:pPr>
              <w:pStyle w:val="14"/>
            </w:pPr>
            <w:r>
              <w:t>不体现</w:t>
            </w:r>
          </w:p>
        </w:tc>
        <w:tc>
          <w:tcPr>
            <w:tcW w:w="2466"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节约财政资金</w:t>
            </w:r>
          </w:p>
        </w:tc>
        <w:tc>
          <w:tcPr>
            <w:tcW w:w="2466" w:type="dxa"/>
            <w:vAlign w:val="center"/>
          </w:tcPr>
          <w:p>
            <w:pPr>
              <w:pStyle w:val="14"/>
            </w:pPr>
            <w:r>
              <w:t>节约财政资金</w:t>
            </w:r>
          </w:p>
        </w:tc>
        <w:tc>
          <w:tcPr>
            <w:tcW w:w="2466" w:type="dxa"/>
            <w:vAlign w:val="center"/>
          </w:tcPr>
          <w:p>
            <w:pPr>
              <w:pStyle w:val="14"/>
            </w:pPr>
            <w:r>
              <w:t>节约财政资金</w:t>
            </w:r>
          </w:p>
        </w:tc>
        <w:tc>
          <w:tcPr>
            <w:tcW w:w="2466" w:type="dxa"/>
            <w:vAlign w:val="center"/>
          </w:tcPr>
          <w:p>
            <w:pPr>
              <w:pStyle w:val="14"/>
            </w:pPr>
            <w:r>
              <w:t>节约财政资金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2023年，成安县财政局安排政府采购预算</w:t>
      </w:r>
      <w:r>
        <w:rPr>
          <w:rFonts w:hint="eastAsia" w:eastAsia="方正仿宋_GBK" w:cs="Times New Roman"/>
          <w:color w:val="000000"/>
          <w:sz w:val="28"/>
          <w:lang w:eastAsia="zh-CN"/>
        </w:rPr>
        <w:t>3.5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318成安县财政局</w:t>
            </w:r>
          </w:p>
        </w:tc>
        <w:tc>
          <w:tcPr>
            <w:tcW w:w="8676" w:type="dxa"/>
            <w:gridSpan w:val="9"/>
            <w:tcBorders>
              <w:top w:val="single" w:color="FFFFFF" w:sz="6" w:space="0"/>
              <w:left w:val="single" w:color="FFFFFF" w:sz="6" w:space="0"/>
              <w:right w:val="single" w:color="FFFFFF" w:sz="6" w:space="0"/>
            </w:tcBorders>
            <w:vAlign w:val="center"/>
          </w:tcPr>
          <w:p>
            <w:pPr>
              <w:pStyle w:val="2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rPr>
                <w:rFonts w:hint="eastAsia"/>
                <w:lang w:eastAsia="zh-CN"/>
              </w:rPr>
              <w:t>部门</w:t>
            </w:r>
            <w:r>
              <w:t xml:space="preserve">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Theme="minorEastAsia"/>
                <w:lang w:eastAsia="zh-CN"/>
              </w:rPr>
            </w:pPr>
            <w:r>
              <w:rPr>
                <w:rFonts w:hint="eastAsia" w:eastAsiaTheme="minorEastAsia"/>
                <w:lang w:eastAsia="zh-CN"/>
              </w:rPr>
              <w:t>合计</w:t>
            </w:r>
          </w:p>
        </w:tc>
        <w:tc>
          <w:tcPr>
            <w:tcW w:w="964" w:type="dxa"/>
            <w:vAlign w:val="center"/>
          </w:tcPr>
          <w:p>
            <w:pPr>
              <w:pStyle w:val="13"/>
              <w:rPr>
                <w:lang w:eastAsia="zh-CN"/>
              </w:rPr>
            </w:pPr>
            <w:r>
              <w:rPr>
                <w:rFonts w:hint="eastAsia"/>
                <w:lang w:eastAsia="zh-CN"/>
              </w:rPr>
              <w:t>3.5</w:t>
            </w:r>
          </w:p>
        </w:tc>
        <w:tc>
          <w:tcPr>
            <w:tcW w:w="1134" w:type="dxa"/>
            <w:vAlign w:val="center"/>
          </w:tcPr>
          <w:p>
            <w:pPr>
              <w:pStyle w:val="14"/>
              <w:rPr>
                <w:lang w:eastAsia="zh-CN"/>
              </w:rPr>
            </w:pPr>
          </w:p>
        </w:tc>
        <w:tc>
          <w:tcPr>
            <w:tcW w:w="1134" w:type="dxa"/>
            <w:vAlign w:val="center"/>
          </w:tcPr>
          <w:p>
            <w:pPr>
              <w:pStyle w:val="14"/>
              <w:rPr>
                <w:lang w:eastAsia="zh-CN"/>
              </w:rPr>
            </w:pPr>
          </w:p>
        </w:tc>
        <w:tc>
          <w:tcPr>
            <w:tcW w:w="709" w:type="dxa"/>
            <w:vAlign w:val="center"/>
          </w:tcPr>
          <w:p>
            <w:pPr>
              <w:pStyle w:val="15"/>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r>
              <w:rPr>
                <w:rFonts w:hint="eastAsia"/>
                <w:lang w:eastAsia="zh-CN"/>
              </w:rPr>
              <w:t>3.06</w:t>
            </w:r>
          </w:p>
        </w:tc>
        <w:tc>
          <w:tcPr>
            <w:tcW w:w="964" w:type="dxa"/>
            <w:vAlign w:val="center"/>
          </w:tcPr>
          <w:p>
            <w:pPr>
              <w:pStyle w:val="13"/>
              <w:rPr>
                <w:lang w:eastAsia="zh-CN"/>
              </w:rPr>
            </w:pPr>
            <w:r>
              <w:rPr>
                <w:rFonts w:hint="eastAsia"/>
                <w:lang w:eastAsia="zh-CN"/>
              </w:rPr>
              <w:t>3.06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日常公用经费</w:t>
            </w:r>
          </w:p>
        </w:tc>
        <w:tc>
          <w:tcPr>
            <w:tcW w:w="964" w:type="dxa"/>
            <w:vAlign w:val="center"/>
          </w:tcPr>
          <w:p>
            <w:pPr>
              <w:pStyle w:val="13"/>
              <w:rPr>
                <w:lang w:eastAsia="zh-CN"/>
              </w:rPr>
            </w:pPr>
            <w:r>
              <w:rPr>
                <w:rFonts w:hint="eastAsia"/>
                <w:lang w:eastAsia="zh-CN"/>
              </w:rPr>
              <w:t>2</w:t>
            </w:r>
          </w:p>
        </w:tc>
        <w:tc>
          <w:tcPr>
            <w:tcW w:w="1134" w:type="dxa"/>
            <w:vAlign w:val="center"/>
          </w:tcPr>
          <w:p>
            <w:pPr>
              <w:pStyle w:val="14"/>
              <w:rPr>
                <w:lang w:eastAsia="zh-CN"/>
              </w:rPr>
            </w:pPr>
            <w:r>
              <w:rPr>
                <w:rFonts w:hint="eastAsia"/>
                <w:lang w:eastAsia="zh-CN"/>
              </w:rPr>
              <w:t>打印机</w:t>
            </w:r>
          </w:p>
        </w:tc>
        <w:tc>
          <w:tcPr>
            <w:tcW w:w="1134" w:type="dxa"/>
            <w:vAlign w:val="center"/>
          </w:tcPr>
          <w:p>
            <w:pPr>
              <w:pStyle w:val="14"/>
              <w:rPr>
                <w:lang w:eastAsia="zh-CN"/>
              </w:rPr>
            </w:pPr>
          </w:p>
        </w:tc>
        <w:tc>
          <w:tcPr>
            <w:tcW w:w="709" w:type="dxa"/>
            <w:vAlign w:val="center"/>
          </w:tcPr>
          <w:p>
            <w:pPr>
              <w:pStyle w:val="15"/>
              <w:rPr>
                <w:lang w:eastAsia="zh-CN"/>
              </w:rPr>
            </w:pPr>
            <w:r>
              <w:rPr>
                <w:rFonts w:hint="eastAsia"/>
                <w:lang w:eastAsia="zh-CN"/>
              </w:rPr>
              <w:t>台</w:t>
            </w:r>
          </w:p>
        </w:tc>
        <w:tc>
          <w:tcPr>
            <w:tcW w:w="850" w:type="dxa"/>
            <w:vAlign w:val="center"/>
          </w:tcPr>
          <w:p>
            <w:pPr>
              <w:pStyle w:val="13"/>
              <w:rPr>
                <w:lang w:eastAsia="zh-CN"/>
              </w:rPr>
            </w:pPr>
            <w:r>
              <w:rPr>
                <w:rFonts w:hint="eastAsia"/>
                <w:lang w:eastAsia="zh-CN"/>
              </w:rPr>
              <w:t>3</w:t>
            </w:r>
          </w:p>
        </w:tc>
        <w:tc>
          <w:tcPr>
            <w:tcW w:w="850" w:type="dxa"/>
            <w:vAlign w:val="center"/>
          </w:tcPr>
          <w:p>
            <w:pPr>
              <w:pStyle w:val="13"/>
              <w:rPr>
                <w:lang w:eastAsia="zh-CN"/>
              </w:rPr>
            </w:pPr>
            <w:r>
              <w:rPr>
                <w:rFonts w:hint="eastAsia"/>
                <w:lang w:eastAsia="zh-CN"/>
              </w:rPr>
              <w:t>0.55</w:t>
            </w:r>
          </w:p>
        </w:tc>
        <w:tc>
          <w:tcPr>
            <w:tcW w:w="964" w:type="dxa"/>
            <w:vAlign w:val="center"/>
          </w:tcPr>
          <w:p>
            <w:pPr>
              <w:pStyle w:val="13"/>
              <w:rPr>
                <w:lang w:eastAsia="zh-CN"/>
              </w:rPr>
            </w:pPr>
            <w:r>
              <w:rPr>
                <w:rFonts w:hint="eastAsia"/>
                <w:lang w:eastAsia="zh-CN"/>
              </w:rPr>
              <w:t>1.65</w:t>
            </w:r>
          </w:p>
        </w:tc>
        <w:tc>
          <w:tcPr>
            <w:tcW w:w="964" w:type="dxa"/>
            <w:vAlign w:val="center"/>
          </w:tcPr>
          <w:p>
            <w:pPr>
              <w:pStyle w:val="13"/>
              <w:rPr>
                <w:lang w:eastAsia="zh-CN"/>
              </w:rPr>
            </w:pPr>
            <w:r>
              <w:rPr>
                <w:rFonts w:hint="eastAsia"/>
                <w:lang w:eastAsia="zh-CN"/>
              </w:rPr>
              <w:t>1.65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日常公用经费</w:t>
            </w:r>
          </w:p>
        </w:tc>
        <w:tc>
          <w:tcPr>
            <w:tcW w:w="964" w:type="dxa"/>
            <w:vAlign w:val="center"/>
          </w:tcPr>
          <w:p>
            <w:pPr>
              <w:pStyle w:val="13"/>
              <w:rPr>
                <w:lang w:eastAsia="zh-CN"/>
              </w:rPr>
            </w:pPr>
            <w:r>
              <w:rPr>
                <w:rFonts w:hint="eastAsia"/>
                <w:lang w:eastAsia="zh-CN"/>
              </w:rPr>
              <w:t>1.5</w:t>
            </w:r>
          </w:p>
        </w:tc>
        <w:tc>
          <w:tcPr>
            <w:tcW w:w="1134" w:type="dxa"/>
            <w:vAlign w:val="center"/>
          </w:tcPr>
          <w:p>
            <w:pPr>
              <w:pStyle w:val="14"/>
              <w:rPr>
                <w:lang w:eastAsia="zh-CN"/>
              </w:rPr>
            </w:pPr>
            <w:r>
              <w:rPr>
                <w:rFonts w:hint="eastAsia"/>
                <w:lang w:eastAsia="zh-CN"/>
              </w:rPr>
              <w:t>电脑</w:t>
            </w:r>
          </w:p>
        </w:tc>
        <w:tc>
          <w:tcPr>
            <w:tcW w:w="1134" w:type="dxa"/>
            <w:vAlign w:val="center"/>
          </w:tcPr>
          <w:p>
            <w:pPr>
              <w:pStyle w:val="14"/>
              <w:rPr>
                <w:lang w:eastAsia="zh-CN"/>
              </w:rPr>
            </w:pPr>
          </w:p>
        </w:tc>
        <w:tc>
          <w:tcPr>
            <w:tcW w:w="709" w:type="dxa"/>
            <w:vAlign w:val="center"/>
          </w:tcPr>
          <w:p>
            <w:pPr>
              <w:pStyle w:val="15"/>
              <w:rPr>
                <w:lang w:eastAsia="zh-CN"/>
              </w:rPr>
            </w:pPr>
            <w:r>
              <w:rPr>
                <w:rFonts w:hint="eastAsia"/>
                <w:lang w:eastAsia="zh-CN"/>
              </w:rPr>
              <w:t>台</w:t>
            </w:r>
          </w:p>
        </w:tc>
        <w:tc>
          <w:tcPr>
            <w:tcW w:w="850" w:type="dxa"/>
            <w:vAlign w:val="center"/>
          </w:tcPr>
          <w:p>
            <w:pPr>
              <w:pStyle w:val="13"/>
              <w:rPr>
                <w:lang w:eastAsia="zh-CN"/>
              </w:rPr>
            </w:pPr>
            <w:r>
              <w:rPr>
                <w:rFonts w:hint="eastAsia"/>
                <w:lang w:eastAsia="zh-CN"/>
              </w:rPr>
              <w:t>3</w:t>
            </w:r>
          </w:p>
        </w:tc>
        <w:tc>
          <w:tcPr>
            <w:tcW w:w="850" w:type="dxa"/>
            <w:vAlign w:val="center"/>
          </w:tcPr>
          <w:p>
            <w:pPr>
              <w:pStyle w:val="13"/>
              <w:rPr>
                <w:lang w:eastAsia="zh-CN"/>
              </w:rPr>
            </w:pPr>
            <w:r>
              <w:rPr>
                <w:rFonts w:hint="eastAsia"/>
                <w:lang w:eastAsia="zh-CN"/>
              </w:rPr>
              <w:t>0.47</w:t>
            </w:r>
          </w:p>
        </w:tc>
        <w:tc>
          <w:tcPr>
            <w:tcW w:w="964" w:type="dxa"/>
            <w:vAlign w:val="center"/>
          </w:tcPr>
          <w:p>
            <w:pPr>
              <w:pStyle w:val="13"/>
              <w:rPr>
                <w:lang w:eastAsia="zh-CN"/>
              </w:rPr>
            </w:pPr>
            <w:r>
              <w:rPr>
                <w:rFonts w:hint="eastAsia"/>
                <w:lang w:eastAsia="zh-CN"/>
              </w:rPr>
              <w:t>1.41</w:t>
            </w:r>
          </w:p>
        </w:tc>
        <w:tc>
          <w:tcPr>
            <w:tcW w:w="964" w:type="dxa"/>
            <w:vAlign w:val="center"/>
          </w:tcPr>
          <w:p>
            <w:pPr>
              <w:pStyle w:val="13"/>
              <w:rPr>
                <w:lang w:eastAsia="zh-CN"/>
              </w:rPr>
            </w:pPr>
            <w:r>
              <w:rPr>
                <w:rFonts w:hint="eastAsia"/>
                <w:lang w:eastAsia="zh-CN"/>
              </w:rPr>
              <w:t>1.41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成安县财政局（含所属</w:t>
      </w:r>
      <w:r>
        <w:rPr>
          <w:rFonts w:hint="eastAsia" w:eastAsia="方正仿宋_GBK" w:cs="Times New Roman"/>
          <w:color w:val="000000"/>
          <w:sz w:val="28"/>
          <w:lang w:eastAsia="zh-CN"/>
        </w:rPr>
        <w:t>部门</w:t>
      </w:r>
      <w:r>
        <w:rPr>
          <w:rFonts w:eastAsia="方正仿宋_GBK" w:cs="Times New Roman"/>
          <w:color w:val="000000"/>
          <w:sz w:val="28"/>
        </w:rPr>
        <w:t>）上年末固定资产金额为</w:t>
      </w:r>
      <w:r>
        <w:rPr>
          <w:rFonts w:hint="eastAsia" w:eastAsia="方正仿宋_GBK" w:cs="Times New Roman"/>
          <w:color w:val="000000"/>
          <w:sz w:val="28"/>
          <w:lang w:eastAsia="zh-CN"/>
        </w:rPr>
        <w:t>809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3.5</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318成安县财政局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资产总额</w:t>
            </w:r>
          </w:p>
        </w:tc>
        <w:tc>
          <w:tcPr>
            <w:tcW w:w="2835" w:type="dxa"/>
            <w:vAlign w:val="center"/>
          </w:tcPr>
          <w:p>
            <w:pPr>
              <w:pStyle w:val="15"/>
            </w:pPr>
          </w:p>
        </w:tc>
        <w:tc>
          <w:tcPr>
            <w:tcW w:w="2835" w:type="dxa"/>
            <w:vAlign w:val="center"/>
          </w:tcPr>
          <w:p>
            <w:pPr>
              <w:pStyle w:val="13"/>
              <w:rPr>
                <w:lang w:eastAsia="zh-CN"/>
              </w:rPr>
            </w:pPr>
            <w:r>
              <w:rPr>
                <w:rFonts w:hint="eastAsia"/>
                <w:lang w:eastAsia="zh-CN"/>
              </w:rP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1、房屋（平方米）</w:t>
            </w:r>
          </w:p>
        </w:tc>
        <w:tc>
          <w:tcPr>
            <w:tcW w:w="2835" w:type="dxa"/>
            <w:vAlign w:val="center"/>
          </w:tcPr>
          <w:p>
            <w:pPr>
              <w:pStyle w:val="15"/>
              <w:rPr>
                <w:lang w:eastAsia="zh-CN"/>
              </w:rPr>
            </w:pPr>
            <w:r>
              <w:rPr>
                <w:rFonts w:hint="eastAsia"/>
                <w:lang w:eastAsia="zh-CN"/>
              </w:rPr>
              <w:t>3638</w:t>
            </w:r>
          </w:p>
        </w:tc>
        <w:tc>
          <w:tcPr>
            <w:tcW w:w="2835" w:type="dxa"/>
            <w:vAlign w:val="center"/>
          </w:tcPr>
          <w:p>
            <w:pPr>
              <w:pStyle w:val="13"/>
              <w:rPr>
                <w:lang w:eastAsia="zh-CN"/>
              </w:rPr>
            </w:pPr>
            <w:r>
              <w:rPr>
                <w:rFonts w:hint="eastAsia"/>
                <w:lang w:eastAsia="zh-CN"/>
              </w:rP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其中：办公用房</w:t>
            </w:r>
          </w:p>
        </w:tc>
        <w:tc>
          <w:tcPr>
            <w:tcW w:w="2835" w:type="dxa"/>
            <w:vAlign w:val="center"/>
          </w:tcPr>
          <w:p>
            <w:pPr>
              <w:pStyle w:val="15"/>
              <w:rPr>
                <w:lang w:eastAsia="zh-CN"/>
              </w:rPr>
            </w:pPr>
            <w:r>
              <w:rPr>
                <w:rFonts w:hint="eastAsia"/>
                <w:lang w:eastAsia="zh-CN"/>
              </w:rPr>
              <w:t>790</w:t>
            </w:r>
          </w:p>
        </w:tc>
        <w:tc>
          <w:tcPr>
            <w:tcW w:w="2835" w:type="dxa"/>
            <w:vAlign w:val="center"/>
          </w:tcPr>
          <w:p>
            <w:pPr>
              <w:pStyle w:val="13"/>
              <w:rPr>
                <w:lang w:eastAsia="zh-CN"/>
              </w:rPr>
            </w:pPr>
            <w:r>
              <w:rPr>
                <w:rFonts w:hint="eastAsia"/>
                <w:lang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2、车辆（台、辆）</w:t>
            </w:r>
          </w:p>
        </w:tc>
        <w:tc>
          <w:tcPr>
            <w:tcW w:w="2835" w:type="dxa"/>
            <w:vAlign w:val="center"/>
          </w:tcPr>
          <w:p>
            <w:pPr>
              <w:pStyle w:val="15"/>
              <w:rPr>
                <w:lang w:eastAsia="zh-CN"/>
              </w:rPr>
            </w:pPr>
            <w:r>
              <w:rPr>
                <w:rFonts w:hint="eastAsia"/>
                <w:lang w:eastAsia="zh-CN"/>
              </w:rPr>
              <w:t>1</w:t>
            </w:r>
          </w:p>
        </w:tc>
        <w:tc>
          <w:tcPr>
            <w:tcW w:w="2835" w:type="dxa"/>
            <w:vAlign w:val="center"/>
          </w:tcPr>
          <w:p>
            <w:pPr>
              <w:pStyle w:val="13"/>
              <w:rPr>
                <w:lang w:eastAsia="zh-CN"/>
              </w:rPr>
            </w:pPr>
            <w:r>
              <w:rPr>
                <w:rFonts w:hint="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3、部门价值50万元以上的设备</w:t>
            </w:r>
          </w:p>
        </w:tc>
        <w:tc>
          <w:tcPr>
            <w:tcW w:w="2835" w:type="dxa"/>
            <w:vAlign w:val="center"/>
          </w:tcPr>
          <w:p>
            <w:pPr>
              <w:pStyle w:val="15"/>
            </w:pPr>
          </w:p>
        </w:tc>
        <w:tc>
          <w:tcPr>
            <w:tcW w:w="2835"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4、其他固定资产</w:t>
            </w:r>
          </w:p>
        </w:tc>
        <w:tc>
          <w:tcPr>
            <w:tcW w:w="2835" w:type="dxa"/>
            <w:vAlign w:val="center"/>
          </w:tcPr>
          <w:p>
            <w:pPr>
              <w:pStyle w:val="15"/>
            </w:pPr>
          </w:p>
        </w:tc>
        <w:tc>
          <w:tcPr>
            <w:tcW w:w="2835" w:type="dxa"/>
            <w:vAlign w:val="center"/>
          </w:tcPr>
          <w:p>
            <w:pPr>
              <w:pStyle w:val="13"/>
              <w:rPr>
                <w:lang w:eastAsia="zh-CN"/>
              </w:rPr>
            </w:pPr>
            <w:r>
              <w:rPr>
                <w:rFonts w:hint="eastAsia"/>
                <w:lang w:eastAsia="zh-CN"/>
              </w:rPr>
              <w:t>271</w:t>
            </w:r>
          </w:p>
        </w:tc>
      </w:tr>
    </w:tbl>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w:t>
      </w:r>
      <w:r>
        <w:rPr>
          <w:rFonts w:hint="eastAsia" w:eastAsia="方正仿宋_GBK" w:cs="Times New Roman"/>
          <w:color w:val="000000"/>
          <w:sz w:val="28"/>
          <w:lang w:eastAsia="zh-CN"/>
        </w:rPr>
        <w:t>部门</w:t>
      </w:r>
      <w:r>
        <w:rPr>
          <w:rFonts w:eastAsia="方正仿宋_GBK" w:cs="Times New Roman"/>
          <w:color w:val="000000"/>
          <w:sz w:val="28"/>
        </w:rPr>
        <w:t>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w:t>
      </w:r>
      <w:r>
        <w:rPr>
          <w:rFonts w:hint="eastAsia" w:eastAsia="方正仿宋_GBK" w:cs="Times New Roman"/>
          <w:color w:val="000000"/>
          <w:sz w:val="28"/>
          <w:lang w:eastAsia="zh-CN"/>
        </w:rPr>
        <w:t>部门</w:t>
      </w:r>
      <w:r>
        <w:rPr>
          <w:rFonts w:eastAsia="方正仿宋_GBK" w:cs="Times New Roman"/>
          <w:color w:val="000000"/>
          <w:sz w:val="28"/>
        </w:rPr>
        <w:t>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w:t>
      </w:r>
      <w:r>
        <w:rPr>
          <w:rFonts w:hint="eastAsia" w:eastAsia="方正仿宋_GBK" w:cs="Times New Roman"/>
          <w:color w:val="000000"/>
          <w:sz w:val="28"/>
          <w:lang w:eastAsia="zh-CN"/>
        </w:rPr>
        <w:t>部门</w:t>
      </w:r>
      <w:r>
        <w:rPr>
          <w:rFonts w:eastAsia="方正仿宋_GBK" w:cs="Times New Roman"/>
          <w:color w:val="000000"/>
          <w:sz w:val="28"/>
        </w:rPr>
        <w:t>公务出国（境）的住宿费、旅费、伙食补助费、杂费、培训费等支出；公务用车购置及运维费反映</w:t>
      </w:r>
      <w:r>
        <w:rPr>
          <w:rFonts w:hint="eastAsia" w:eastAsia="方正仿宋_GBK" w:cs="Times New Roman"/>
          <w:color w:val="000000"/>
          <w:sz w:val="28"/>
          <w:lang w:eastAsia="zh-CN"/>
        </w:rPr>
        <w:t>部门</w:t>
      </w:r>
      <w:r>
        <w:rPr>
          <w:rFonts w:eastAsia="方正仿宋_GBK" w:cs="Times New Roman"/>
          <w:color w:val="000000"/>
          <w:sz w:val="28"/>
        </w:rPr>
        <w:t>公务用车购置费及租用费、燃料费、维修费、过路过桥费、保险费、安全奖励费用等支出；公务接待费反映</w:t>
      </w:r>
      <w:r>
        <w:rPr>
          <w:rFonts w:hint="eastAsia" w:eastAsia="方正仿宋_GBK" w:cs="Times New Roman"/>
          <w:color w:val="000000"/>
          <w:sz w:val="28"/>
          <w:lang w:eastAsia="zh-CN"/>
        </w:rPr>
        <w:t>部门</w:t>
      </w:r>
      <w:r>
        <w:rPr>
          <w:rFonts w:eastAsia="方正仿宋_GBK" w:cs="Times New Roman"/>
          <w:color w:val="000000"/>
          <w:sz w:val="28"/>
        </w:rPr>
        <w:t>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w:t>
      </w:r>
      <w:r>
        <w:rPr>
          <w:rFonts w:hint="eastAsia" w:eastAsia="方正仿宋_GBK" w:cs="Times New Roman"/>
          <w:b/>
          <w:color w:val="000000"/>
          <w:sz w:val="28"/>
          <w:lang w:eastAsia="zh-CN"/>
        </w:rPr>
        <w:t>部门</w:t>
      </w:r>
      <w:r>
        <w:rPr>
          <w:rFonts w:eastAsia="方正仿宋_GBK" w:cs="Times New Roman"/>
          <w:b/>
          <w:color w:val="000000"/>
          <w:sz w:val="28"/>
        </w:rPr>
        <w:t>经营支出：</w:t>
      </w:r>
      <w:r>
        <w:rPr>
          <w:rFonts w:eastAsia="方正仿宋_GBK" w:cs="Times New Roman"/>
          <w:color w:val="000000"/>
          <w:sz w:val="28"/>
        </w:rPr>
        <w:t>指事业</w:t>
      </w:r>
      <w:r>
        <w:rPr>
          <w:rFonts w:hint="eastAsia" w:eastAsia="方正仿宋_GBK" w:cs="Times New Roman"/>
          <w:color w:val="000000"/>
          <w:sz w:val="28"/>
          <w:lang w:eastAsia="zh-CN"/>
        </w:rPr>
        <w:t>部门</w:t>
      </w:r>
      <w:r>
        <w:rPr>
          <w:rFonts w:eastAsia="方正仿宋_GBK" w:cs="Times New Roman"/>
          <w:color w:val="000000"/>
          <w:sz w:val="28"/>
        </w:rPr>
        <w:t>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530154"/>
    <w:multiLevelType w:val="singleLevel"/>
    <w:tmpl w:val="7C5301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hlOWUyODE0OWQ2ZTM2OGU4ZjU1MTE4ZGMzOTQyM2EifQ=="/>
  </w:docVars>
  <w:rsids>
    <w:rsidRoot w:val="00A50456"/>
    <w:rsid w:val="00084551"/>
    <w:rsid w:val="00393643"/>
    <w:rsid w:val="00424BA4"/>
    <w:rsid w:val="004D1A36"/>
    <w:rsid w:val="006674B3"/>
    <w:rsid w:val="0082023D"/>
    <w:rsid w:val="008E2918"/>
    <w:rsid w:val="00907C9A"/>
    <w:rsid w:val="00A50456"/>
    <w:rsid w:val="00BE399A"/>
    <w:rsid w:val="00C4540E"/>
    <w:rsid w:val="00CF1882"/>
    <w:rsid w:val="022F73A2"/>
    <w:rsid w:val="062E56B4"/>
    <w:rsid w:val="0D796753"/>
    <w:rsid w:val="13877700"/>
    <w:rsid w:val="18084A0B"/>
    <w:rsid w:val="1E387A54"/>
    <w:rsid w:val="1E590C20"/>
    <w:rsid w:val="206952E8"/>
    <w:rsid w:val="33971698"/>
    <w:rsid w:val="362A6143"/>
    <w:rsid w:val="36AA6313"/>
    <w:rsid w:val="373508A1"/>
    <w:rsid w:val="3EA64D06"/>
    <w:rsid w:val="3F734058"/>
    <w:rsid w:val="40586FF7"/>
    <w:rsid w:val="51AD1EAA"/>
    <w:rsid w:val="51F92FC6"/>
    <w:rsid w:val="536611E1"/>
    <w:rsid w:val="595F27E8"/>
    <w:rsid w:val="5968392D"/>
    <w:rsid w:val="5A4735DE"/>
    <w:rsid w:val="64552010"/>
    <w:rsid w:val="64604AB2"/>
    <w:rsid w:val="66446318"/>
    <w:rsid w:val="6BEF27B2"/>
    <w:rsid w:val="75B47056"/>
    <w:rsid w:val="7605562E"/>
    <w:rsid w:val="76E13D18"/>
    <w:rsid w:val="770568B7"/>
    <w:rsid w:val="796B031A"/>
    <w:rsid w:val="7A2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2023-02-21T15:49:14Z</dcterms:created>
  <dcterms:modified xsi:type="dcterms:W3CDTF">2023-02-21T07:49:14Z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2023-02-21T15:49:10Z</dcterms:created>
  <dcterms:modified xsi:type="dcterms:W3CDTF">2023-02-21T07:49:10Z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2023-02-21T15:49:35Z</dcterms:created>
  <dcterms:modified xsi:type="dcterms:W3CDTF">2023-02-21T07:49:35Z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2023-02-21T15:49:31Z</dcterms:created>
  <dcterms:modified xsi:type="dcterms:W3CDTF">2023-02-21T07:49:31Z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2023-02-21T15:49:26Z</dcterms:created>
  <dcterms:modified xsi:type="dcterms:W3CDTF">2023-02-21T07:49:26Z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2023-02-21T15:48:32Z</dcterms:created>
  <dcterms:modified xsi:type="dcterms:W3CDTF">2023-02-21T07:48:32Z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2023-02-21T15:48:40Z</dcterms:created>
  <dcterms:modified xsi:type="dcterms:W3CDTF">2023-02-21T07:48:40Z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2023-02-21T15:46:42Z</dcterms:created>
  <dcterms:modified xsi:type="dcterms:W3CDTF">2023-02-21T07:46:42Z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2023-02-21T15:48:28Z</dcterms:created>
  <dcterms:modified xsi:type="dcterms:W3CDTF">2023-02-21T07:48:28Z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2023-02-21T15:46:43Z</dcterms:created>
  <dcterms:modified xsi:type="dcterms:W3CDTF">2023-02-21T07:46:43Z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2023-02-21T15:49:34Z</dcterms:created>
  <dcterms:modified xsi:type="dcterms:W3CDTF">2023-02-21T07:49:34Z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2023-02-21T15:48:40Z</dcterms:created>
  <dcterms:modified xsi:type="dcterms:W3CDTF">2023-02-21T07:48:40Z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2023-02-21T15:48:44Z</dcterms:created>
  <dcterms:modified xsi:type="dcterms:W3CDTF">2023-02-21T07:48:44Z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2023-02-21T15:48:58Z</dcterms:created>
  <dcterms:modified xsi:type="dcterms:W3CDTF">2023-02-21T07:48:57Z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2023-02-21T15:48:53Z</dcterms:created>
  <dcterms:modified xsi:type="dcterms:W3CDTF">2023-02-21T07:48:53Z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2023-02-21T15:49:17Z</dcterms:created>
  <dcterms:modified xsi:type="dcterms:W3CDTF">2023-02-21T07:49:17Z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2023-02-21T15:49:06Z</dcterms:created>
  <dcterms:modified xsi:type="dcterms:W3CDTF">2023-02-21T07:49:06Z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2023-02-21T15:48:50Z</dcterms:created>
  <dcterms:modified xsi:type="dcterms:W3CDTF">2023-02-21T07:48:50Z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2023-02-21T15:49:11Z</dcterms:created>
  <dcterms:modified xsi:type="dcterms:W3CDTF">2023-02-21T07:49:11Z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2023-02-21T15:48:18Z</dcterms:created>
  <dcterms:modified xsi:type="dcterms:W3CDTF">2023-02-21T07:48:18Z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2023-02-21T15:48:32Z</dcterms:created>
  <dcterms:modified xsi:type="dcterms:W3CDTF">2023-02-21T07:48:32Z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2023-02-21T15:48:45Z</dcterms:created>
  <dcterms:modified xsi:type="dcterms:W3CDTF">2023-02-21T07:48:45Z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2023-02-21T15:49:06Z</dcterms:created>
  <dcterms:modified xsi:type="dcterms:W3CDTF">2023-02-21T07:49:06Z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2023-02-21T15:48:22Z</dcterms:created>
  <dcterms:modified xsi:type="dcterms:W3CDTF">2023-02-21T07:48:22Z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2023-02-21T15:48:19Z</dcterms:created>
  <dcterms:modified xsi:type="dcterms:W3CDTF">2023-02-21T07:48:19Z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2023-02-21T15:46:43Z</dcterms:created>
  <dcterms:modified xsi:type="dcterms:W3CDTF">2023-02-21T07:46:43Z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2023-02-21T15:46:43Z</dcterms:created>
  <dcterms:modified xsi:type="dcterms:W3CDTF">2023-02-21T07:46:43Z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2023-02-21T15:48:54Z</dcterms:created>
  <dcterms:modified xsi:type="dcterms:W3CDTF">2023-02-21T07:48:54Z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2023-02-21T15:48:36Z</dcterms:created>
  <dcterms:modified xsi:type="dcterms:W3CDTF">2023-02-21T07:48:36Z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2023-02-21T15:49:30Z</dcterms:created>
  <dcterms:modified xsi:type="dcterms:W3CDTF">2023-02-21T07:49:30Z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2023-02-21T15:46:44Z</dcterms:created>
  <dcterms:modified xsi:type="dcterms:W3CDTF">2023-02-21T07:46:44Z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2023-02-21T15:49:25Z</dcterms:created>
  <dcterms:modified xsi:type="dcterms:W3CDTF">2023-02-21T07:49:25Z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2023-02-21T15:48:35Z</dcterms:created>
  <dcterms:modified xsi:type="dcterms:W3CDTF">2023-02-21T07:48:35Z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2023-02-21T15:48:49Z</dcterms:created>
  <dcterms:modified xsi:type="dcterms:W3CDTF">2023-02-21T07:48:49Z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2023-02-21T15:48:29Z</dcterms:created>
  <dcterms:modified xsi:type="dcterms:W3CDTF">2023-02-21T07:48:29Z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2023-02-21T15:48:58Z</dcterms:created>
  <dcterms:modified xsi:type="dcterms:W3CDTF">2023-02-21T07:48:58Z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2023-02-21T15:46:47Z</dcterms:created>
  <dcterms:modified xsi:type="dcterms:W3CDTF">2023-02-21T07:46:47Z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242238F-05EA-4D76-B8B0-F1758765473B}">
  <ds:schemaRefs/>
</ds:datastoreItem>
</file>

<file path=customXml/itemProps10.xml><?xml version="1.0" encoding="utf-8"?>
<ds:datastoreItem xmlns:ds="http://schemas.openxmlformats.org/officeDocument/2006/customXml" ds:itemID="{BDE4F6B6-BB21-4E3B-93AC-5B3C3103FF7F}">
  <ds:schemaRefs/>
</ds:datastoreItem>
</file>

<file path=customXml/itemProps11.xml><?xml version="1.0" encoding="utf-8"?>
<ds:datastoreItem xmlns:ds="http://schemas.openxmlformats.org/officeDocument/2006/customXml" ds:itemID="{823529D4-83B9-4B78-9387-4772FD9F26B1}">
  <ds:schemaRefs/>
</ds:datastoreItem>
</file>

<file path=customXml/itemProps12.xml><?xml version="1.0" encoding="utf-8"?>
<ds:datastoreItem xmlns:ds="http://schemas.openxmlformats.org/officeDocument/2006/customXml" ds:itemID="{06620412-0F36-4453-B39E-B47A6A4A1CBF}">
  <ds:schemaRefs/>
</ds:datastoreItem>
</file>

<file path=customXml/itemProps13.xml><?xml version="1.0" encoding="utf-8"?>
<ds:datastoreItem xmlns:ds="http://schemas.openxmlformats.org/officeDocument/2006/customXml" ds:itemID="{FAA43A03-02F8-4DE9-937B-E6D4498E49DA}">
  <ds:schemaRefs/>
</ds:datastoreItem>
</file>

<file path=customXml/itemProps14.xml><?xml version="1.0" encoding="utf-8"?>
<ds:datastoreItem xmlns:ds="http://schemas.openxmlformats.org/officeDocument/2006/customXml" ds:itemID="{1D2B5D89-E5D7-45D9-8710-E0F1F44FCA23}">
  <ds:schemaRefs/>
</ds:datastoreItem>
</file>

<file path=customXml/itemProps15.xml><?xml version="1.0" encoding="utf-8"?>
<ds:datastoreItem xmlns:ds="http://schemas.openxmlformats.org/officeDocument/2006/customXml" ds:itemID="{C2CE22E1-FF17-491C-B3FB-E5890B99E138}">
  <ds:schemaRefs/>
</ds:datastoreItem>
</file>

<file path=customXml/itemProps16.xml><?xml version="1.0" encoding="utf-8"?>
<ds:datastoreItem xmlns:ds="http://schemas.openxmlformats.org/officeDocument/2006/customXml" ds:itemID="{16FAD717-FB57-4754-B998-9901E4889A57}">
  <ds:schemaRefs/>
</ds:datastoreItem>
</file>

<file path=customXml/itemProps17.xml><?xml version="1.0" encoding="utf-8"?>
<ds:datastoreItem xmlns:ds="http://schemas.openxmlformats.org/officeDocument/2006/customXml" ds:itemID="{C70AAB23-30D7-494F-9FE8-BCCB968839EF}">
  <ds:schemaRefs/>
</ds:datastoreItem>
</file>

<file path=customXml/itemProps18.xml><?xml version="1.0" encoding="utf-8"?>
<ds:datastoreItem xmlns:ds="http://schemas.openxmlformats.org/officeDocument/2006/customXml" ds:itemID="{8B90D6A1-AF36-45AE-8799-095EDC2D6C10}">
  <ds:schemaRefs/>
</ds:datastoreItem>
</file>

<file path=customXml/itemProps19.xml><?xml version="1.0" encoding="utf-8"?>
<ds:datastoreItem xmlns:ds="http://schemas.openxmlformats.org/officeDocument/2006/customXml" ds:itemID="{7183283D-86EA-48A7-833A-EB22F4961DD9}">
  <ds:schemaRefs/>
</ds:datastoreItem>
</file>

<file path=customXml/itemProps2.xml><?xml version="1.0" encoding="utf-8"?>
<ds:datastoreItem xmlns:ds="http://schemas.openxmlformats.org/officeDocument/2006/customXml" ds:itemID="{AC192504-5C71-4FD9-A115-1339A73B36BB}">
  <ds:schemaRefs/>
</ds:datastoreItem>
</file>

<file path=customXml/itemProps20.xml><?xml version="1.0" encoding="utf-8"?>
<ds:datastoreItem xmlns:ds="http://schemas.openxmlformats.org/officeDocument/2006/customXml" ds:itemID="{F6CE147D-94A8-4E19-997E-401D662EE589}">
  <ds:schemaRefs/>
</ds:datastoreItem>
</file>

<file path=customXml/itemProps21.xml><?xml version="1.0" encoding="utf-8"?>
<ds:datastoreItem xmlns:ds="http://schemas.openxmlformats.org/officeDocument/2006/customXml" ds:itemID="{B2956AA3-D89C-4474-816C-6EFAF8CB7F15}">
  <ds:schemaRefs/>
</ds:datastoreItem>
</file>

<file path=customXml/itemProps22.xml><?xml version="1.0" encoding="utf-8"?>
<ds:datastoreItem xmlns:ds="http://schemas.openxmlformats.org/officeDocument/2006/customXml" ds:itemID="{0CC63F31-367A-4DDD-8105-73EDF066E565}">
  <ds:schemaRefs/>
</ds:datastoreItem>
</file>

<file path=customXml/itemProps23.xml><?xml version="1.0" encoding="utf-8"?>
<ds:datastoreItem xmlns:ds="http://schemas.openxmlformats.org/officeDocument/2006/customXml" ds:itemID="{83B89459-A84C-484E-8CAB-C58E5346A16B}">
  <ds:schemaRefs/>
</ds:datastoreItem>
</file>

<file path=customXml/itemProps24.xml><?xml version="1.0" encoding="utf-8"?>
<ds:datastoreItem xmlns:ds="http://schemas.openxmlformats.org/officeDocument/2006/customXml" ds:itemID="{0C1072C3-C3BA-4DB9-AC9F-D8C0B485DC5D}">
  <ds:schemaRefs/>
</ds:datastoreItem>
</file>

<file path=customXml/itemProps25.xml><?xml version="1.0" encoding="utf-8"?>
<ds:datastoreItem xmlns:ds="http://schemas.openxmlformats.org/officeDocument/2006/customXml" ds:itemID="{30772AA6-FFE5-4899-992E-D59FB3E0BE2C}">
  <ds:schemaRefs/>
</ds:datastoreItem>
</file>

<file path=customXml/itemProps26.xml><?xml version="1.0" encoding="utf-8"?>
<ds:datastoreItem xmlns:ds="http://schemas.openxmlformats.org/officeDocument/2006/customXml" ds:itemID="{B6FFB6E8-7275-4F04-8C7C-E9B0644F9DA5}">
  <ds:schemaRefs/>
</ds:datastoreItem>
</file>

<file path=customXml/itemProps27.xml><?xml version="1.0" encoding="utf-8"?>
<ds:datastoreItem xmlns:ds="http://schemas.openxmlformats.org/officeDocument/2006/customXml" ds:itemID="{6CF12247-B2EF-4816-8192-9DF25F7C0E8D}">
  <ds:schemaRefs/>
</ds:datastoreItem>
</file>

<file path=customXml/itemProps28.xml><?xml version="1.0" encoding="utf-8"?>
<ds:datastoreItem xmlns:ds="http://schemas.openxmlformats.org/officeDocument/2006/customXml" ds:itemID="{7F38B6EE-3844-4D02-9D9C-41E24E61605C}">
  <ds:schemaRefs/>
</ds:datastoreItem>
</file>

<file path=customXml/itemProps29.xml><?xml version="1.0" encoding="utf-8"?>
<ds:datastoreItem xmlns:ds="http://schemas.openxmlformats.org/officeDocument/2006/customXml" ds:itemID="{1B3AE8CA-2756-4695-979B-10088A3995D5}">
  <ds:schemaRefs/>
</ds:datastoreItem>
</file>

<file path=customXml/itemProps3.xml><?xml version="1.0" encoding="utf-8"?>
<ds:datastoreItem xmlns:ds="http://schemas.openxmlformats.org/officeDocument/2006/customXml" ds:itemID="{AA50CDA9-C26C-45EB-9C17-78603F273F13}">
  <ds:schemaRefs/>
</ds:datastoreItem>
</file>

<file path=customXml/itemProps30.xml><?xml version="1.0" encoding="utf-8"?>
<ds:datastoreItem xmlns:ds="http://schemas.openxmlformats.org/officeDocument/2006/customXml" ds:itemID="{7DF72C67-F1F3-4B9A-B29C-51B751EA8CC2}">
  <ds:schemaRefs/>
</ds:datastoreItem>
</file>

<file path=customXml/itemProps31.xml><?xml version="1.0" encoding="utf-8"?>
<ds:datastoreItem xmlns:ds="http://schemas.openxmlformats.org/officeDocument/2006/customXml" ds:itemID="{6BCF6E37-2FE9-42A0-9EC1-8E12F38C637E}">
  <ds:schemaRefs/>
</ds:datastoreItem>
</file>

<file path=customXml/itemProps32.xml><?xml version="1.0" encoding="utf-8"?>
<ds:datastoreItem xmlns:ds="http://schemas.openxmlformats.org/officeDocument/2006/customXml" ds:itemID="{B217FCF6-9247-4C3A-B9FB-84FF23C0E9B1}">
  <ds:schemaRefs/>
</ds:datastoreItem>
</file>

<file path=customXml/itemProps33.xml><?xml version="1.0" encoding="utf-8"?>
<ds:datastoreItem xmlns:ds="http://schemas.openxmlformats.org/officeDocument/2006/customXml" ds:itemID="{EB1CB582-7625-4C48-AC15-2D8F785D39D3}">
  <ds:schemaRefs/>
</ds:datastoreItem>
</file>

<file path=customXml/itemProps34.xml><?xml version="1.0" encoding="utf-8"?>
<ds:datastoreItem xmlns:ds="http://schemas.openxmlformats.org/officeDocument/2006/customXml" ds:itemID="{4A365801-A4E3-48E4-B8F5-9E52E0C99558}">
  <ds:schemaRefs/>
</ds:datastoreItem>
</file>

<file path=customXml/itemProps35.xml><?xml version="1.0" encoding="utf-8"?>
<ds:datastoreItem xmlns:ds="http://schemas.openxmlformats.org/officeDocument/2006/customXml" ds:itemID="{2EE0E4E5-8DF1-49D6-9CB7-BD2704A0AB4A}">
  <ds:schemaRefs/>
</ds:datastoreItem>
</file>

<file path=customXml/itemProps36.xml><?xml version="1.0" encoding="utf-8"?>
<ds:datastoreItem xmlns:ds="http://schemas.openxmlformats.org/officeDocument/2006/customXml" ds:itemID="{925BA41B-3A21-41A9-8F1F-30C2A160FFDD}">
  <ds:schemaRefs/>
</ds:datastoreItem>
</file>

<file path=customXml/itemProps37.xml><?xml version="1.0" encoding="utf-8"?>
<ds:datastoreItem xmlns:ds="http://schemas.openxmlformats.org/officeDocument/2006/customXml" ds:itemID="{3D0E3E1D-FC31-468D-802B-AF141AEE9EB0}">
  <ds:schemaRefs/>
</ds:datastoreItem>
</file>

<file path=customXml/itemProps38.xml><?xml version="1.0" encoding="utf-8"?>
<ds:datastoreItem xmlns:ds="http://schemas.openxmlformats.org/officeDocument/2006/customXml" ds:itemID="{2DF9A8E1-5FAA-411D-812F-DF8628D54BC8}">
  <ds:schemaRefs/>
</ds:datastoreItem>
</file>

<file path=customXml/itemProps39.xml><?xml version="1.0" encoding="utf-8"?>
<ds:datastoreItem xmlns:ds="http://schemas.openxmlformats.org/officeDocument/2006/customXml" ds:itemID="{8F648645-776A-409E-93F5-7959783327C7}">
  <ds:schemaRefs/>
</ds:datastoreItem>
</file>

<file path=customXml/itemProps4.xml><?xml version="1.0" encoding="utf-8"?>
<ds:datastoreItem xmlns:ds="http://schemas.openxmlformats.org/officeDocument/2006/customXml" ds:itemID="{E89FDFCA-1311-4260-B0B0-000C5BF5F6FF}">
  <ds:schemaRefs/>
</ds:datastoreItem>
</file>

<file path=customXml/itemProps40.xml><?xml version="1.0" encoding="utf-8"?>
<ds:datastoreItem xmlns:ds="http://schemas.openxmlformats.org/officeDocument/2006/customXml" ds:itemID="{21DE1AED-EC26-405D-A1BD-E06F21A7DABA}">
  <ds:schemaRefs/>
</ds:datastoreItem>
</file>

<file path=customXml/itemProps41.xml><?xml version="1.0" encoding="utf-8"?>
<ds:datastoreItem xmlns:ds="http://schemas.openxmlformats.org/officeDocument/2006/customXml" ds:itemID="{FC669D2F-C3A7-4FF1-A6F8-1C382752AFFE}">
  <ds:schemaRefs/>
</ds:datastoreItem>
</file>

<file path=customXml/itemProps42.xml><?xml version="1.0" encoding="utf-8"?>
<ds:datastoreItem xmlns:ds="http://schemas.openxmlformats.org/officeDocument/2006/customXml" ds:itemID="{95C302B8-85C4-48A4-8A0E-FE653E9C38C0}">
  <ds:schemaRefs/>
</ds:datastoreItem>
</file>

<file path=customXml/itemProps43.xml><?xml version="1.0" encoding="utf-8"?>
<ds:datastoreItem xmlns:ds="http://schemas.openxmlformats.org/officeDocument/2006/customXml" ds:itemID="{D71D64CC-AB09-47FF-B396-859F0E1A2C99}">
  <ds:schemaRefs/>
</ds:datastoreItem>
</file>

<file path=customXml/itemProps44.xml><?xml version="1.0" encoding="utf-8"?>
<ds:datastoreItem xmlns:ds="http://schemas.openxmlformats.org/officeDocument/2006/customXml" ds:itemID="{37ABB298-9778-4485-8014-1EBF8324970B}">
  <ds:schemaRefs/>
</ds:datastoreItem>
</file>

<file path=customXml/itemProps45.xml><?xml version="1.0" encoding="utf-8"?>
<ds:datastoreItem xmlns:ds="http://schemas.openxmlformats.org/officeDocument/2006/customXml" ds:itemID="{DDFD6EE8-64C9-43B5-803D-5E680916420F}">
  <ds:schemaRefs/>
</ds:datastoreItem>
</file>

<file path=customXml/itemProps46.xml><?xml version="1.0" encoding="utf-8"?>
<ds:datastoreItem xmlns:ds="http://schemas.openxmlformats.org/officeDocument/2006/customXml" ds:itemID="{01040C45-D073-4251-8D56-BC7670A09750}">
  <ds:schemaRefs/>
</ds:datastoreItem>
</file>

<file path=customXml/itemProps47.xml><?xml version="1.0" encoding="utf-8"?>
<ds:datastoreItem xmlns:ds="http://schemas.openxmlformats.org/officeDocument/2006/customXml" ds:itemID="{5376AD8D-EA03-46EF-A4FE-EE3CB9B56800}">
  <ds:schemaRefs/>
</ds:datastoreItem>
</file>

<file path=customXml/itemProps48.xml><?xml version="1.0" encoding="utf-8"?>
<ds:datastoreItem xmlns:ds="http://schemas.openxmlformats.org/officeDocument/2006/customXml" ds:itemID="{DECD351B-9A69-461D-8E38-D4B7262A94D3}">
  <ds:schemaRefs/>
</ds:datastoreItem>
</file>

<file path=customXml/itemProps49.xml><?xml version="1.0" encoding="utf-8"?>
<ds:datastoreItem xmlns:ds="http://schemas.openxmlformats.org/officeDocument/2006/customXml" ds:itemID="{412DF6E7-1171-4792-8662-1119DB6E4C87}">
  <ds:schemaRefs/>
</ds:datastoreItem>
</file>

<file path=customXml/itemProps5.xml><?xml version="1.0" encoding="utf-8"?>
<ds:datastoreItem xmlns:ds="http://schemas.openxmlformats.org/officeDocument/2006/customXml" ds:itemID="{FD77F2FB-CCE2-4653-BD21-859C03F138D4}">
  <ds:schemaRefs/>
</ds:datastoreItem>
</file>

<file path=customXml/itemProps50.xml><?xml version="1.0" encoding="utf-8"?>
<ds:datastoreItem xmlns:ds="http://schemas.openxmlformats.org/officeDocument/2006/customXml" ds:itemID="{931A3D97-E86D-45CB-94BF-D5B066B7765E}">
  <ds:schemaRefs/>
</ds:datastoreItem>
</file>

<file path=customXml/itemProps51.xml><?xml version="1.0" encoding="utf-8"?>
<ds:datastoreItem xmlns:ds="http://schemas.openxmlformats.org/officeDocument/2006/customXml" ds:itemID="{B718A5BC-5E94-4F24-97D8-C4469F2F8887}">
  <ds:schemaRefs/>
</ds:datastoreItem>
</file>

<file path=customXml/itemProps52.xml><?xml version="1.0" encoding="utf-8"?>
<ds:datastoreItem xmlns:ds="http://schemas.openxmlformats.org/officeDocument/2006/customXml" ds:itemID="{9E967D34-DA4B-401F-AE1D-B69B23F6F11E}">
  <ds:schemaRefs/>
</ds:datastoreItem>
</file>

<file path=customXml/itemProps53.xml><?xml version="1.0" encoding="utf-8"?>
<ds:datastoreItem xmlns:ds="http://schemas.openxmlformats.org/officeDocument/2006/customXml" ds:itemID="{C31AC3B7-0B35-4038-84F3-F0CB7F196EA2}">
  <ds:schemaRefs/>
</ds:datastoreItem>
</file>

<file path=customXml/itemProps54.xml><?xml version="1.0" encoding="utf-8"?>
<ds:datastoreItem xmlns:ds="http://schemas.openxmlformats.org/officeDocument/2006/customXml" ds:itemID="{24BD0485-7BCA-40DF-90AF-C603E3B17C70}">
  <ds:schemaRefs/>
</ds:datastoreItem>
</file>

<file path=customXml/itemProps55.xml><?xml version="1.0" encoding="utf-8"?>
<ds:datastoreItem xmlns:ds="http://schemas.openxmlformats.org/officeDocument/2006/customXml" ds:itemID="{6F4994AE-C478-4BC1-B383-2470A8587D14}">
  <ds:schemaRefs/>
</ds:datastoreItem>
</file>

<file path=customXml/itemProps56.xml><?xml version="1.0" encoding="utf-8"?>
<ds:datastoreItem xmlns:ds="http://schemas.openxmlformats.org/officeDocument/2006/customXml" ds:itemID="{5D428AE2-2B22-4086-A4C0-43A5ADF1D7E2}">
  <ds:schemaRefs/>
</ds:datastoreItem>
</file>

<file path=customXml/itemProps57.xml><?xml version="1.0" encoding="utf-8"?>
<ds:datastoreItem xmlns:ds="http://schemas.openxmlformats.org/officeDocument/2006/customXml" ds:itemID="{ADBD8357-26B4-412D-9E75-3239D137814E}">
  <ds:schemaRefs/>
</ds:datastoreItem>
</file>

<file path=customXml/itemProps58.xml><?xml version="1.0" encoding="utf-8"?>
<ds:datastoreItem xmlns:ds="http://schemas.openxmlformats.org/officeDocument/2006/customXml" ds:itemID="{1B0461DD-87A7-4977-9E88-B0475D83B361}">
  <ds:schemaRefs/>
</ds:datastoreItem>
</file>

<file path=customXml/itemProps59.xml><?xml version="1.0" encoding="utf-8"?>
<ds:datastoreItem xmlns:ds="http://schemas.openxmlformats.org/officeDocument/2006/customXml" ds:itemID="{9EE6DE5E-F1AA-42E8-8537-2D8CEF4B59C6}">
  <ds:schemaRefs/>
</ds:datastoreItem>
</file>

<file path=customXml/itemProps6.xml><?xml version="1.0" encoding="utf-8"?>
<ds:datastoreItem xmlns:ds="http://schemas.openxmlformats.org/officeDocument/2006/customXml" ds:itemID="{F1958106-C203-4BE2-96E8-F9E455AA80FA}">
  <ds:schemaRefs/>
</ds:datastoreItem>
</file>

<file path=customXml/itemProps60.xml><?xml version="1.0" encoding="utf-8"?>
<ds:datastoreItem xmlns:ds="http://schemas.openxmlformats.org/officeDocument/2006/customXml" ds:itemID="{3072C383-5DA4-4848-84A1-CAD7CCBB5CFF}">
  <ds:schemaRefs/>
</ds:datastoreItem>
</file>

<file path=customXml/itemProps61.xml><?xml version="1.0" encoding="utf-8"?>
<ds:datastoreItem xmlns:ds="http://schemas.openxmlformats.org/officeDocument/2006/customXml" ds:itemID="{338D9F50-9555-498A-8398-0ED13577E787}">
  <ds:schemaRefs/>
</ds:datastoreItem>
</file>

<file path=customXml/itemProps62.xml><?xml version="1.0" encoding="utf-8"?>
<ds:datastoreItem xmlns:ds="http://schemas.openxmlformats.org/officeDocument/2006/customXml" ds:itemID="{42CF7DA9-2B75-4ED5-8D01-58989E601770}">
  <ds:schemaRefs/>
</ds:datastoreItem>
</file>

<file path=customXml/itemProps63.xml><?xml version="1.0" encoding="utf-8"?>
<ds:datastoreItem xmlns:ds="http://schemas.openxmlformats.org/officeDocument/2006/customXml" ds:itemID="{0F9074AF-0F7B-4C71-8B0F-0F20F9C402CD}">
  <ds:schemaRefs/>
</ds:datastoreItem>
</file>

<file path=customXml/itemProps64.xml><?xml version="1.0" encoding="utf-8"?>
<ds:datastoreItem xmlns:ds="http://schemas.openxmlformats.org/officeDocument/2006/customXml" ds:itemID="{140BEDDD-9853-477E-BC83-9FFFB4ED3A6B}">
  <ds:schemaRefs/>
</ds:datastoreItem>
</file>

<file path=customXml/itemProps65.xml><?xml version="1.0" encoding="utf-8"?>
<ds:datastoreItem xmlns:ds="http://schemas.openxmlformats.org/officeDocument/2006/customXml" ds:itemID="{7B3329BA-C492-4571-B8CC-57A6536D55BB}">
  <ds:schemaRefs/>
</ds:datastoreItem>
</file>

<file path=customXml/itemProps66.xml><?xml version="1.0" encoding="utf-8"?>
<ds:datastoreItem xmlns:ds="http://schemas.openxmlformats.org/officeDocument/2006/customXml" ds:itemID="{2267EF5F-7574-425E-A344-50B64205EE1B}">
  <ds:schemaRefs/>
</ds:datastoreItem>
</file>

<file path=customXml/itemProps67.xml><?xml version="1.0" encoding="utf-8"?>
<ds:datastoreItem xmlns:ds="http://schemas.openxmlformats.org/officeDocument/2006/customXml" ds:itemID="{FD7CDA30-A8DA-47F7-8E3A-154F6B3C00DA}">
  <ds:schemaRefs/>
</ds:datastoreItem>
</file>

<file path=customXml/itemProps68.xml><?xml version="1.0" encoding="utf-8"?>
<ds:datastoreItem xmlns:ds="http://schemas.openxmlformats.org/officeDocument/2006/customXml" ds:itemID="{B9F19A19-49A4-427F-9AB1-97B388E45CBD}">
  <ds:schemaRefs/>
</ds:datastoreItem>
</file>

<file path=customXml/itemProps69.xml><?xml version="1.0" encoding="utf-8"?>
<ds:datastoreItem xmlns:ds="http://schemas.openxmlformats.org/officeDocument/2006/customXml" ds:itemID="{FCC32B98-A5B7-43F4-A838-2841FDAA2E1A}">
  <ds:schemaRefs/>
</ds:datastoreItem>
</file>

<file path=customXml/itemProps7.xml><?xml version="1.0" encoding="utf-8"?>
<ds:datastoreItem xmlns:ds="http://schemas.openxmlformats.org/officeDocument/2006/customXml" ds:itemID="{6683F937-59DE-4A7D-BA49-9906F022407C}">
  <ds:schemaRefs/>
</ds:datastoreItem>
</file>

<file path=customXml/itemProps70.xml><?xml version="1.0" encoding="utf-8"?>
<ds:datastoreItem xmlns:ds="http://schemas.openxmlformats.org/officeDocument/2006/customXml" ds:itemID="{228002BE-DF12-4202-B2B9-DBEB6BF5792E}">
  <ds:schemaRefs/>
</ds:datastoreItem>
</file>

<file path=customXml/itemProps71.xml><?xml version="1.0" encoding="utf-8"?>
<ds:datastoreItem xmlns:ds="http://schemas.openxmlformats.org/officeDocument/2006/customXml" ds:itemID="{E63967B4-0946-4824-BE7A-D080417A2C94}">
  <ds:schemaRefs/>
</ds:datastoreItem>
</file>

<file path=customXml/itemProps72.xml><?xml version="1.0" encoding="utf-8"?>
<ds:datastoreItem xmlns:ds="http://schemas.openxmlformats.org/officeDocument/2006/customXml" ds:itemID="{A746176E-CDEE-4464-8E86-2622CCD2E5BA}">
  <ds:schemaRefs/>
</ds:datastoreItem>
</file>

<file path=customXml/itemProps73.xml><?xml version="1.0" encoding="utf-8"?>
<ds:datastoreItem xmlns:ds="http://schemas.openxmlformats.org/officeDocument/2006/customXml" ds:itemID="{A0D719B9-98A1-4C91-BD86-2FA28DA24713}">
  <ds:schemaRefs/>
</ds:datastoreItem>
</file>

<file path=customXml/itemProps74.xml><?xml version="1.0" encoding="utf-8"?>
<ds:datastoreItem xmlns:ds="http://schemas.openxmlformats.org/officeDocument/2006/customXml" ds:itemID="{DE665DB6-56A8-4E3B-BE5D-306D90F32B90}">
  <ds:schemaRefs/>
</ds:datastoreItem>
</file>

<file path=customXml/itemProps8.xml><?xml version="1.0" encoding="utf-8"?>
<ds:datastoreItem xmlns:ds="http://schemas.openxmlformats.org/officeDocument/2006/customXml" ds:itemID="{415C71E3-1A56-4287-8672-A26161E06F30}">
  <ds:schemaRefs/>
</ds:datastoreItem>
</file>

<file path=customXml/itemProps9.xml><?xml version="1.0" encoding="utf-8"?>
<ds:datastoreItem xmlns:ds="http://schemas.openxmlformats.org/officeDocument/2006/customXml" ds:itemID="{E628A27A-DB59-4C29-95CE-2C0C26C5852D}">
  <ds:schemaRefs/>
</ds:datastoreItem>
</file>

<file path=docProps/app.xml><?xml version="1.0" encoding="utf-8"?>
<Properties xmlns="http://schemas.openxmlformats.org/officeDocument/2006/extended-properties" xmlns:vt="http://schemas.openxmlformats.org/officeDocument/2006/docPropsVTypes">
  <Template>Normal</Template>
  <Pages>60</Pages>
  <Words>3320</Words>
  <Characters>18925</Characters>
  <Lines>157</Lines>
  <Paragraphs>44</Paragraphs>
  <TotalTime>2</TotalTime>
  <ScaleCrop>false</ScaleCrop>
  <LinksUpToDate>false</LinksUpToDate>
  <CharactersWithSpaces>22201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2023-02-21T15:49:00Z</dcterms:created>
  <dc:creator>Administrator</dc:creator>
  <cp:lastModifiedBy>Administrator</cp:lastModifiedBy>
  <dcterms:modified xsi:type="dcterms:W3CDTF">2024-02-01T11:06:52Z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B0842CB617B14AB49318A691BEFBD148_12</vt:lpwstr>
  </property>
</Properties>
</file>