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黑体" w:hAnsi="黑体" w:eastAsia="黑体" w:cs="黑体"/>
          <w:b/>
          <w:color w:val="000000"/>
          <w:sz w:val="44"/>
          <w:lang w:eastAsia="zh-CN"/>
        </w:rPr>
        <w:t>成安县行政审批局所属单位</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eastAsia="zh-CN"/>
        </w:rPr>
        <w:t>14</w:t>
      </w:r>
    </w:p>
    <w:p>
      <w:pPr>
        <w:pStyle w:val="30"/>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eastAsia="zh-CN"/>
        </w:rPr>
        <w:t>18</w:t>
      </w:r>
    </w:p>
    <w:p>
      <w:pPr>
        <w:pStyle w:val="30"/>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19</w:t>
      </w:r>
    </w:p>
    <w:p>
      <w:pPr>
        <w:pStyle w:val="30"/>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19</w:t>
      </w:r>
    </w:p>
    <w:p>
      <w:pPr>
        <w:pStyle w:val="30"/>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20</w:t>
      </w:r>
    </w:p>
    <w:p>
      <w:pPr>
        <w:pStyle w:val="30"/>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31</w:t>
      </w:r>
    </w:p>
    <w:p>
      <w:pPr>
        <w:pStyle w:val="30"/>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31</w:t>
      </w:r>
    </w:p>
    <w:p>
      <w:pPr>
        <w:pStyle w:val="30"/>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32</w:t>
      </w:r>
    </w:p>
    <w:p>
      <w:pPr>
        <w:pStyle w:val="30"/>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33</w:t>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成安县行政审批局本级收支预算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223001成安县行政审批局本级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750.46</w:t>
            </w:r>
          </w:p>
        </w:tc>
        <w:tc>
          <w:tcPr>
            <w:tcW w:w="4535" w:type="dxa"/>
            <w:vAlign w:val="center"/>
          </w:tcPr>
          <w:p>
            <w:pPr>
              <w:pStyle w:val="10"/>
            </w:pPr>
            <w:r>
              <w:t>一、一般公共服务支出</w:t>
            </w:r>
          </w:p>
        </w:tc>
        <w:tc>
          <w:tcPr>
            <w:tcW w:w="2126" w:type="dxa"/>
            <w:vAlign w:val="center"/>
          </w:tcPr>
          <w:p>
            <w:pPr>
              <w:pStyle w:val="9"/>
            </w:pPr>
            <w:r>
              <w:t>673.21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24.79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750.46</w:t>
            </w:r>
          </w:p>
        </w:tc>
        <w:tc>
          <w:tcPr>
            <w:tcW w:w="4535" w:type="dxa"/>
            <w:vAlign w:val="center"/>
          </w:tcPr>
          <w:p>
            <w:pPr>
              <w:pStyle w:val="12"/>
            </w:pPr>
            <w:r>
              <w:t>本年支出合计</w:t>
            </w:r>
          </w:p>
        </w:tc>
        <w:tc>
          <w:tcPr>
            <w:tcW w:w="2126" w:type="dxa"/>
            <w:vAlign w:val="center"/>
          </w:tcPr>
          <w:p>
            <w:pPr>
              <w:pStyle w:val="13"/>
            </w:pPr>
            <w:r>
              <w:t>750.46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750.46</w:t>
            </w:r>
          </w:p>
        </w:tc>
        <w:tc>
          <w:tcPr>
            <w:tcW w:w="4535" w:type="dxa"/>
            <w:vAlign w:val="center"/>
          </w:tcPr>
          <w:p>
            <w:pPr>
              <w:pStyle w:val="12"/>
            </w:pPr>
            <w:r>
              <w:t>支出总计</w:t>
            </w:r>
          </w:p>
        </w:tc>
        <w:tc>
          <w:tcPr>
            <w:tcW w:w="2126" w:type="dxa"/>
            <w:vAlign w:val="center"/>
          </w:tcPr>
          <w:p>
            <w:pPr>
              <w:pStyle w:val="13"/>
            </w:pPr>
            <w:r>
              <w:t>750.46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223001成安县行政审批局本级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750.46</w:t>
            </w:r>
          </w:p>
        </w:tc>
        <w:tc>
          <w:tcPr>
            <w:tcW w:w="1134" w:type="dxa"/>
            <w:vAlign w:val="center"/>
          </w:tcPr>
          <w:p>
            <w:pPr>
              <w:pStyle w:val="13"/>
            </w:pPr>
            <w:r>
              <w:t>750.46</w:t>
            </w:r>
          </w:p>
        </w:tc>
        <w:tc>
          <w:tcPr>
            <w:tcW w:w="1134" w:type="dxa"/>
            <w:vAlign w:val="center"/>
          </w:tcPr>
          <w:p>
            <w:pPr>
              <w:pStyle w:val="13"/>
            </w:pPr>
            <w:r>
              <w:t>750.46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673.21</w:t>
            </w:r>
          </w:p>
        </w:tc>
        <w:tc>
          <w:tcPr>
            <w:tcW w:w="1134" w:type="dxa"/>
            <w:vAlign w:val="center"/>
          </w:tcPr>
          <w:p>
            <w:pPr>
              <w:pStyle w:val="9"/>
            </w:pPr>
            <w:r>
              <w:t>673.21</w:t>
            </w:r>
          </w:p>
        </w:tc>
        <w:tc>
          <w:tcPr>
            <w:tcW w:w="1134" w:type="dxa"/>
            <w:vAlign w:val="center"/>
          </w:tcPr>
          <w:p>
            <w:pPr>
              <w:pStyle w:val="9"/>
            </w:pPr>
            <w:r>
              <w:t>673.21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673.21</w:t>
            </w:r>
          </w:p>
        </w:tc>
        <w:tc>
          <w:tcPr>
            <w:tcW w:w="1134" w:type="dxa"/>
            <w:vAlign w:val="center"/>
          </w:tcPr>
          <w:p>
            <w:pPr>
              <w:pStyle w:val="9"/>
            </w:pPr>
            <w:r>
              <w:t>673.21</w:t>
            </w:r>
          </w:p>
        </w:tc>
        <w:tc>
          <w:tcPr>
            <w:tcW w:w="1134" w:type="dxa"/>
            <w:vAlign w:val="center"/>
          </w:tcPr>
          <w:p>
            <w:pPr>
              <w:pStyle w:val="9"/>
            </w:pPr>
            <w:r>
              <w:t>673.21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671.50</w:t>
            </w:r>
          </w:p>
        </w:tc>
        <w:tc>
          <w:tcPr>
            <w:tcW w:w="1134" w:type="dxa"/>
            <w:vAlign w:val="center"/>
          </w:tcPr>
          <w:p>
            <w:pPr>
              <w:pStyle w:val="9"/>
            </w:pPr>
            <w:r>
              <w:t>671.50</w:t>
            </w:r>
          </w:p>
        </w:tc>
        <w:tc>
          <w:tcPr>
            <w:tcW w:w="1134" w:type="dxa"/>
            <w:vAlign w:val="center"/>
          </w:tcPr>
          <w:p>
            <w:pPr>
              <w:pStyle w:val="9"/>
            </w:pPr>
            <w:r>
              <w:t>671.50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1.71</w:t>
            </w:r>
          </w:p>
        </w:tc>
        <w:tc>
          <w:tcPr>
            <w:tcW w:w="1134" w:type="dxa"/>
            <w:vAlign w:val="center"/>
          </w:tcPr>
          <w:p>
            <w:pPr>
              <w:pStyle w:val="9"/>
            </w:pPr>
            <w:r>
              <w:t>1.71</w:t>
            </w:r>
          </w:p>
        </w:tc>
        <w:tc>
          <w:tcPr>
            <w:tcW w:w="1134" w:type="dxa"/>
            <w:vAlign w:val="center"/>
          </w:tcPr>
          <w:p>
            <w:pPr>
              <w:pStyle w:val="9"/>
            </w:pPr>
            <w:r>
              <w:t>1.71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r>
              <w:t>34.26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r>
              <w:t>18.21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r>
              <w:t>24.79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750.46</w:t>
            </w:r>
          </w:p>
        </w:tc>
        <w:tc>
          <w:tcPr>
            <w:tcW w:w="1361" w:type="dxa"/>
            <w:vAlign w:val="center"/>
          </w:tcPr>
          <w:p>
            <w:pPr>
              <w:pStyle w:val="13"/>
            </w:pPr>
            <w:r>
              <w:t>646.37</w:t>
            </w:r>
          </w:p>
        </w:tc>
        <w:tc>
          <w:tcPr>
            <w:tcW w:w="1361" w:type="dxa"/>
            <w:vAlign w:val="center"/>
          </w:tcPr>
          <w:p>
            <w:pPr>
              <w:pStyle w:val="13"/>
            </w:pPr>
            <w:r>
              <w:t>104.09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673.21</w:t>
            </w:r>
          </w:p>
        </w:tc>
        <w:tc>
          <w:tcPr>
            <w:tcW w:w="1361" w:type="dxa"/>
            <w:vAlign w:val="center"/>
          </w:tcPr>
          <w:p>
            <w:pPr>
              <w:pStyle w:val="9"/>
            </w:pPr>
            <w:r>
              <w:t>569.11</w:t>
            </w:r>
          </w:p>
        </w:tc>
        <w:tc>
          <w:tcPr>
            <w:tcW w:w="1361" w:type="dxa"/>
            <w:vAlign w:val="center"/>
          </w:tcPr>
          <w:p>
            <w:pPr>
              <w:pStyle w:val="9"/>
            </w:pPr>
            <w:r>
              <w:t>104.09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673.21</w:t>
            </w:r>
          </w:p>
        </w:tc>
        <w:tc>
          <w:tcPr>
            <w:tcW w:w="1361" w:type="dxa"/>
            <w:vAlign w:val="center"/>
          </w:tcPr>
          <w:p>
            <w:pPr>
              <w:pStyle w:val="9"/>
            </w:pPr>
            <w:r>
              <w:t>569.11</w:t>
            </w:r>
          </w:p>
        </w:tc>
        <w:tc>
          <w:tcPr>
            <w:tcW w:w="1361" w:type="dxa"/>
            <w:vAlign w:val="center"/>
          </w:tcPr>
          <w:p>
            <w:pPr>
              <w:pStyle w:val="9"/>
            </w:pPr>
            <w:r>
              <w:t>104.09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671.50</w:t>
            </w:r>
          </w:p>
        </w:tc>
        <w:tc>
          <w:tcPr>
            <w:tcW w:w="1361" w:type="dxa"/>
            <w:vAlign w:val="center"/>
          </w:tcPr>
          <w:p>
            <w:pPr>
              <w:pStyle w:val="9"/>
            </w:pPr>
            <w:r>
              <w:t>569.11</w:t>
            </w:r>
          </w:p>
        </w:tc>
        <w:tc>
          <w:tcPr>
            <w:tcW w:w="1361" w:type="dxa"/>
            <w:vAlign w:val="center"/>
          </w:tcPr>
          <w:p>
            <w:pPr>
              <w:pStyle w:val="9"/>
            </w:pPr>
            <w:r>
              <w:t>102.39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1.71</w:t>
            </w:r>
          </w:p>
        </w:tc>
        <w:tc>
          <w:tcPr>
            <w:tcW w:w="1361" w:type="dxa"/>
            <w:vAlign w:val="center"/>
          </w:tcPr>
          <w:p>
            <w:pPr>
              <w:pStyle w:val="9"/>
            </w:pPr>
          </w:p>
        </w:tc>
        <w:tc>
          <w:tcPr>
            <w:tcW w:w="1361" w:type="dxa"/>
            <w:vAlign w:val="center"/>
          </w:tcPr>
          <w:p>
            <w:pPr>
              <w:pStyle w:val="9"/>
            </w:pPr>
            <w:r>
              <w:t>1.71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34.26</w:t>
            </w:r>
          </w:p>
        </w:tc>
        <w:tc>
          <w:tcPr>
            <w:tcW w:w="1361" w:type="dxa"/>
            <w:vAlign w:val="center"/>
          </w:tcPr>
          <w:p>
            <w:pPr>
              <w:pStyle w:val="9"/>
            </w:pPr>
            <w:r>
              <w:t>34.26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34.26</w:t>
            </w:r>
          </w:p>
        </w:tc>
        <w:tc>
          <w:tcPr>
            <w:tcW w:w="1361" w:type="dxa"/>
            <w:vAlign w:val="center"/>
          </w:tcPr>
          <w:p>
            <w:pPr>
              <w:pStyle w:val="9"/>
            </w:pPr>
            <w:r>
              <w:t>34.26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34.26</w:t>
            </w:r>
          </w:p>
        </w:tc>
        <w:tc>
          <w:tcPr>
            <w:tcW w:w="1361" w:type="dxa"/>
            <w:vAlign w:val="center"/>
          </w:tcPr>
          <w:p>
            <w:pPr>
              <w:pStyle w:val="9"/>
            </w:pPr>
            <w:r>
              <w:t>34.26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18.21</w:t>
            </w:r>
          </w:p>
        </w:tc>
        <w:tc>
          <w:tcPr>
            <w:tcW w:w="1361" w:type="dxa"/>
            <w:vAlign w:val="center"/>
          </w:tcPr>
          <w:p>
            <w:pPr>
              <w:pStyle w:val="9"/>
            </w:pPr>
            <w:r>
              <w:t>18.21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18.21</w:t>
            </w:r>
          </w:p>
        </w:tc>
        <w:tc>
          <w:tcPr>
            <w:tcW w:w="1361" w:type="dxa"/>
            <w:vAlign w:val="center"/>
          </w:tcPr>
          <w:p>
            <w:pPr>
              <w:pStyle w:val="9"/>
            </w:pPr>
            <w:r>
              <w:t>18.21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18.21</w:t>
            </w:r>
          </w:p>
        </w:tc>
        <w:tc>
          <w:tcPr>
            <w:tcW w:w="1361" w:type="dxa"/>
            <w:vAlign w:val="center"/>
          </w:tcPr>
          <w:p>
            <w:pPr>
              <w:pStyle w:val="9"/>
            </w:pPr>
            <w:r>
              <w:t>18.21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24.79</w:t>
            </w:r>
          </w:p>
        </w:tc>
        <w:tc>
          <w:tcPr>
            <w:tcW w:w="1361" w:type="dxa"/>
            <w:vAlign w:val="center"/>
          </w:tcPr>
          <w:p>
            <w:pPr>
              <w:pStyle w:val="9"/>
            </w:pPr>
            <w:r>
              <w:t>24.79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24.79</w:t>
            </w:r>
          </w:p>
        </w:tc>
        <w:tc>
          <w:tcPr>
            <w:tcW w:w="1361" w:type="dxa"/>
            <w:vAlign w:val="center"/>
          </w:tcPr>
          <w:p>
            <w:pPr>
              <w:pStyle w:val="9"/>
            </w:pPr>
            <w:r>
              <w:t>24.79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24.79</w:t>
            </w:r>
          </w:p>
        </w:tc>
        <w:tc>
          <w:tcPr>
            <w:tcW w:w="1361" w:type="dxa"/>
            <w:vAlign w:val="center"/>
          </w:tcPr>
          <w:p>
            <w:pPr>
              <w:pStyle w:val="9"/>
            </w:pPr>
            <w:r>
              <w:t>24.79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750.46</w:t>
            </w:r>
          </w:p>
        </w:tc>
        <w:tc>
          <w:tcPr>
            <w:tcW w:w="3402" w:type="dxa"/>
            <w:vAlign w:val="center"/>
          </w:tcPr>
          <w:p>
            <w:pPr>
              <w:pStyle w:val="10"/>
            </w:pPr>
            <w:r>
              <w:t>一、一般公共服务支出</w:t>
            </w:r>
          </w:p>
        </w:tc>
        <w:tc>
          <w:tcPr>
            <w:tcW w:w="1474" w:type="dxa"/>
            <w:vAlign w:val="center"/>
          </w:tcPr>
          <w:p>
            <w:pPr>
              <w:pStyle w:val="9"/>
            </w:pPr>
            <w:r>
              <w:t>673.21</w:t>
            </w:r>
          </w:p>
        </w:tc>
        <w:tc>
          <w:tcPr>
            <w:tcW w:w="1474" w:type="dxa"/>
            <w:vAlign w:val="center"/>
          </w:tcPr>
          <w:p>
            <w:pPr>
              <w:pStyle w:val="9"/>
            </w:pPr>
            <w:r>
              <w:t>673.21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34.26</w:t>
            </w:r>
          </w:p>
        </w:tc>
        <w:tc>
          <w:tcPr>
            <w:tcW w:w="1474" w:type="dxa"/>
            <w:vAlign w:val="center"/>
          </w:tcPr>
          <w:p>
            <w:pPr>
              <w:pStyle w:val="9"/>
            </w:pPr>
            <w:r>
              <w:t>34.26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18.21</w:t>
            </w:r>
          </w:p>
        </w:tc>
        <w:tc>
          <w:tcPr>
            <w:tcW w:w="1474" w:type="dxa"/>
            <w:vAlign w:val="center"/>
          </w:tcPr>
          <w:p>
            <w:pPr>
              <w:pStyle w:val="9"/>
            </w:pPr>
            <w:r>
              <w:t>18.21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24.79</w:t>
            </w:r>
          </w:p>
        </w:tc>
        <w:tc>
          <w:tcPr>
            <w:tcW w:w="1474" w:type="dxa"/>
            <w:vAlign w:val="center"/>
          </w:tcPr>
          <w:p>
            <w:pPr>
              <w:pStyle w:val="9"/>
            </w:pPr>
            <w:r>
              <w:t>24.79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750.46</w:t>
            </w:r>
          </w:p>
        </w:tc>
        <w:tc>
          <w:tcPr>
            <w:tcW w:w="3402" w:type="dxa"/>
            <w:vAlign w:val="center"/>
          </w:tcPr>
          <w:p>
            <w:pPr>
              <w:pStyle w:val="12"/>
            </w:pPr>
            <w:r>
              <w:t>本年支出合计</w:t>
            </w:r>
          </w:p>
        </w:tc>
        <w:tc>
          <w:tcPr>
            <w:tcW w:w="1474" w:type="dxa"/>
            <w:vAlign w:val="center"/>
          </w:tcPr>
          <w:p>
            <w:pPr>
              <w:pStyle w:val="13"/>
            </w:pPr>
            <w:r>
              <w:t>750.46</w:t>
            </w:r>
          </w:p>
        </w:tc>
        <w:tc>
          <w:tcPr>
            <w:tcW w:w="1474" w:type="dxa"/>
            <w:vAlign w:val="center"/>
          </w:tcPr>
          <w:p>
            <w:pPr>
              <w:pStyle w:val="13"/>
            </w:pPr>
            <w:r>
              <w:t>750.46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750.46</w:t>
            </w:r>
          </w:p>
        </w:tc>
        <w:tc>
          <w:tcPr>
            <w:tcW w:w="3402" w:type="dxa"/>
            <w:vAlign w:val="center"/>
          </w:tcPr>
          <w:p>
            <w:pPr>
              <w:pStyle w:val="12"/>
            </w:pPr>
            <w:r>
              <w:t>支出总计</w:t>
            </w:r>
          </w:p>
        </w:tc>
        <w:tc>
          <w:tcPr>
            <w:tcW w:w="1474" w:type="dxa"/>
            <w:vAlign w:val="center"/>
          </w:tcPr>
          <w:p>
            <w:pPr>
              <w:pStyle w:val="13"/>
            </w:pPr>
            <w:r>
              <w:t>750.46</w:t>
            </w:r>
          </w:p>
        </w:tc>
        <w:tc>
          <w:tcPr>
            <w:tcW w:w="1474" w:type="dxa"/>
            <w:vAlign w:val="center"/>
          </w:tcPr>
          <w:p>
            <w:pPr>
              <w:pStyle w:val="13"/>
            </w:pPr>
            <w:r>
              <w:t>750.46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750.46</w:t>
            </w:r>
          </w:p>
        </w:tc>
        <w:tc>
          <w:tcPr>
            <w:tcW w:w="2551" w:type="dxa"/>
            <w:vAlign w:val="center"/>
          </w:tcPr>
          <w:p>
            <w:pPr>
              <w:pStyle w:val="13"/>
            </w:pPr>
            <w:r>
              <w:t>646.37</w:t>
            </w:r>
          </w:p>
        </w:tc>
        <w:tc>
          <w:tcPr>
            <w:tcW w:w="2551" w:type="dxa"/>
            <w:vAlign w:val="center"/>
          </w:tcPr>
          <w:p>
            <w:pPr>
              <w:pStyle w:val="13"/>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673.21</w:t>
            </w:r>
          </w:p>
        </w:tc>
        <w:tc>
          <w:tcPr>
            <w:tcW w:w="2551" w:type="dxa"/>
            <w:vAlign w:val="center"/>
          </w:tcPr>
          <w:p>
            <w:pPr>
              <w:pStyle w:val="9"/>
            </w:pPr>
            <w:r>
              <w:t>569.11</w:t>
            </w:r>
          </w:p>
        </w:tc>
        <w:tc>
          <w:tcPr>
            <w:tcW w:w="2551" w:type="dxa"/>
            <w:vAlign w:val="center"/>
          </w:tcPr>
          <w:p>
            <w:pPr>
              <w:pStyle w:val="9"/>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673.21</w:t>
            </w:r>
          </w:p>
        </w:tc>
        <w:tc>
          <w:tcPr>
            <w:tcW w:w="2551" w:type="dxa"/>
            <w:vAlign w:val="center"/>
          </w:tcPr>
          <w:p>
            <w:pPr>
              <w:pStyle w:val="9"/>
            </w:pPr>
            <w:r>
              <w:t>569.11</w:t>
            </w:r>
          </w:p>
        </w:tc>
        <w:tc>
          <w:tcPr>
            <w:tcW w:w="2551" w:type="dxa"/>
            <w:vAlign w:val="center"/>
          </w:tcPr>
          <w:p>
            <w:pPr>
              <w:pStyle w:val="9"/>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671.50</w:t>
            </w:r>
          </w:p>
        </w:tc>
        <w:tc>
          <w:tcPr>
            <w:tcW w:w="2551" w:type="dxa"/>
            <w:vAlign w:val="center"/>
          </w:tcPr>
          <w:p>
            <w:pPr>
              <w:pStyle w:val="9"/>
            </w:pPr>
            <w:r>
              <w:t>569.11</w:t>
            </w:r>
          </w:p>
        </w:tc>
        <w:tc>
          <w:tcPr>
            <w:tcW w:w="2551" w:type="dxa"/>
            <w:vAlign w:val="center"/>
          </w:tcPr>
          <w:p>
            <w:pPr>
              <w:pStyle w:val="9"/>
            </w:pPr>
            <w:r>
              <w:t>102.39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1.71</w:t>
            </w:r>
          </w:p>
        </w:tc>
        <w:tc>
          <w:tcPr>
            <w:tcW w:w="2551" w:type="dxa"/>
            <w:vAlign w:val="center"/>
          </w:tcPr>
          <w:p>
            <w:pPr>
              <w:pStyle w:val="9"/>
            </w:pPr>
          </w:p>
        </w:tc>
        <w:tc>
          <w:tcPr>
            <w:tcW w:w="2551" w:type="dxa"/>
            <w:vAlign w:val="center"/>
          </w:tcPr>
          <w:p>
            <w:pPr>
              <w:pStyle w:val="9"/>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34.26</w:t>
            </w:r>
          </w:p>
        </w:tc>
        <w:tc>
          <w:tcPr>
            <w:tcW w:w="2551" w:type="dxa"/>
            <w:vAlign w:val="center"/>
          </w:tcPr>
          <w:p>
            <w:pPr>
              <w:pStyle w:val="9"/>
            </w:pPr>
            <w:r>
              <w:t>34.26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34.26</w:t>
            </w:r>
          </w:p>
        </w:tc>
        <w:tc>
          <w:tcPr>
            <w:tcW w:w="2551" w:type="dxa"/>
            <w:vAlign w:val="center"/>
          </w:tcPr>
          <w:p>
            <w:pPr>
              <w:pStyle w:val="9"/>
            </w:pPr>
            <w:r>
              <w:t>34.26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34.26</w:t>
            </w:r>
          </w:p>
        </w:tc>
        <w:tc>
          <w:tcPr>
            <w:tcW w:w="2551" w:type="dxa"/>
            <w:vAlign w:val="center"/>
          </w:tcPr>
          <w:p>
            <w:pPr>
              <w:pStyle w:val="9"/>
            </w:pPr>
            <w:r>
              <w:t>34.26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24.79</w:t>
            </w:r>
          </w:p>
        </w:tc>
        <w:tc>
          <w:tcPr>
            <w:tcW w:w="2551" w:type="dxa"/>
            <w:vAlign w:val="center"/>
          </w:tcPr>
          <w:p>
            <w:pPr>
              <w:pStyle w:val="9"/>
            </w:pPr>
            <w:r>
              <w:t>24.79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24.79</w:t>
            </w:r>
          </w:p>
        </w:tc>
        <w:tc>
          <w:tcPr>
            <w:tcW w:w="2551" w:type="dxa"/>
            <w:vAlign w:val="center"/>
          </w:tcPr>
          <w:p>
            <w:pPr>
              <w:pStyle w:val="9"/>
            </w:pPr>
            <w:r>
              <w:t>24.79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24.79</w:t>
            </w:r>
          </w:p>
        </w:tc>
        <w:tc>
          <w:tcPr>
            <w:tcW w:w="2551" w:type="dxa"/>
            <w:vAlign w:val="center"/>
          </w:tcPr>
          <w:p>
            <w:pPr>
              <w:pStyle w:val="9"/>
            </w:pPr>
            <w:r>
              <w:t>24.79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646.37</w:t>
            </w:r>
          </w:p>
        </w:tc>
        <w:tc>
          <w:tcPr>
            <w:tcW w:w="2551" w:type="dxa"/>
            <w:vAlign w:val="center"/>
          </w:tcPr>
          <w:p>
            <w:pPr>
              <w:pStyle w:val="13"/>
            </w:pPr>
            <w:r>
              <w:t>481.77</w:t>
            </w:r>
          </w:p>
        </w:tc>
        <w:tc>
          <w:tcPr>
            <w:tcW w:w="2551" w:type="dxa"/>
            <w:vAlign w:val="center"/>
          </w:tcPr>
          <w:p>
            <w:pPr>
              <w:pStyle w:val="13"/>
            </w:pPr>
            <w:r>
              <w:t>164.60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481.77</w:t>
            </w:r>
          </w:p>
        </w:tc>
        <w:tc>
          <w:tcPr>
            <w:tcW w:w="2551" w:type="dxa"/>
            <w:vAlign w:val="center"/>
          </w:tcPr>
          <w:p>
            <w:pPr>
              <w:pStyle w:val="9"/>
            </w:pPr>
            <w:r>
              <w:t>481.77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319.19</w:t>
            </w:r>
          </w:p>
        </w:tc>
        <w:tc>
          <w:tcPr>
            <w:tcW w:w="2551" w:type="dxa"/>
            <w:vAlign w:val="center"/>
          </w:tcPr>
          <w:p>
            <w:pPr>
              <w:pStyle w:val="9"/>
            </w:pPr>
            <w:r>
              <w:t>319.19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35.50</w:t>
            </w:r>
          </w:p>
        </w:tc>
        <w:tc>
          <w:tcPr>
            <w:tcW w:w="2551" w:type="dxa"/>
            <w:vAlign w:val="center"/>
          </w:tcPr>
          <w:p>
            <w:pPr>
              <w:pStyle w:val="9"/>
            </w:pPr>
            <w:r>
              <w:t>35.50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35.96</w:t>
            </w:r>
          </w:p>
        </w:tc>
        <w:tc>
          <w:tcPr>
            <w:tcW w:w="2551" w:type="dxa"/>
            <w:vAlign w:val="center"/>
          </w:tcPr>
          <w:p>
            <w:pPr>
              <w:pStyle w:val="9"/>
            </w:pPr>
            <w:r>
              <w:t>35.96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12.83</w:t>
            </w:r>
          </w:p>
        </w:tc>
        <w:tc>
          <w:tcPr>
            <w:tcW w:w="2551" w:type="dxa"/>
            <w:vAlign w:val="center"/>
          </w:tcPr>
          <w:p>
            <w:pPr>
              <w:pStyle w:val="9"/>
            </w:pPr>
            <w:r>
              <w:t>12.83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34.26</w:t>
            </w:r>
          </w:p>
        </w:tc>
        <w:tc>
          <w:tcPr>
            <w:tcW w:w="2551" w:type="dxa"/>
            <w:vAlign w:val="center"/>
          </w:tcPr>
          <w:p>
            <w:pPr>
              <w:pStyle w:val="9"/>
            </w:pPr>
            <w:r>
              <w:t>34.26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1.03</w:t>
            </w:r>
          </w:p>
        </w:tc>
        <w:tc>
          <w:tcPr>
            <w:tcW w:w="2551" w:type="dxa"/>
            <w:vAlign w:val="center"/>
          </w:tcPr>
          <w:p>
            <w:pPr>
              <w:pStyle w:val="9"/>
            </w:pPr>
            <w:r>
              <w:t>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24.79</w:t>
            </w:r>
          </w:p>
        </w:tc>
        <w:tc>
          <w:tcPr>
            <w:tcW w:w="2551" w:type="dxa"/>
            <w:vAlign w:val="center"/>
          </w:tcPr>
          <w:p>
            <w:pPr>
              <w:pStyle w:val="9"/>
            </w:pPr>
            <w:r>
              <w:t>24.79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164.60</w:t>
            </w:r>
          </w:p>
        </w:tc>
        <w:tc>
          <w:tcPr>
            <w:tcW w:w="2551" w:type="dxa"/>
            <w:vAlign w:val="center"/>
          </w:tcPr>
          <w:p>
            <w:pPr>
              <w:pStyle w:val="9"/>
            </w:pPr>
          </w:p>
        </w:tc>
        <w:tc>
          <w:tcPr>
            <w:tcW w:w="2551" w:type="dxa"/>
            <w:vAlign w:val="center"/>
          </w:tcPr>
          <w:p>
            <w:pPr>
              <w:pStyle w:val="9"/>
            </w:pPr>
            <w:r>
              <w:t>164.60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134.60</w:t>
            </w:r>
          </w:p>
        </w:tc>
        <w:tc>
          <w:tcPr>
            <w:tcW w:w="2551" w:type="dxa"/>
            <w:vAlign w:val="center"/>
          </w:tcPr>
          <w:p>
            <w:pPr>
              <w:pStyle w:val="9"/>
            </w:pPr>
          </w:p>
        </w:tc>
        <w:tc>
          <w:tcPr>
            <w:tcW w:w="2551" w:type="dxa"/>
            <w:vAlign w:val="center"/>
          </w:tcPr>
          <w:p>
            <w:pPr>
              <w:pStyle w:val="9"/>
            </w:pPr>
            <w:r>
              <w:t>134.60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223001成安县行政审批局本级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成安县行政审批局本级2023年单位预算信息公开情况说明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bookmarkStart w:id="2" w:name="_GoBack"/>
      <w:bookmarkEnd w:id="2"/>
      <w:r>
        <w:rPr>
          <w:rFonts w:eastAsia="方正仿宋_GBK"/>
          <w:color w:val="000000"/>
          <w:sz w:val="28"/>
        </w:rPr>
        <w:t>、《地方预决算公开操作规程》和《关于进一步推进预算公开工作的实施意见》规定，现将成安县行政审批局本级2023年单位预算公开如下：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spacing w:line="500" w:lineRule="exact"/>
        <w:ind w:firstLine="560"/>
        <w:rPr>
          <w:rFonts w:eastAsia="方正仿宋_GBK"/>
          <w:color w:val="000000"/>
          <w:sz w:val="28"/>
        </w:rPr>
      </w:pPr>
      <w:r>
        <w:rPr>
          <w:rFonts w:hint="eastAsia" w:eastAsia="方正仿宋_GBK"/>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pPr>
        <w:spacing w:line="500" w:lineRule="exact"/>
        <w:ind w:firstLine="560"/>
        <w:rPr>
          <w:rFonts w:eastAsia="方正仿宋_GBK"/>
          <w:color w:val="000000"/>
          <w:sz w:val="28"/>
        </w:rPr>
      </w:pPr>
      <w:r>
        <w:rPr>
          <w:rFonts w:hint="eastAsia" w:eastAsia="方正仿宋_GBK"/>
          <w:color w:val="000000"/>
          <w:sz w:val="28"/>
        </w:rPr>
        <w:t>（三）负责县本级涉及投资项目、市场服务、公共事务、社会事务、环保城管、规划建设、交通运输、商贸流通、文教卫生、农林水利等领域审批事项的审批工作，并对审批行为承担相应的法律责任。</w:t>
      </w:r>
    </w:p>
    <w:p>
      <w:pPr>
        <w:spacing w:line="500" w:lineRule="exact"/>
        <w:ind w:firstLine="560"/>
        <w:rPr>
          <w:rFonts w:eastAsia="方正仿宋_GBK"/>
          <w:color w:val="000000"/>
          <w:sz w:val="28"/>
        </w:rPr>
      </w:pPr>
      <w:r>
        <w:rPr>
          <w:rFonts w:hint="eastAsia" w:eastAsia="方正仿宋_GBK"/>
          <w:color w:val="000000"/>
          <w:sz w:val="28"/>
        </w:rPr>
        <w:t>（四）负责进驻县行政审批局各部门行政审批工作的规范、管理和监督；负责审批业务涉及中介服务机构的对接、沟通、协调工作；负责“中介超市”管理工作。</w:t>
      </w:r>
    </w:p>
    <w:p>
      <w:pPr>
        <w:spacing w:line="500" w:lineRule="exact"/>
        <w:ind w:firstLine="560"/>
        <w:rPr>
          <w:rFonts w:eastAsia="方正仿宋_GBK"/>
          <w:color w:val="000000"/>
          <w:sz w:val="28"/>
        </w:rPr>
      </w:pPr>
      <w:r>
        <w:rPr>
          <w:rFonts w:hint="eastAsia" w:eastAsia="方正仿宋_GBK"/>
          <w:color w:val="000000"/>
          <w:sz w:val="28"/>
        </w:rPr>
        <w:t>（五）组织协调全县“放管服”改革工作。指导、督促贯彻落实国家、省、市关于“放管服”改革重要领域、关键环节重大政策措施，承担县推进政府职能转变和“放管服”改革协调小组的日常工作。</w:t>
      </w:r>
    </w:p>
    <w:p>
      <w:pPr>
        <w:spacing w:line="500" w:lineRule="exact"/>
        <w:ind w:firstLine="560"/>
        <w:rPr>
          <w:rFonts w:eastAsia="方正仿宋_GBK"/>
          <w:color w:val="000000"/>
          <w:sz w:val="28"/>
        </w:rPr>
      </w:pPr>
      <w:r>
        <w:rPr>
          <w:rFonts w:hint="eastAsia" w:eastAsia="方正仿宋_GBK"/>
          <w:color w:val="000000"/>
          <w:sz w:val="28"/>
        </w:rPr>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pPr>
        <w:spacing w:line="500" w:lineRule="exact"/>
        <w:ind w:firstLine="560"/>
        <w:rPr>
          <w:rFonts w:eastAsia="方正仿宋_GBK"/>
          <w:color w:val="000000"/>
          <w:sz w:val="28"/>
        </w:rPr>
      </w:pPr>
      <w:r>
        <w:rPr>
          <w:rFonts w:hint="eastAsia" w:eastAsia="方正仿宋_GBK"/>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spacing w:line="500" w:lineRule="exact"/>
        <w:ind w:firstLine="560"/>
        <w:rPr>
          <w:rFonts w:eastAsia="方正仿宋_GBK"/>
          <w:color w:val="000000"/>
          <w:sz w:val="28"/>
        </w:rPr>
      </w:pPr>
      <w:r>
        <w:rPr>
          <w:rFonts w:hint="eastAsia" w:eastAsia="方正仿宋_GBK"/>
          <w:color w:val="000000"/>
          <w:sz w:val="28"/>
        </w:rPr>
        <w:t>（八）承担成安县公共资源交易管理委员会日常工作。负责全县统一的公共资源交易平台建设、协调、监督和管理；会同有责关行政监督部门拟订公共资源交易市场规则和制度，编制公共资源交易项目目录，规范各类公共资源交易活动。</w:t>
      </w:r>
    </w:p>
    <w:p>
      <w:pPr>
        <w:spacing w:line="500" w:lineRule="exact"/>
        <w:ind w:firstLine="560"/>
        <w:rPr>
          <w:rFonts w:eastAsia="方正仿宋_GBK"/>
          <w:color w:val="000000"/>
          <w:sz w:val="28"/>
        </w:rPr>
      </w:pPr>
      <w:r>
        <w:rPr>
          <w:rFonts w:hint="eastAsia" w:eastAsia="方正仿宋_GBK"/>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spacing w:line="500" w:lineRule="exact"/>
        <w:ind w:firstLine="560"/>
        <w:rPr>
          <w:rFonts w:eastAsia="方正仿宋_GBK"/>
          <w:color w:val="000000"/>
          <w:sz w:val="28"/>
        </w:rPr>
      </w:pPr>
      <w:r>
        <w:rPr>
          <w:rFonts w:hint="eastAsia" w:eastAsia="方正仿宋_GBK"/>
          <w:color w:val="000000"/>
          <w:sz w:val="28"/>
        </w:rPr>
        <w:t>（十）统筹推进全县“互联网+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spacing w:line="500" w:lineRule="exact"/>
        <w:ind w:firstLine="560"/>
        <w:rPr>
          <w:rFonts w:eastAsia="方正仿宋_GBK"/>
          <w:color w:val="000000"/>
          <w:sz w:val="28"/>
        </w:rPr>
      </w:pPr>
      <w:r>
        <w:rPr>
          <w:rFonts w:hint="eastAsia" w:eastAsia="方正仿宋_GBK"/>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（十二）负责工作人员的教育、培训、管理和绩效考核。</w:t>
      </w:r>
    </w:p>
    <w:p>
      <w:pPr>
        <w:spacing w:line="500" w:lineRule="exact"/>
        <w:ind w:firstLine="560"/>
        <w:rPr>
          <w:rFonts w:eastAsia="方正仿宋_GBK"/>
          <w:color w:val="000000"/>
          <w:sz w:val="28"/>
        </w:rPr>
      </w:pPr>
      <w:r>
        <w:rPr>
          <w:rFonts w:hint="eastAsia" w:eastAsia="方正仿宋_GBK"/>
          <w:color w:val="000000"/>
          <w:sz w:val="28"/>
        </w:rPr>
        <w:t>（十三）完成县委、县政府交办的其他任务。</w:t>
      </w:r>
    </w:p>
    <w:p>
      <w:pPr>
        <w:spacing w:line="500" w:lineRule="exact"/>
        <w:ind w:firstLine="560"/>
        <w:rPr>
          <w:rFonts w:eastAsia="方正仿宋_GBK"/>
          <w:color w:val="000000"/>
          <w:sz w:val="30"/>
          <w:szCs w:val="30"/>
        </w:rPr>
      </w:pPr>
      <w:r>
        <w:rPr>
          <w:rFonts w:hint="eastAsia" w:eastAsia="方正仿宋_GBK"/>
          <w:color w:val="000000"/>
          <w:sz w:val="30"/>
          <w:szCs w:val="30"/>
        </w:rPr>
        <w:t>人员编制和领导职数</w:t>
      </w:r>
    </w:p>
    <w:p>
      <w:pPr>
        <w:spacing w:line="500" w:lineRule="exact"/>
        <w:ind w:firstLine="560"/>
        <w:rPr>
          <w:rFonts w:eastAsia="方正仿宋_GBK"/>
          <w:color w:val="000000"/>
          <w:sz w:val="28"/>
        </w:rPr>
      </w:pPr>
      <w:r>
        <w:rPr>
          <w:rFonts w:hint="eastAsia" w:eastAsia="方正仿宋_GBK"/>
          <w:color w:val="000000"/>
          <w:sz w:val="28"/>
        </w:rPr>
        <w:t>县行政审批局机关行政编制14名。股级领导职数5名。</w:t>
      </w:r>
    </w:p>
    <w:p>
      <w:pPr>
        <w:ind w:firstLine="640"/>
        <w:rPr>
          <w:rFonts w:eastAsiaTheme="minorEastAsia"/>
          <w:lang w:eastAsia="zh-CN"/>
        </w:rPr>
      </w:pP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成安县行政审批局本级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line="500" w:lineRule="exact"/>
        <w:ind w:firstLine="560"/>
        <w:rPr>
          <w:rFonts w:eastAsia="方正仿宋_GBK"/>
          <w:color w:val="000000"/>
          <w:sz w:val="28"/>
        </w:rPr>
      </w:pPr>
      <w:r>
        <w:rPr>
          <w:rFonts w:hint="eastAsia" w:eastAsia="方正仿宋_GBK"/>
          <w:color w:val="000000"/>
          <w:sz w:val="28"/>
        </w:rPr>
        <w:t>成安县行政审批局，预算编码是223。内设5个内部机构。</w:t>
      </w:r>
    </w:p>
    <w:p>
      <w:pPr>
        <w:spacing w:line="500" w:lineRule="exact"/>
        <w:ind w:firstLine="560"/>
        <w:rPr>
          <w:rFonts w:eastAsia="方正仿宋_GBK"/>
          <w:color w:val="000000"/>
          <w:sz w:val="28"/>
        </w:rPr>
      </w:pPr>
      <w:r>
        <w:rPr>
          <w:rFonts w:hint="eastAsia" w:eastAsia="方正仿宋_GBK"/>
          <w:color w:val="000000"/>
          <w:sz w:val="28"/>
        </w:rPr>
        <w:t>（一）办公室。负责组织、协调、推进机关日常工作。负责文电、机要、保密、档案和政务公开工作；负责机关和所属单位财务、国有资产管理、安全保卫和内部审计工作；负责重要文件、综合性报告、领导讲话稿的起草，重大课题的政策研究和综合调研工作；负责重要会议、接待和活动的组织安排；负责局办公会议及内部管理制度的督办落实；负责人大代表建议及政协提案承办工作；负责拟定机关内部管理规章制度。</w:t>
      </w:r>
    </w:p>
    <w:p>
      <w:pPr>
        <w:spacing w:line="500" w:lineRule="exact"/>
        <w:ind w:firstLine="560"/>
        <w:rPr>
          <w:rFonts w:eastAsia="方正仿宋_GBK"/>
          <w:color w:val="000000"/>
          <w:sz w:val="28"/>
        </w:rPr>
      </w:pPr>
      <w:r>
        <w:rPr>
          <w:rFonts w:hint="eastAsia" w:eastAsia="方正仿宋_GBK"/>
          <w:color w:val="000000"/>
          <w:sz w:val="28"/>
        </w:rPr>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pPr>
        <w:spacing w:line="500" w:lineRule="exact"/>
        <w:ind w:firstLine="560"/>
        <w:rPr>
          <w:rFonts w:eastAsia="方正仿宋_GBK"/>
          <w:color w:val="000000"/>
          <w:sz w:val="28"/>
        </w:rPr>
      </w:pPr>
      <w:r>
        <w:rPr>
          <w:rFonts w:hint="eastAsia" w:eastAsia="方正仿宋_GBK"/>
          <w:color w:val="000000"/>
          <w:sz w:val="28"/>
        </w:rPr>
        <w:t>（二）综合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pPr>
        <w:spacing w:line="500" w:lineRule="exact"/>
        <w:ind w:firstLine="560"/>
        <w:rPr>
          <w:rFonts w:eastAsia="方正仿宋_GBK"/>
          <w:color w:val="000000"/>
          <w:sz w:val="28"/>
        </w:rPr>
      </w:pPr>
      <w:r>
        <w:rPr>
          <w:rFonts w:hint="eastAsia" w:eastAsia="方正仿宋_GBK"/>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pPr>
        <w:spacing w:line="500" w:lineRule="exact"/>
        <w:ind w:firstLine="560"/>
        <w:rPr>
          <w:rFonts w:eastAsia="方正仿宋_GBK"/>
          <w:color w:val="000000"/>
          <w:sz w:val="28"/>
        </w:rPr>
      </w:pPr>
      <w:r>
        <w:rPr>
          <w:rFonts w:hint="eastAsia" w:eastAsia="方正仿宋_GBK"/>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pPr>
        <w:spacing w:line="500" w:lineRule="exact"/>
        <w:ind w:firstLine="560"/>
        <w:rPr>
          <w:rFonts w:eastAsia="方正仿宋_GBK"/>
          <w:color w:val="000000"/>
          <w:sz w:val="28"/>
        </w:rPr>
      </w:pPr>
      <w:r>
        <w:rPr>
          <w:rFonts w:hint="eastAsia" w:eastAsia="方正仿宋_GBK"/>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责汇总公共资源交易情况，及时向公共资源交易平台通报、发布相关信息；对进场交易情况进行考评；负责组织对有关入驻单位、工作人员的社会评议；受理对公共资源交易活动的投诉并会同有关部门调查处理。</w:t>
      </w:r>
    </w:p>
    <w:p>
      <w:pPr>
        <w:spacing w:line="500" w:lineRule="exact"/>
        <w:ind w:firstLine="560"/>
        <w:rPr>
          <w:rFonts w:eastAsia="方正仿宋_GBK"/>
          <w:color w:val="000000"/>
          <w:sz w:val="28"/>
        </w:rPr>
      </w:pPr>
      <w:r>
        <w:rPr>
          <w:rFonts w:hint="eastAsia" w:eastAsia="方正仿宋_GBK"/>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年预算收入</w:t>
      </w:r>
      <w:r>
        <w:rPr>
          <w:rFonts w:hint="eastAsia" w:eastAsiaTheme="minorEastAsia"/>
          <w:color w:val="000000"/>
          <w:sz w:val="28"/>
          <w:lang w:eastAsia="zh-CN"/>
        </w:rPr>
        <w:t>750.46</w:t>
      </w:r>
      <w:r>
        <w:rPr>
          <w:rFonts w:hint="eastAsia" w:eastAsia="方正仿宋_GBK"/>
          <w:color w:val="000000"/>
          <w:sz w:val="28"/>
        </w:rPr>
        <w:t>万元，其中：一般公共预算收入</w:t>
      </w:r>
      <w:r>
        <w:rPr>
          <w:rFonts w:hint="eastAsia" w:eastAsiaTheme="minorEastAsia"/>
          <w:color w:val="000000"/>
          <w:sz w:val="28"/>
          <w:lang w:eastAsia="zh-CN"/>
        </w:rPr>
        <w:t>750.46</w:t>
      </w:r>
      <w:r>
        <w:rPr>
          <w:rFonts w:hint="eastAsia" w:eastAsia="方正仿宋_GBK"/>
          <w:color w:val="000000"/>
          <w:sz w:val="28"/>
        </w:rPr>
        <w:t>万元，国有资本经营收入0万元，事业收入0万元，其他收入0万元。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年支出预算</w:t>
      </w:r>
      <w:r>
        <w:rPr>
          <w:rFonts w:hint="eastAsia" w:eastAsiaTheme="minorEastAsia"/>
          <w:color w:val="000000"/>
          <w:sz w:val="28"/>
          <w:lang w:eastAsia="zh-CN"/>
        </w:rPr>
        <w:t>750.46</w:t>
      </w:r>
      <w:r>
        <w:rPr>
          <w:rFonts w:hint="eastAsia" w:eastAsia="方正仿宋_GBK"/>
          <w:color w:val="000000"/>
          <w:sz w:val="28"/>
        </w:rPr>
        <w:t>万元，其中基本支出</w:t>
      </w:r>
      <w:r>
        <w:rPr>
          <w:rFonts w:hint="eastAsia" w:eastAsiaTheme="minorEastAsia"/>
          <w:color w:val="000000"/>
          <w:sz w:val="28"/>
          <w:lang w:eastAsia="zh-CN"/>
        </w:rPr>
        <w:t>646.37</w:t>
      </w:r>
      <w:r>
        <w:rPr>
          <w:rFonts w:hint="eastAsia" w:eastAsia="方正仿宋_GBK"/>
          <w:color w:val="000000"/>
          <w:sz w:val="28"/>
        </w:rPr>
        <w:t>万元，</w:t>
      </w:r>
      <w:r>
        <w:rPr>
          <w:rFonts w:hint="eastAsia" w:eastAsiaTheme="minorEastAsia"/>
          <w:color w:val="000000"/>
          <w:sz w:val="28"/>
          <w:lang w:eastAsia="zh-CN"/>
        </w:rPr>
        <w:t>一般公共服务支出569.11</w:t>
      </w:r>
      <w:r>
        <w:rPr>
          <w:rFonts w:hint="eastAsia" w:eastAsia="方正仿宋_GBK"/>
          <w:color w:val="000000"/>
          <w:sz w:val="28"/>
        </w:rPr>
        <w:t>万元，</w:t>
      </w:r>
      <w:r>
        <w:rPr>
          <w:rFonts w:hint="eastAsia" w:eastAsiaTheme="minorEastAsia"/>
          <w:color w:val="000000"/>
          <w:sz w:val="28"/>
          <w:lang w:eastAsia="zh-CN"/>
        </w:rPr>
        <w:t>社会保障和就业支出34.26</w:t>
      </w:r>
      <w:r>
        <w:rPr>
          <w:rFonts w:hint="eastAsia" w:eastAsia="方正仿宋_GBK"/>
          <w:color w:val="000000"/>
          <w:sz w:val="28"/>
        </w:rPr>
        <w:t>万元</w:t>
      </w:r>
      <w:r>
        <w:rPr>
          <w:rFonts w:hint="eastAsia" w:eastAsiaTheme="minorEastAsia"/>
          <w:color w:val="000000"/>
          <w:sz w:val="28"/>
          <w:lang w:eastAsia="zh-CN"/>
        </w:rPr>
        <w:t>，卫生健康支出18.21万元，住房保障支出24.79万元</w:t>
      </w:r>
      <w:r>
        <w:rPr>
          <w:rFonts w:hint="eastAsia" w:eastAsia="方正仿宋_GBK"/>
          <w:color w:val="000000"/>
          <w:sz w:val="28"/>
        </w:rPr>
        <w:t>；项目支出</w:t>
      </w:r>
      <w:r>
        <w:rPr>
          <w:rFonts w:hint="eastAsia" w:eastAsiaTheme="minorEastAsia"/>
          <w:color w:val="000000"/>
          <w:sz w:val="28"/>
          <w:lang w:eastAsia="zh-CN"/>
        </w:rPr>
        <w:t>104.09</w:t>
      </w:r>
      <w:r>
        <w:rPr>
          <w:rFonts w:hint="eastAsia" w:eastAsia="方正仿宋_GBK"/>
          <w:color w:val="000000"/>
          <w:sz w:val="28"/>
        </w:rPr>
        <w:t>万元，主要为</w:t>
      </w:r>
      <w:r>
        <w:rPr>
          <w:rFonts w:hint="eastAsia" w:eastAsiaTheme="minorEastAsia"/>
          <w:color w:val="000000"/>
          <w:sz w:val="28"/>
          <w:lang w:eastAsia="zh-CN"/>
        </w:rPr>
        <w:t>村（社区）服务站建设支出</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3、比上年增减变化情况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年预算收支安排</w:t>
      </w:r>
      <w:r>
        <w:rPr>
          <w:rFonts w:hint="eastAsia" w:eastAsiaTheme="minorEastAsia"/>
          <w:color w:val="000000"/>
          <w:sz w:val="28"/>
          <w:lang w:eastAsia="zh-CN"/>
        </w:rPr>
        <w:t>750.46</w:t>
      </w:r>
      <w:r>
        <w:rPr>
          <w:rFonts w:hint="eastAsia" w:eastAsia="方正仿宋_GBK"/>
          <w:color w:val="000000"/>
          <w:sz w:val="28"/>
        </w:rPr>
        <w:t>万元，202</w:t>
      </w:r>
      <w:r>
        <w:rPr>
          <w:rFonts w:hint="eastAsia" w:eastAsiaTheme="minorEastAsia"/>
          <w:color w:val="000000"/>
          <w:sz w:val="28"/>
          <w:lang w:eastAsia="zh-CN"/>
        </w:rPr>
        <w:t>2</w:t>
      </w:r>
      <w:r>
        <w:rPr>
          <w:rFonts w:hint="eastAsia" w:eastAsia="方正仿宋_GBK"/>
          <w:color w:val="000000"/>
          <w:sz w:val="28"/>
        </w:rPr>
        <w:t>年财政拨款收入</w:t>
      </w:r>
      <w:r>
        <w:rPr>
          <w:rFonts w:hint="eastAsia" w:eastAsiaTheme="minorEastAsia"/>
          <w:color w:val="000000"/>
          <w:sz w:val="28"/>
          <w:lang w:eastAsia="zh-CN"/>
        </w:rPr>
        <w:t>1598.08</w:t>
      </w:r>
      <w:r>
        <w:rPr>
          <w:rFonts w:hint="eastAsia" w:eastAsia="方正仿宋_GBK"/>
          <w:color w:val="000000"/>
          <w:sz w:val="28"/>
        </w:rPr>
        <w:t>万元，202</w:t>
      </w:r>
      <w:r>
        <w:rPr>
          <w:rFonts w:hint="eastAsia" w:eastAsiaTheme="minorEastAsia"/>
          <w:color w:val="000000"/>
          <w:sz w:val="28"/>
          <w:lang w:eastAsia="zh-CN"/>
        </w:rPr>
        <w:t>3</w:t>
      </w:r>
      <w:r>
        <w:rPr>
          <w:rFonts w:hint="eastAsia" w:eastAsia="方正仿宋_GBK"/>
          <w:color w:val="000000"/>
          <w:sz w:val="28"/>
        </w:rPr>
        <w:t>年比202</w:t>
      </w:r>
      <w:r>
        <w:rPr>
          <w:rFonts w:hint="eastAsia" w:eastAsiaTheme="minorEastAsia"/>
          <w:color w:val="000000"/>
          <w:sz w:val="28"/>
          <w:lang w:eastAsia="zh-CN"/>
        </w:rPr>
        <w:t>2</w:t>
      </w:r>
      <w:r>
        <w:rPr>
          <w:rFonts w:hint="eastAsia" w:eastAsia="方正仿宋_GBK"/>
          <w:color w:val="000000"/>
          <w:sz w:val="28"/>
        </w:rPr>
        <w:t>年</w:t>
      </w:r>
      <w:r>
        <w:rPr>
          <w:rFonts w:hint="eastAsia" w:eastAsiaTheme="minorEastAsia"/>
          <w:color w:val="000000"/>
          <w:sz w:val="28"/>
          <w:lang w:eastAsia="zh-CN"/>
        </w:rPr>
        <w:t>减少847.62</w:t>
      </w:r>
      <w:r>
        <w:rPr>
          <w:rFonts w:hint="eastAsia" w:eastAsia="方正仿宋_GBK"/>
          <w:color w:val="000000"/>
          <w:sz w:val="28"/>
        </w:rPr>
        <w:t>万元。其中：基本支出</w:t>
      </w:r>
      <w:r>
        <w:rPr>
          <w:rFonts w:hint="eastAsia" w:eastAsiaTheme="minorEastAsia"/>
          <w:color w:val="000000"/>
          <w:sz w:val="28"/>
          <w:lang w:eastAsia="zh-CN"/>
        </w:rPr>
        <w:t>增加119.54</w:t>
      </w:r>
      <w:r>
        <w:rPr>
          <w:rFonts w:hint="eastAsia" w:eastAsia="方正仿宋_GBK"/>
          <w:color w:val="000000"/>
          <w:sz w:val="28"/>
        </w:rPr>
        <w:t>万元，由于机构改革和职能变动，在202</w:t>
      </w:r>
      <w:r>
        <w:rPr>
          <w:rFonts w:hint="eastAsia" w:eastAsiaTheme="minorEastAsia"/>
          <w:color w:val="000000"/>
          <w:sz w:val="28"/>
          <w:lang w:eastAsia="zh-CN"/>
        </w:rPr>
        <w:t>3</w:t>
      </w:r>
      <w:r>
        <w:rPr>
          <w:rFonts w:hint="eastAsia" w:eastAsia="方正仿宋_GBK"/>
          <w:color w:val="000000"/>
          <w:sz w:val="28"/>
        </w:rPr>
        <w:t>年预算中予以调</w:t>
      </w:r>
      <w:r>
        <w:rPr>
          <w:rFonts w:hint="eastAsia" w:eastAsiaTheme="minorEastAsia"/>
          <w:color w:val="000000"/>
          <w:sz w:val="28"/>
          <w:lang w:eastAsia="zh-CN"/>
        </w:rPr>
        <w:t>增</w:t>
      </w:r>
      <w:r>
        <w:rPr>
          <w:rFonts w:hint="eastAsia" w:eastAsia="方正仿宋_GBK"/>
          <w:color w:val="000000"/>
          <w:sz w:val="28"/>
        </w:rPr>
        <w:t>；项目支出</w:t>
      </w:r>
      <w:r>
        <w:rPr>
          <w:rFonts w:hint="eastAsia" w:eastAsiaTheme="minorEastAsia"/>
          <w:color w:val="000000"/>
          <w:sz w:val="28"/>
          <w:lang w:eastAsia="zh-CN"/>
        </w:rPr>
        <w:t>减少967.16</w:t>
      </w:r>
      <w:r>
        <w:rPr>
          <w:rFonts w:hint="eastAsia" w:eastAsia="方正仿宋_GBK"/>
          <w:color w:val="000000"/>
          <w:sz w:val="28"/>
        </w:rPr>
        <w:t>万元，主要是</w:t>
      </w:r>
      <w:r>
        <w:rPr>
          <w:rFonts w:hint="eastAsia" w:eastAsiaTheme="minorEastAsia"/>
          <w:color w:val="000000"/>
          <w:sz w:val="28"/>
          <w:lang w:eastAsia="zh-CN"/>
        </w:rPr>
        <w:t>建设项目的减少</w:t>
      </w:r>
      <w:r>
        <w:rPr>
          <w:rFonts w:hint="eastAsia" w:eastAsia="方正仿宋_GBK"/>
          <w:color w:val="000000"/>
          <w:sz w:val="28"/>
        </w:rPr>
        <w:t>。</w:t>
      </w:r>
    </w:p>
    <w:p>
      <w:pPr>
        <w:spacing w:line="500" w:lineRule="exact"/>
        <w:ind w:firstLine="56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Theme="minorEastAsia"/>
          <w:color w:val="000000"/>
          <w:sz w:val="28"/>
          <w:lang w:eastAsia="zh-CN"/>
        </w:rPr>
        <w:t>673.21</w:t>
      </w:r>
      <w:r>
        <w:rPr>
          <w:rFonts w:hint="eastAsia" w:eastAsia="方正仿宋_GBK"/>
          <w:color w:val="000000"/>
          <w:sz w:val="28"/>
        </w:rPr>
        <w:t>万元，主要用于人员经费和办公区日常维修、办公用房水电费、邮电费、差旅费、办公用房物业管理费、印刷费等日常运行支出。</w:t>
      </w:r>
    </w:p>
    <w:p>
      <w:pPr>
        <w:spacing w:before="10" w:after="10" w:line="360" w:lineRule="auto"/>
        <w:ind w:firstLine="640" w:firstLineChars="200"/>
        <w:outlineLvl w:val="2"/>
        <w:rPr>
          <w:rFonts w:ascii="黑体" w:hAnsi="黑体" w:eastAsia="黑体" w:cs="黑体"/>
          <w:color w:val="000000"/>
          <w:sz w:val="32"/>
          <w:lang w:eastAsia="zh-CN"/>
        </w:rPr>
      </w:pPr>
      <w:bookmarkStart w:id="1" w:name="_Toc_3_3_0000000013"/>
      <w:r>
        <w:rPr>
          <w:rFonts w:ascii="黑体" w:hAnsi="黑体" w:eastAsia="黑体" w:cs="黑体"/>
          <w:color w:val="000000"/>
          <w:sz w:val="32"/>
        </w:rPr>
        <w:t>四、财政拨款“三公”经费预算情况及增减变化原因</w:t>
      </w:r>
      <w:bookmarkEnd w:id="1"/>
    </w:p>
    <w:p>
      <w:pPr>
        <w:spacing w:before="10" w:after="10"/>
        <w:ind w:firstLine="640"/>
        <w:outlineLvl w:val="5"/>
        <w:rPr>
          <w:rFonts w:eastAsiaTheme="minorEastAsia"/>
          <w:lang w:eastAsia="zh-CN"/>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年度“三公”预算安排0万元，其中，因公出国（境）费0元，安排公务用车维护费0元，（其中公务用车购置费0元，公务用车运行维护费0万元），公务接待费0万元，202</w:t>
      </w:r>
      <w:r>
        <w:rPr>
          <w:rFonts w:hint="eastAsia" w:eastAsiaTheme="minorEastAsia"/>
          <w:color w:val="000000"/>
          <w:sz w:val="28"/>
          <w:lang w:eastAsia="zh-CN"/>
        </w:rPr>
        <w:t>3</w:t>
      </w:r>
      <w:r>
        <w:rPr>
          <w:rFonts w:hint="eastAsia" w:eastAsia="方正仿宋_GBK"/>
          <w:color w:val="000000"/>
          <w:sz w:val="28"/>
        </w:rPr>
        <w:t>年“三公”经费中因公出国（境）费与去年持平，公务用车维护费与去年持平，公务接待费与去年持平。</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00" w:lineRule="exact"/>
        <w:ind w:firstLine="560"/>
        <w:rPr>
          <w:rFonts w:eastAsia="方正仿宋_GBK"/>
          <w:color w:val="000000"/>
          <w:sz w:val="28"/>
        </w:rPr>
      </w:pPr>
      <w:r>
        <w:rPr>
          <w:rFonts w:hint="eastAsia" w:eastAsia="方正仿宋_GBK"/>
          <w:color w:val="000000"/>
          <w:sz w:val="28"/>
        </w:rPr>
        <w:t>（一）总体绩效目标：</w:t>
      </w:r>
    </w:p>
    <w:p>
      <w:pPr>
        <w:spacing w:line="500" w:lineRule="exact"/>
        <w:ind w:firstLine="560"/>
        <w:rPr>
          <w:rFonts w:eastAsia="方正仿宋_GBK"/>
          <w:color w:val="000000"/>
          <w:sz w:val="28"/>
        </w:rPr>
      </w:pPr>
      <w:r>
        <w:rPr>
          <w:rFonts w:hint="eastAsia" w:eastAsia="方正仿宋_GBK"/>
          <w:color w:val="000000"/>
          <w:sz w:val="28"/>
        </w:rPr>
        <w:t>1.深化审批机制改革</w:t>
      </w:r>
    </w:p>
    <w:p>
      <w:pPr>
        <w:spacing w:line="500" w:lineRule="exact"/>
        <w:ind w:firstLine="560"/>
        <w:rPr>
          <w:rFonts w:eastAsia="方正仿宋_GBK"/>
          <w:color w:val="000000"/>
          <w:sz w:val="28"/>
        </w:rPr>
      </w:pPr>
      <w:r>
        <w:rPr>
          <w:rFonts w:hint="eastAsia" w:eastAsia="方正仿宋_GBK"/>
          <w:color w:val="000000"/>
          <w:sz w:val="28"/>
        </w:rPr>
        <w:t>深化审批机制改革，要推进工程建设项目审批制度改革；推进商事制度改革，实施企业开办提速、“证照分离”等专项行动；推进公共资源交易改革；全面推行统一受理；提升重点项目代办工作。</w:t>
      </w:r>
    </w:p>
    <w:p>
      <w:pPr>
        <w:spacing w:line="500" w:lineRule="exact"/>
        <w:ind w:firstLine="560"/>
        <w:rPr>
          <w:rFonts w:eastAsia="方正仿宋_GBK"/>
          <w:color w:val="000000"/>
          <w:sz w:val="28"/>
        </w:rPr>
      </w:pPr>
      <w:r>
        <w:rPr>
          <w:rFonts w:hint="eastAsia" w:eastAsia="方正仿宋_GBK"/>
          <w:color w:val="000000"/>
          <w:sz w:val="28"/>
        </w:rPr>
        <w:t>2.深化政务服务改革</w:t>
      </w:r>
    </w:p>
    <w:p>
      <w:pPr>
        <w:spacing w:line="500" w:lineRule="exact"/>
        <w:ind w:firstLine="560"/>
        <w:rPr>
          <w:rFonts w:eastAsia="方正仿宋_GBK"/>
          <w:color w:val="000000"/>
          <w:sz w:val="28"/>
        </w:rPr>
      </w:pPr>
      <w:r>
        <w:rPr>
          <w:rFonts w:hint="eastAsia" w:eastAsia="方正仿宋_GBK"/>
          <w:color w:val="000000"/>
          <w:sz w:val="28"/>
        </w:rPr>
        <w:t>深化政务服务改革，要健全完善政务服务体系；加强审批服务标准化建设；加快推动“互联网＋政务服务”；提高群众服务热线水平。</w:t>
      </w:r>
    </w:p>
    <w:p>
      <w:pPr>
        <w:spacing w:line="500" w:lineRule="exact"/>
        <w:ind w:firstLine="560"/>
        <w:rPr>
          <w:rFonts w:eastAsia="方正仿宋_GBK"/>
          <w:color w:val="000000"/>
          <w:sz w:val="28"/>
        </w:rPr>
      </w:pPr>
      <w:r>
        <w:rPr>
          <w:rFonts w:hint="eastAsia" w:eastAsia="方正仿宋_GBK"/>
          <w:color w:val="000000"/>
          <w:sz w:val="28"/>
        </w:rPr>
        <w:t>3.加大“四减”力度</w:t>
      </w:r>
    </w:p>
    <w:p>
      <w:pPr>
        <w:spacing w:line="500" w:lineRule="exact"/>
        <w:ind w:firstLine="560"/>
        <w:rPr>
          <w:rFonts w:eastAsia="方正仿宋_GBK"/>
          <w:color w:val="000000"/>
          <w:sz w:val="28"/>
        </w:rPr>
      </w:pPr>
      <w:r>
        <w:rPr>
          <w:rFonts w:hint="eastAsia" w:eastAsia="方正仿宋_GBK"/>
          <w:color w:val="000000"/>
          <w:sz w:val="28"/>
        </w:rPr>
        <w:t>减少审批事项；减少审批环节；减少审批材料；减少审批时限。</w:t>
      </w:r>
    </w:p>
    <w:p>
      <w:pPr>
        <w:spacing w:line="500" w:lineRule="exact"/>
        <w:ind w:firstLine="560"/>
        <w:rPr>
          <w:rFonts w:eastAsia="方正仿宋_GBK"/>
          <w:color w:val="000000"/>
          <w:sz w:val="28"/>
        </w:rPr>
      </w:pPr>
      <w:r>
        <w:rPr>
          <w:rFonts w:hint="eastAsia" w:eastAsia="方正仿宋_GBK"/>
          <w:color w:val="000000"/>
          <w:sz w:val="28"/>
        </w:rPr>
        <w:t>4.提升企业群众获得感和满意度</w:t>
      </w:r>
    </w:p>
    <w:p>
      <w:pPr>
        <w:spacing w:line="500" w:lineRule="exact"/>
        <w:ind w:firstLine="560"/>
        <w:rPr>
          <w:rFonts w:eastAsia="方正仿宋_GBK"/>
          <w:color w:val="000000"/>
          <w:sz w:val="28"/>
        </w:rPr>
      </w:pPr>
      <w:r>
        <w:rPr>
          <w:rFonts w:hint="eastAsia" w:eastAsia="方正仿宋_GBK"/>
          <w:color w:val="000000"/>
          <w:sz w:val="28"/>
        </w:rPr>
        <w:t>扎实开展“便民利企主题活动”，进一步增强企业群众的获得感和满意度。</w:t>
      </w:r>
    </w:p>
    <w:p>
      <w:pPr>
        <w:spacing w:line="500" w:lineRule="exact"/>
        <w:ind w:firstLine="560"/>
        <w:rPr>
          <w:rFonts w:eastAsia="方正仿宋_GBK"/>
          <w:color w:val="000000"/>
          <w:sz w:val="28"/>
        </w:rPr>
      </w:pPr>
      <w:r>
        <w:rPr>
          <w:rFonts w:hint="eastAsia" w:eastAsia="方正仿宋_GBK"/>
          <w:color w:val="000000"/>
          <w:sz w:val="28"/>
        </w:rPr>
        <w:t>（二）分项绩效目标</w:t>
      </w:r>
    </w:p>
    <w:p>
      <w:pPr>
        <w:spacing w:line="500" w:lineRule="exact"/>
        <w:ind w:firstLine="560"/>
        <w:rPr>
          <w:rFonts w:eastAsia="方正仿宋_GBK"/>
          <w:color w:val="000000"/>
          <w:sz w:val="28"/>
        </w:rPr>
      </w:pPr>
      <w:r>
        <w:rPr>
          <w:rFonts w:hint="eastAsia" w:eastAsia="方正仿宋_GBK"/>
          <w:color w:val="000000"/>
          <w:sz w:val="28"/>
        </w:rPr>
        <w:t>1.行政审批大楼运行和审批业务工作经费绩效目标：</w:t>
      </w:r>
    </w:p>
    <w:p>
      <w:pPr>
        <w:spacing w:line="500" w:lineRule="exact"/>
        <w:ind w:firstLine="560"/>
        <w:rPr>
          <w:rFonts w:eastAsia="方正仿宋_GBK"/>
          <w:color w:val="000000"/>
          <w:sz w:val="28"/>
        </w:rPr>
      </w:pPr>
      <w:r>
        <w:rPr>
          <w:rFonts w:hint="eastAsia" w:eastAsia="方正仿宋_GBK"/>
          <w:color w:val="000000"/>
          <w:sz w:val="28"/>
        </w:rPr>
        <w:t>承办上级交办的各项事项，协调推进机关日常工作。完成机关运转需要的办公、维修、文印等事务管理工作，综合业务完成率达到100%。大楼近4000平米环境卫生、绿植养护及安全防卫完成率达到100%。政府服务热线电话电话办结率、回访满意率均达到98%。审批业务顺利办结,相关审批事项出证率达到100%。现场勘验工作顺利实施出现场率达到100%。提高勘验工作的专业性,第三方专业技术进行评价服务完采纳达到100%。</w:t>
      </w:r>
    </w:p>
    <w:p>
      <w:pPr>
        <w:spacing w:line="500" w:lineRule="exact"/>
        <w:ind w:firstLine="560"/>
        <w:rPr>
          <w:rFonts w:eastAsia="方正仿宋_GBK"/>
          <w:color w:val="000000"/>
          <w:sz w:val="28"/>
        </w:rPr>
      </w:pPr>
      <w:r>
        <w:rPr>
          <w:rFonts w:hint="eastAsia" w:eastAsia="方正仿宋_GBK"/>
          <w:color w:val="000000"/>
          <w:sz w:val="28"/>
        </w:rPr>
        <w:t>2.公共资源交易活动职责绩效目标：</w:t>
      </w:r>
    </w:p>
    <w:p>
      <w:pPr>
        <w:spacing w:line="500" w:lineRule="exact"/>
        <w:ind w:firstLine="560"/>
        <w:rPr>
          <w:rFonts w:eastAsia="方正仿宋_GBK"/>
          <w:color w:val="000000"/>
          <w:sz w:val="28"/>
        </w:rPr>
      </w:pPr>
      <w:r>
        <w:rPr>
          <w:rFonts w:hint="eastAsia" w:eastAsia="方正仿宋_GBK"/>
          <w:color w:val="000000"/>
          <w:sz w:val="28"/>
        </w:rPr>
        <w:t>评标工作正常有序开展，评标过程标准化，为各级政府单位采购工作提供数据支撑和科学参考,确保招投标结果的科学性、正确性,按规定抽取专家评审，确保全年系统稳定运行，累计故障时间可控范围内；公共资源交易中心门户网站维护，确保网站安全运行，外联单位信息全面可查询，网站全年安全访问。建立完善规则统一、公开透明、服务高效、监督规范的公共资源交易平台体系，实现公共资源交易全部线上留痕率达100%，政府采购公开招标、工程建设项目全流程电子化覆盖率100%。</w:t>
      </w:r>
    </w:p>
    <w:p>
      <w:pPr>
        <w:spacing w:line="500" w:lineRule="exact"/>
        <w:ind w:firstLine="560"/>
        <w:rPr>
          <w:rFonts w:eastAsia="方正仿宋_GBK"/>
          <w:color w:val="000000"/>
          <w:sz w:val="28"/>
        </w:rPr>
      </w:pPr>
      <w:r>
        <w:rPr>
          <w:rFonts w:hint="eastAsia" w:eastAsia="方正仿宋_GBK"/>
          <w:color w:val="000000"/>
          <w:sz w:val="28"/>
        </w:rPr>
        <w:t>3.推进“互联网＋政务服务”工作职责绩效目标：</w:t>
      </w:r>
    </w:p>
    <w:p>
      <w:pPr>
        <w:spacing w:line="500" w:lineRule="exact"/>
        <w:ind w:firstLine="560"/>
        <w:rPr>
          <w:rFonts w:eastAsia="方正仿宋_GBK"/>
          <w:color w:val="000000"/>
          <w:sz w:val="28"/>
        </w:rPr>
      </w:pPr>
      <w:r>
        <w:rPr>
          <w:rFonts w:hint="eastAsia" w:eastAsia="方正仿宋_GBK"/>
          <w:color w:val="000000"/>
          <w:sz w:val="28"/>
        </w:rPr>
        <w:t>保证县一体化政务服务平台与市平台连通顺畅，满足县级正常业务办理使用，推进县政务服务平台与垂建业务系统对接，承接部分审批职能，实现接口对接、数据调用和结果汇聚等功能。确保系统功能完善率95%以上。</w:t>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p>
    <w:p>
      <w:pPr>
        <w:spacing w:line="500" w:lineRule="exact"/>
        <w:ind w:firstLine="560"/>
        <w:rPr>
          <w:rFonts w:eastAsia="方正仿宋_GBK"/>
          <w:color w:val="000000"/>
          <w:sz w:val="28"/>
        </w:rPr>
      </w:pPr>
      <w:r>
        <w:rPr>
          <w:rFonts w:hint="eastAsia" w:eastAsia="方正仿宋_GBK"/>
          <w:color w:val="000000"/>
          <w:sz w:val="28"/>
        </w:rPr>
        <w:t>4.社会信用体系建设运维职责绩效目标：</w:t>
      </w:r>
    </w:p>
    <w:p>
      <w:pPr>
        <w:spacing w:line="500" w:lineRule="exact"/>
        <w:ind w:firstLine="560"/>
        <w:rPr>
          <w:rFonts w:eastAsia="方正仿宋_GBK"/>
          <w:color w:val="000000"/>
          <w:sz w:val="28"/>
        </w:rPr>
      </w:pPr>
      <w:r>
        <w:rPr>
          <w:rFonts w:hint="eastAsia" w:eastAsia="方正仿宋_GBK"/>
          <w:color w:val="000000"/>
          <w:sz w:val="28"/>
        </w:rPr>
        <w:t>提升我县信用门户网站和信用信息共享平台建设水平，完善平台信用信息采集报送共享、公示查询管理、联合奖惩、场景应用、信用监管、数据分析和信息安全等系统，推进信用服务应用“高度集成、一网通办”。</w:t>
      </w:r>
    </w:p>
    <w:p>
      <w:pPr>
        <w:spacing w:line="500" w:lineRule="exact"/>
        <w:ind w:firstLine="560"/>
        <w:rPr>
          <w:rFonts w:eastAsia="方正仿宋_GBK"/>
          <w:color w:val="000000"/>
          <w:sz w:val="28"/>
        </w:rPr>
      </w:pPr>
      <w:r>
        <w:rPr>
          <w:rFonts w:hint="eastAsia" w:eastAsia="方正仿宋_GBK"/>
          <w:color w:val="000000"/>
          <w:sz w:val="28"/>
        </w:rPr>
        <w:t>（三）工作保障措施</w:t>
      </w:r>
    </w:p>
    <w:p>
      <w:pPr>
        <w:spacing w:line="500" w:lineRule="exact"/>
        <w:ind w:firstLine="560"/>
        <w:rPr>
          <w:rFonts w:eastAsia="方正仿宋_GBK"/>
          <w:color w:val="000000"/>
          <w:sz w:val="28"/>
        </w:rPr>
      </w:pPr>
      <w:r>
        <w:rPr>
          <w:rFonts w:hint="eastAsia" w:eastAsia="方正仿宋_GBK"/>
          <w:color w:val="000000"/>
          <w:sz w:val="28"/>
        </w:rPr>
        <w:t>1.持续做好审批服务。通过节假日“不打烊”、帮办代办、特事特办、预约服务、延时服务，倡导推进“网上办、指尖办、预约办、邮寄办”，严格测温登记、查验健康码等措施，保障审批服务不断档。</w:t>
      </w:r>
    </w:p>
    <w:p>
      <w:pPr>
        <w:spacing w:line="500" w:lineRule="exact"/>
        <w:ind w:firstLine="560"/>
        <w:rPr>
          <w:rFonts w:eastAsia="方正仿宋_GBK"/>
          <w:color w:val="000000"/>
          <w:sz w:val="28"/>
        </w:rPr>
      </w:pPr>
      <w:r>
        <w:rPr>
          <w:rFonts w:hint="eastAsia" w:eastAsia="方正仿宋_GBK"/>
          <w:color w:val="000000"/>
          <w:sz w:val="28"/>
        </w:rPr>
        <w:t>2.加强审批服务标准化建设。一是大力推进政务服务事项标准化工作，编制完善政务服务事项权责清单；持续推进一次性告知书和审查要点标准化，为企业群众提供规范便捷的办事指引。二是认真组织实施《成安县政务服务“好差评”评价实施办法》，加强素质提升、服务环境、服务行为、事项公开、绩效考核等方面的管理，持续推进政务服务系统标准规范、科学高效。</w:t>
      </w:r>
    </w:p>
    <w:p>
      <w:pPr>
        <w:spacing w:line="500" w:lineRule="exact"/>
        <w:ind w:firstLine="560"/>
        <w:rPr>
          <w:rFonts w:eastAsia="方正仿宋_GBK"/>
          <w:color w:val="000000"/>
          <w:sz w:val="28"/>
        </w:rPr>
      </w:pPr>
      <w:r>
        <w:rPr>
          <w:rFonts w:hint="eastAsia" w:eastAsia="方正仿宋_GBK"/>
          <w:color w:val="000000"/>
          <w:sz w:val="28"/>
        </w:rPr>
        <w:t>3.持续推进简政放权优化服务。一是结合我省相关工作方案，制定我县涉企经营许可事项告知承诺制的工作方案，推动“证照分离”改革全覆盖落地落实。二是按照国务院工作安排，继续衔接取消一批事项，承接上级下放事项，并结合我县工作实际，研究向乡镇放一批事项，加大简政放权力度，进一步便民利企。三是继续深化“一件事、一次办”改革，再造办事流程，取消重复材料，压减办理时限，全流程标准化办理，实现一窗受理、一表申请、一次提交、极简审批的集成服务。</w:t>
      </w:r>
    </w:p>
    <w:p>
      <w:pPr>
        <w:spacing w:line="500" w:lineRule="exact"/>
        <w:ind w:firstLine="560"/>
        <w:rPr>
          <w:rFonts w:eastAsia="方正仿宋_GBK"/>
          <w:color w:val="000000"/>
          <w:sz w:val="28"/>
        </w:rPr>
      </w:pPr>
      <w:r>
        <w:rPr>
          <w:rFonts w:hint="eastAsia" w:eastAsia="方正仿宋_GBK"/>
          <w:color w:val="000000"/>
          <w:sz w:val="28"/>
        </w:rPr>
        <w:t>4.深化工程建设项目审批制度改革。一是推进工程建设审批管理系统与邯郸政务服务网对接，依托工程建设项目审批管理系统网上办事大厅，推行智能化申报和审批。二是全面落实上级部署，进一步抓好并联审批、联合验收、区域评估应用等工作开展。</w:t>
      </w:r>
    </w:p>
    <w:p>
      <w:pPr>
        <w:spacing w:line="500" w:lineRule="exact"/>
        <w:ind w:firstLine="560"/>
        <w:rPr>
          <w:rFonts w:eastAsia="方正仿宋_GBK"/>
          <w:color w:val="000000"/>
          <w:sz w:val="28"/>
        </w:rPr>
      </w:pPr>
      <w:r>
        <w:rPr>
          <w:rFonts w:hint="eastAsia" w:eastAsia="方正仿宋_GBK"/>
          <w:color w:val="000000"/>
          <w:sz w:val="28"/>
        </w:rPr>
        <w:t>5.紧盯公共资源交易工作。一是进一步加强公共资源交易平台建设，在功能适应性方面持续优化升级，推进交易中心电子档案系统和电子保函平台的建设应用，持续提升全流程电子化水平。二是进一步精简交易环节、简化交易流程，取消不必要的人员到场和纸质材料，让数据“多跑路”、群众“少跑腿”，做到交易进场“零门槛”，交易过程“零拖延”，交易环节“零障碍”，交易服务“零距离”。三是严格落实疫情防控期间公共资源交易工作方案，严格做好入场登记，严格标区出入管理，按照“能简则简、能优则优、特事特办、急事急办”的原则，稳妥有序地开展公共资源交易工作。</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1、JZ2022公务交通补贴绩效目标表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资金总额</w:t>
            </w:r>
          </w:p>
        </w:tc>
        <w:tc>
          <w:tcPr>
            <w:tcW w:w="2835" w:type="dxa"/>
            <w:vAlign w:val="center"/>
          </w:tcPr>
          <w:p>
            <w:pPr>
              <w:pStyle w:val="10"/>
            </w:pPr>
            <w:r>
              <w:t>资金总额</w:t>
            </w:r>
          </w:p>
        </w:tc>
        <w:tc>
          <w:tcPr>
            <w:tcW w:w="2551" w:type="dxa"/>
            <w:vAlign w:val="center"/>
          </w:tcPr>
          <w:p>
            <w:pPr>
              <w:pStyle w:val="10"/>
            </w:pPr>
            <w:r>
              <w:t>2.99万元</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到位率</w:t>
            </w:r>
          </w:p>
        </w:tc>
        <w:tc>
          <w:tcPr>
            <w:tcW w:w="2835" w:type="dxa"/>
            <w:vAlign w:val="center"/>
          </w:tcPr>
          <w:p>
            <w:pPr>
              <w:pStyle w:val="10"/>
            </w:pPr>
            <w:r>
              <w:t>到位率</w:t>
            </w:r>
          </w:p>
        </w:tc>
        <w:tc>
          <w:tcPr>
            <w:tcW w:w="2551" w:type="dxa"/>
            <w:vAlign w:val="center"/>
          </w:tcPr>
          <w:p>
            <w:pPr>
              <w:pStyle w:val="10"/>
            </w:pPr>
            <w:r>
              <w:t>100百分比</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质量指标</w:t>
            </w:r>
          </w:p>
        </w:tc>
        <w:tc>
          <w:tcPr>
            <w:tcW w:w="2551" w:type="dxa"/>
            <w:vAlign w:val="center"/>
          </w:tcPr>
          <w:p>
            <w:pPr>
              <w:pStyle w:val="10"/>
            </w:pPr>
            <w:r>
              <w:t>无</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成本指标</w:t>
            </w:r>
          </w:p>
        </w:tc>
        <w:tc>
          <w:tcPr>
            <w:tcW w:w="2551" w:type="dxa"/>
            <w:vAlign w:val="center"/>
          </w:tcPr>
          <w:p>
            <w:pPr>
              <w:pStyle w:val="10"/>
            </w:pPr>
            <w:r>
              <w:t>无</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100百分比</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100百分比</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w:t>
            </w:r>
          </w:p>
        </w:tc>
        <w:tc>
          <w:tcPr>
            <w:tcW w:w="2835" w:type="dxa"/>
            <w:vAlign w:val="center"/>
          </w:tcPr>
          <w:p>
            <w:pPr>
              <w:pStyle w:val="10"/>
            </w:pPr>
            <w:r>
              <w:t>生态效益</w:t>
            </w:r>
          </w:p>
        </w:tc>
        <w:tc>
          <w:tcPr>
            <w:tcW w:w="2551" w:type="dxa"/>
            <w:vAlign w:val="center"/>
          </w:tcPr>
          <w:p>
            <w:pPr>
              <w:pStyle w:val="10"/>
            </w:pPr>
            <w:r>
              <w:t>无</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无</w:t>
            </w:r>
          </w:p>
        </w:tc>
        <w:tc>
          <w:tcPr>
            <w:tcW w:w="2268" w:type="dxa"/>
            <w:vAlign w:val="center"/>
          </w:tcPr>
          <w:p>
            <w:pPr>
              <w:pStyle w:val="10"/>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100百分比</w:t>
            </w:r>
          </w:p>
        </w:tc>
        <w:tc>
          <w:tcPr>
            <w:tcW w:w="2268" w:type="dxa"/>
            <w:vAlign w:val="center"/>
          </w:tcPr>
          <w:p>
            <w:pPr>
              <w:pStyle w:val="10"/>
            </w:pPr>
            <w:r>
              <w:t>依据公务交通补贴标准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2、JZ2022公用类项目绩效目标表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经费金额</w:t>
            </w:r>
          </w:p>
        </w:tc>
        <w:tc>
          <w:tcPr>
            <w:tcW w:w="2835" w:type="dxa"/>
            <w:vAlign w:val="center"/>
          </w:tcPr>
          <w:p>
            <w:pPr>
              <w:pStyle w:val="10"/>
            </w:pPr>
            <w:r>
              <w:t>经费金额</w:t>
            </w:r>
          </w:p>
        </w:tc>
        <w:tc>
          <w:tcPr>
            <w:tcW w:w="2551" w:type="dxa"/>
            <w:vAlign w:val="center"/>
          </w:tcPr>
          <w:p>
            <w:pPr>
              <w:pStyle w:val="10"/>
            </w:pPr>
            <w:r>
              <w:t>9.51万元</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经费到位率</w:t>
            </w:r>
          </w:p>
        </w:tc>
        <w:tc>
          <w:tcPr>
            <w:tcW w:w="2835" w:type="dxa"/>
            <w:vAlign w:val="center"/>
          </w:tcPr>
          <w:p>
            <w:pPr>
              <w:pStyle w:val="10"/>
            </w:pPr>
            <w:r>
              <w:t>经费到位率</w:t>
            </w:r>
          </w:p>
        </w:tc>
        <w:tc>
          <w:tcPr>
            <w:tcW w:w="2551" w:type="dxa"/>
            <w:vAlign w:val="center"/>
          </w:tcPr>
          <w:p>
            <w:pPr>
              <w:pStyle w:val="10"/>
            </w:pPr>
            <w:r>
              <w:t>100百分比</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经费时效</w:t>
            </w:r>
          </w:p>
        </w:tc>
        <w:tc>
          <w:tcPr>
            <w:tcW w:w="2835" w:type="dxa"/>
            <w:vAlign w:val="center"/>
          </w:tcPr>
          <w:p>
            <w:pPr>
              <w:pStyle w:val="10"/>
            </w:pPr>
            <w:r>
              <w:t>时效</w:t>
            </w:r>
          </w:p>
        </w:tc>
        <w:tc>
          <w:tcPr>
            <w:tcW w:w="2551" w:type="dxa"/>
            <w:vAlign w:val="center"/>
          </w:tcPr>
          <w:p>
            <w:pPr>
              <w:pStyle w:val="10"/>
            </w:pPr>
            <w:r>
              <w:t>1年</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预算执行</w:t>
            </w:r>
          </w:p>
        </w:tc>
        <w:tc>
          <w:tcPr>
            <w:tcW w:w="2835" w:type="dxa"/>
            <w:vAlign w:val="center"/>
          </w:tcPr>
          <w:p>
            <w:pPr>
              <w:pStyle w:val="10"/>
            </w:pPr>
            <w:r>
              <w:t>完成年度预算资金安排</w:t>
            </w:r>
          </w:p>
        </w:tc>
        <w:tc>
          <w:tcPr>
            <w:tcW w:w="2551" w:type="dxa"/>
            <w:vAlign w:val="center"/>
          </w:tcPr>
          <w:p>
            <w:pPr>
              <w:pStyle w:val="10"/>
            </w:pPr>
            <w:r>
              <w:t>9.51万元</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成本利用率</w:t>
            </w:r>
          </w:p>
        </w:tc>
        <w:tc>
          <w:tcPr>
            <w:tcW w:w="2835" w:type="dxa"/>
            <w:vAlign w:val="center"/>
          </w:tcPr>
          <w:p>
            <w:pPr>
              <w:pStyle w:val="10"/>
            </w:pPr>
            <w:r>
              <w:t>成本利用率</w:t>
            </w:r>
          </w:p>
        </w:tc>
        <w:tc>
          <w:tcPr>
            <w:tcW w:w="2551" w:type="dxa"/>
            <w:vAlign w:val="center"/>
          </w:tcPr>
          <w:p>
            <w:pPr>
              <w:pStyle w:val="10"/>
            </w:pPr>
            <w:r>
              <w:t>100百分比</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无</w:t>
            </w:r>
          </w:p>
        </w:tc>
        <w:tc>
          <w:tcPr>
            <w:tcW w:w="2268" w:type="dxa"/>
            <w:vAlign w:val="center"/>
          </w:tcPr>
          <w:p>
            <w:pPr>
              <w:pStyle w:val="10"/>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受益群众满意度调查</w:t>
            </w:r>
          </w:p>
        </w:tc>
        <w:tc>
          <w:tcPr>
            <w:tcW w:w="2835" w:type="dxa"/>
            <w:vAlign w:val="center"/>
          </w:tcPr>
          <w:p>
            <w:pPr>
              <w:pStyle w:val="10"/>
            </w:pPr>
            <w:r>
              <w:t>受益群众满意度调查</w:t>
            </w:r>
          </w:p>
        </w:tc>
        <w:tc>
          <w:tcPr>
            <w:tcW w:w="2551" w:type="dxa"/>
            <w:vAlign w:val="center"/>
          </w:tcPr>
          <w:p>
            <w:pPr>
              <w:pStyle w:val="10"/>
            </w:pPr>
            <w:r>
              <w:t>100百分比</w:t>
            </w:r>
          </w:p>
        </w:tc>
        <w:tc>
          <w:tcPr>
            <w:tcW w:w="2268" w:type="dxa"/>
            <w:vAlign w:val="center"/>
          </w:tcPr>
          <w:p>
            <w:pPr>
              <w:pStyle w:val="10"/>
            </w:pPr>
            <w:r>
              <w:t>依据</w:t>
            </w:r>
            <w:r>
              <w:rPr>
                <w:rFonts w:hint="eastAsia"/>
                <w:lang w:eastAsia="zh-CN"/>
              </w:rPr>
              <w:t>县委县政府</w:t>
            </w:r>
            <w:r>
              <w:t>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3、JZ2022审批局工作人员统一着装项目绩效目标表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1.按合同支付支位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w:t>
            </w:r>
          </w:p>
        </w:tc>
        <w:tc>
          <w:tcPr>
            <w:tcW w:w="2835" w:type="dxa"/>
            <w:vAlign w:val="center"/>
          </w:tcPr>
          <w:p>
            <w:pPr>
              <w:pStyle w:val="10"/>
            </w:pPr>
            <w:r>
              <w:t>人数</w:t>
            </w:r>
          </w:p>
        </w:tc>
        <w:tc>
          <w:tcPr>
            <w:tcW w:w="2551" w:type="dxa"/>
            <w:vAlign w:val="center"/>
          </w:tcPr>
          <w:p>
            <w:pPr>
              <w:pStyle w:val="10"/>
            </w:pPr>
            <w:r>
              <w:t>156人</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2835" w:type="dxa"/>
            <w:vAlign w:val="center"/>
          </w:tcPr>
          <w:p>
            <w:pPr>
              <w:pStyle w:val="10"/>
            </w:pPr>
            <w:r>
              <w:t>按期完成率</w:t>
            </w:r>
          </w:p>
        </w:tc>
        <w:tc>
          <w:tcPr>
            <w:tcW w:w="2551" w:type="dxa"/>
            <w:vAlign w:val="center"/>
          </w:tcPr>
          <w:p>
            <w:pPr>
              <w:pStyle w:val="10"/>
            </w:pPr>
            <w:r>
              <w:t>100百分比</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w:t>
            </w:r>
          </w:p>
        </w:tc>
        <w:tc>
          <w:tcPr>
            <w:tcW w:w="2835" w:type="dxa"/>
            <w:vAlign w:val="center"/>
          </w:tcPr>
          <w:p>
            <w:pPr>
              <w:pStyle w:val="10"/>
            </w:pPr>
            <w:r>
              <w:t>成本</w:t>
            </w:r>
          </w:p>
        </w:tc>
        <w:tc>
          <w:tcPr>
            <w:tcW w:w="2551" w:type="dxa"/>
            <w:vAlign w:val="center"/>
          </w:tcPr>
          <w:p>
            <w:pPr>
              <w:pStyle w:val="10"/>
            </w:pPr>
            <w:r>
              <w:t>23.4万元</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服装合格率</w:t>
            </w:r>
          </w:p>
        </w:tc>
        <w:tc>
          <w:tcPr>
            <w:tcW w:w="2835" w:type="dxa"/>
            <w:vAlign w:val="center"/>
          </w:tcPr>
          <w:p>
            <w:pPr>
              <w:pStyle w:val="10"/>
            </w:pPr>
            <w:r>
              <w:t>服装合格率</w:t>
            </w:r>
          </w:p>
        </w:tc>
        <w:tc>
          <w:tcPr>
            <w:tcW w:w="2551" w:type="dxa"/>
            <w:vAlign w:val="center"/>
          </w:tcPr>
          <w:p>
            <w:pPr>
              <w:pStyle w:val="10"/>
            </w:pPr>
            <w:r>
              <w:t>100百分比</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100百分比</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社会氛围</w:t>
            </w:r>
          </w:p>
        </w:tc>
        <w:tc>
          <w:tcPr>
            <w:tcW w:w="2835" w:type="dxa"/>
            <w:vAlign w:val="center"/>
          </w:tcPr>
          <w:p>
            <w:pPr>
              <w:pStyle w:val="10"/>
            </w:pPr>
            <w:r>
              <w:t>社会氛围</w:t>
            </w:r>
          </w:p>
        </w:tc>
        <w:tc>
          <w:tcPr>
            <w:tcW w:w="2551" w:type="dxa"/>
            <w:vAlign w:val="center"/>
          </w:tcPr>
          <w:p>
            <w:pPr>
              <w:pStyle w:val="10"/>
            </w:pPr>
            <w:r>
              <w:t>100百分比</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持续影响</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持续影响</w:t>
            </w:r>
          </w:p>
        </w:tc>
        <w:tc>
          <w:tcPr>
            <w:tcW w:w="2268" w:type="dxa"/>
            <w:vAlign w:val="center"/>
          </w:tcPr>
          <w:p>
            <w:pPr>
              <w:pStyle w:val="10"/>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≥100百分比</w:t>
            </w:r>
          </w:p>
        </w:tc>
        <w:tc>
          <w:tcPr>
            <w:tcW w:w="2268" w:type="dxa"/>
            <w:vAlign w:val="center"/>
          </w:tcPr>
          <w:p>
            <w:pPr>
              <w:pStyle w:val="10"/>
            </w:pPr>
            <w:r>
              <w:t>依据批复文件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4、JZ2022综合服务站“样板间”基建项目建设费绩效目标表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w:t>
            </w:r>
          </w:p>
        </w:tc>
        <w:tc>
          <w:tcPr>
            <w:tcW w:w="2835" w:type="dxa"/>
            <w:vAlign w:val="center"/>
          </w:tcPr>
          <w:p>
            <w:pPr>
              <w:pStyle w:val="10"/>
            </w:pPr>
            <w:r>
              <w:t>行政村数量</w:t>
            </w:r>
          </w:p>
        </w:tc>
        <w:tc>
          <w:tcPr>
            <w:tcW w:w="2551" w:type="dxa"/>
            <w:vAlign w:val="center"/>
          </w:tcPr>
          <w:p>
            <w:pPr>
              <w:pStyle w:val="10"/>
            </w:pPr>
            <w:r>
              <w:t>45个</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使用时效</w:t>
            </w:r>
          </w:p>
        </w:tc>
        <w:tc>
          <w:tcPr>
            <w:tcW w:w="2835" w:type="dxa"/>
            <w:vAlign w:val="center"/>
          </w:tcPr>
          <w:p>
            <w:pPr>
              <w:pStyle w:val="10"/>
            </w:pPr>
            <w:r>
              <w:t>使用时效</w:t>
            </w:r>
          </w:p>
        </w:tc>
        <w:tc>
          <w:tcPr>
            <w:tcW w:w="2551" w:type="dxa"/>
            <w:vAlign w:val="center"/>
          </w:tcPr>
          <w:p>
            <w:pPr>
              <w:pStyle w:val="10"/>
            </w:pPr>
            <w:r>
              <w:t>1年</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项目建设合格率</w:t>
            </w:r>
          </w:p>
        </w:tc>
        <w:tc>
          <w:tcPr>
            <w:tcW w:w="2835" w:type="dxa"/>
            <w:vAlign w:val="center"/>
          </w:tcPr>
          <w:p>
            <w:pPr>
              <w:pStyle w:val="10"/>
            </w:pPr>
            <w:r>
              <w:t>建设合格率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1.7万元</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2835" w:type="dxa"/>
            <w:vAlign w:val="center"/>
          </w:tcPr>
          <w:p>
            <w:pPr>
              <w:pStyle w:val="10"/>
            </w:pPr>
            <w:r>
              <w:t xml:space="preserve">基础设施建成后的利用、使用情况 </w:t>
            </w:r>
          </w:p>
          <w:p>
            <w:pPr>
              <w:pStyle w:val="10"/>
            </w:pPr>
          </w:p>
          <w:p>
            <w:pPr>
              <w:pStyle w:val="10"/>
            </w:pP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构建和谐劳动关系</w:t>
            </w:r>
          </w:p>
        </w:tc>
        <w:tc>
          <w:tcPr>
            <w:tcW w:w="2835" w:type="dxa"/>
            <w:vAlign w:val="center"/>
          </w:tcPr>
          <w:p>
            <w:pPr>
              <w:pStyle w:val="10"/>
            </w:pPr>
            <w:r>
              <w:t>构建和谐劳动关系</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生态效益增长率</w:t>
            </w:r>
          </w:p>
        </w:tc>
        <w:tc>
          <w:tcPr>
            <w:tcW w:w="2835" w:type="dxa"/>
            <w:vAlign w:val="center"/>
          </w:tcPr>
          <w:p>
            <w:pPr>
              <w:pStyle w:val="10"/>
            </w:pPr>
            <w:r>
              <w:t>生态效益增长率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长远</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≥100百分比</w:t>
            </w:r>
          </w:p>
        </w:tc>
        <w:tc>
          <w:tcPr>
            <w:tcW w:w="2268" w:type="dxa"/>
            <w:vAlign w:val="center"/>
          </w:tcPr>
          <w:p>
            <w:pPr>
              <w:pStyle w:val="10"/>
            </w:pPr>
            <w:r>
              <w:t>依据批准文件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5、经费增加项目绩效目标表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1.保障单位日常运转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政务服务中心人员数</w:t>
            </w:r>
          </w:p>
        </w:tc>
        <w:tc>
          <w:tcPr>
            <w:tcW w:w="2835" w:type="dxa"/>
            <w:vAlign w:val="center"/>
          </w:tcPr>
          <w:p>
            <w:pPr>
              <w:pStyle w:val="10"/>
            </w:pPr>
            <w:r>
              <w:t>政务服务中心人员数</w:t>
            </w:r>
          </w:p>
        </w:tc>
        <w:tc>
          <w:tcPr>
            <w:tcW w:w="2551" w:type="dxa"/>
            <w:vAlign w:val="center"/>
          </w:tcPr>
          <w:p>
            <w:pPr>
              <w:pStyle w:val="10"/>
            </w:pPr>
            <w:r>
              <w:t>≥160人</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资金使用率</w:t>
            </w:r>
          </w:p>
        </w:tc>
        <w:tc>
          <w:tcPr>
            <w:tcW w:w="2835" w:type="dxa"/>
            <w:vAlign w:val="center"/>
          </w:tcPr>
          <w:p>
            <w:pPr>
              <w:pStyle w:val="10"/>
            </w:pPr>
            <w:r>
              <w:t>资金使用率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资金使用完成时效</w:t>
            </w:r>
          </w:p>
        </w:tc>
        <w:tc>
          <w:tcPr>
            <w:tcW w:w="2835" w:type="dxa"/>
            <w:vAlign w:val="center"/>
          </w:tcPr>
          <w:p>
            <w:pPr>
              <w:pStyle w:val="10"/>
            </w:pPr>
            <w:r>
              <w:t>资金使用完成时效</w:t>
            </w:r>
          </w:p>
        </w:tc>
        <w:tc>
          <w:tcPr>
            <w:tcW w:w="2551" w:type="dxa"/>
            <w:vAlign w:val="center"/>
          </w:tcPr>
          <w:p>
            <w:pPr>
              <w:pStyle w:val="10"/>
            </w:pPr>
            <w:r>
              <w:t>1年</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经费总额</w:t>
            </w:r>
          </w:p>
        </w:tc>
        <w:tc>
          <w:tcPr>
            <w:tcW w:w="2835" w:type="dxa"/>
            <w:vAlign w:val="center"/>
          </w:tcPr>
          <w:p>
            <w:pPr>
              <w:pStyle w:val="10"/>
            </w:pPr>
            <w:r>
              <w:t>经费总额</w:t>
            </w:r>
          </w:p>
        </w:tc>
        <w:tc>
          <w:tcPr>
            <w:tcW w:w="2551" w:type="dxa"/>
            <w:vAlign w:val="center"/>
          </w:tcPr>
          <w:p>
            <w:pPr>
              <w:pStyle w:val="10"/>
            </w:pPr>
            <w:r>
              <w:t>39.48万元</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保障政务服务能力</w:t>
            </w:r>
          </w:p>
        </w:tc>
        <w:tc>
          <w:tcPr>
            <w:tcW w:w="2835" w:type="dxa"/>
            <w:vAlign w:val="center"/>
          </w:tcPr>
          <w:p>
            <w:pPr>
              <w:pStyle w:val="10"/>
            </w:pPr>
            <w:r>
              <w:t>保障服务能力</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生态效益提升值%</w:t>
            </w:r>
          </w:p>
        </w:tc>
        <w:tc>
          <w:tcPr>
            <w:tcW w:w="2835" w:type="dxa"/>
            <w:vAlign w:val="center"/>
          </w:tcPr>
          <w:p>
            <w:pPr>
              <w:pStyle w:val="10"/>
            </w:pPr>
            <w:r>
              <w:t>生态效益提升值%</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可持续影响率</w:t>
            </w:r>
          </w:p>
        </w:tc>
        <w:tc>
          <w:tcPr>
            <w:tcW w:w="2835" w:type="dxa"/>
            <w:vAlign w:val="center"/>
          </w:tcPr>
          <w:p>
            <w:pPr>
              <w:pStyle w:val="10"/>
            </w:pPr>
            <w:r>
              <w:t>资金对政务服务中心的影响率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≥100百分比</w:t>
            </w:r>
          </w:p>
        </w:tc>
        <w:tc>
          <w:tcPr>
            <w:tcW w:w="2268" w:type="dxa"/>
            <w:vAlign w:val="center"/>
          </w:tcPr>
          <w:p>
            <w:pPr>
              <w:pStyle w:val="10"/>
            </w:pPr>
            <w:r>
              <w:t>依据批准文件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6、开办企业首章免费刻制项目绩效目标表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1.为新开办企业免费刻制公章</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开办企业数量</w:t>
            </w:r>
          </w:p>
        </w:tc>
        <w:tc>
          <w:tcPr>
            <w:tcW w:w="2835" w:type="dxa"/>
            <w:vAlign w:val="center"/>
          </w:tcPr>
          <w:p>
            <w:pPr>
              <w:pStyle w:val="10"/>
            </w:pPr>
            <w:r>
              <w:t>2022年8月至12月预计开办企业数</w:t>
            </w:r>
          </w:p>
        </w:tc>
        <w:tc>
          <w:tcPr>
            <w:tcW w:w="2551" w:type="dxa"/>
            <w:vAlign w:val="center"/>
          </w:tcPr>
          <w:p>
            <w:pPr>
              <w:pStyle w:val="10"/>
            </w:pPr>
            <w:r>
              <w:t>≥900家</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公章使用率</w:t>
            </w:r>
          </w:p>
        </w:tc>
        <w:tc>
          <w:tcPr>
            <w:tcW w:w="2835" w:type="dxa"/>
            <w:vAlign w:val="center"/>
          </w:tcPr>
          <w:p>
            <w:pPr>
              <w:pStyle w:val="10"/>
            </w:pPr>
            <w:r>
              <w:t>企业使用率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公章刻制时效</w:t>
            </w:r>
          </w:p>
        </w:tc>
        <w:tc>
          <w:tcPr>
            <w:tcW w:w="2835" w:type="dxa"/>
            <w:vAlign w:val="center"/>
          </w:tcPr>
          <w:p>
            <w:pPr>
              <w:pStyle w:val="10"/>
            </w:pPr>
            <w:r>
              <w:t>公章制作时效</w:t>
            </w:r>
          </w:p>
        </w:tc>
        <w:tc>
          <w:tcPr>
            <w:tcW w:w="2551" w:type="dxa"/>
            <w:vAlign w:val="center"/>
          </w:tcPr>
          <w:p>
            <w:pPr>
              <w:pStyle w:val="10"/>
            </w:pPr>
            <w:r>
              <w:t>1天</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一套印章的成本</w:t>
            </w:r>
          </w:p>
        </w:tc>
        <w:tc>
          <w:tcPr>
            <w:tcW w:w="2835" w:type="dxa"/>
            <w:vAlign w:val="center"/>
          </w:tcPr>
          <w:p>
            <w:pPr>
              <w:pStyle w:val="10"/>
            </w:pPr>
            <w:r>
              <w:t>印章成本</w:t>
            </w:r>
          </w:p>
        </w:tc>
        <w:tc>
          <w:tcPr>
            <w:tcW w:w="2551" w:type="dxa"/>
            <w:vAlign w:val="center"/>
          </w:tcPr>
          <w:p>
            <w:pPr>
              <w:pStyle w:val="10"/>
            </w:pPr>
            <w:r>
              <w:t>300元</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经济效益增加值</w:t>
            </w:r>
          </w:p>
        </w:tc>
        <w:tc>
          <w:tcPr>
            <w:tcW w:w="2835" w:type="dxa"/>
            <w:vAlign w:val="center"/>
          </w:tcPr>
          <w:p>
            <w:pPr>
              <w:pStyle w:val="10"/>
            </w:pPr>
            <w:r>
              <w:t>通过项目开展对经济效益提升值</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该项目对社会效益的提升</w:t>
            </w:r>
          </w:p>
        </w:tc>
        <w:tc>
          <w:tcPr>
            <w:tcW w:w="2835" w:type="dxa"/>
            <w:vAlign w:val="center"/>
          </w:tcPr>
          <w:p>
            <w:pPr>
              <w:pStyle w:val="10"/>
            </w:pPr>
            <w:r>
              <w:t>该项目对社会效益的提升</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项目对生态效益提升比</w:t>
            </w:r>
          </w:p>
        </w:tc>
        <w:tc>
          <w:tcPr>
            <w:tcW w:w="2835" w:type="dxa"/>
            <w:vAlign w:val="center"/>
          </w:tcPr>
          <w:p>
            <w:pPr>
              <w:pStyle w:val="10"/>
            </w:pPr>
            <w:r>
              <w:t>项目对生态效益提升比值</w:t>
            </w:r>
          </w:p>
        </w:tc>
        <w:tc>
          <w:tcPr>
            <w:tcW w:w="2551" w:type="dxa"/>
            <w:vAlign w:val="center"/>
          </w:tcPr>
          <w:p>
            <w:pPr>
              <w:pStyle w:val="10"/>
            </w:pPr>
            <w:r>
              <w:t>≥100百分比</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长期</w:t>
            </w:r>
          </w:p>
        </w:tc>
        <w:tc>
          <w:tcPr>
            <w:tcW w:w="2268" w:type="dxa"/>
            <w:vAlign w:val="center"/>
          </w:tcPr>
          <w:p>
            <w:pPr>
              <w:pStyle w:val="10"/>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服务对象满意比例</w:t>
            </w:r>
          </w:p>
        </w:tc>
        <w:tc>
          <w:tcPr>
            <w:tcW w:w="2835" w:type="dxa"/>
            <w:vAlign w:val="center"/>
          </w:tcPr>
          <w:p>
            <w:pPr>
              <w:pStyle w:val="10"/>
            </w:pPr>
            <w:r>
              <w:t>服务对象满意比例</w:t>
            </w:r>
          </w:p>
        </w:tc>
        <w:tc>
          <w:tcPr>
            <w:tcW w:w="2551" w:type="dxa"/>
            <w:vAlign w:val="center"/>
          </w:tcPr>
          <w:p>
            <w:pPr>
              <w:pStyle w:val="10"/>
            </w:pPr>
            <w:r>
              <w:t>≥100百分比</w:t>
            </w:r>
          </w:p>
        </w:tc>
        <w:tc>
          <w:tcPr>
            <w:tcW w:w="2268" w:type="dxa"/>
            <w:vAlign w:val="center"/>
          </w:tcPr>
          <w:p>
            <w:pPr>
              <w:pStyle w:val="10"/>
            </w:pPr>
            <w:r>
              <w:t>依据批准文件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2023年，成安县行政审批局本级安排政府采购预算0.00万元。具体内容见下表。</w:t>
      </w:r>
    </w:p>
    <w:p>
      <w:pPr>
        <w:jc w:val="center"/>
      </w:pPr>
      <w:r>
        <w:rPr>
          <w:rFonts w:hint="eastAsia" w:ascii="方正小标宋_GBK" w:hAnsi="方正小标宋_GBK" w:eastAsia="方正小标宋_GBK" w:cs="方正小标宋_GBK"/>
          <w:color w:val="000000"/>
          <w:sz w:val="36"/>
          <w:lang w:val="uk-UA"/>
        </w:rPr>
        <w:t>部门政府采购预算</w:t>
      </w:r>
    </w:p>
    <w:tbl>
      <w:tblPr>
        <w:tblStyle w:val="2"/>
        <w:tblW w:w="16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965"/>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4" w:type="dxa"/>
            <w:gridSpan w:val="7"/>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rFonts w:hint="eastAsia"/>
                <w:kern w:val="2"/>
              </w:rPr>
              <w:t>223</w:t>
            </w:r>
            <w:r>
              <w:rPr>
                <w:rFonts w:hint="eastAsia"/>
                <w:kern w:val="2"/>
                <w:lang w:val="uk-UA"/>
              </w:rPr>
              <w:t>成安县行政审批局</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22"/>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7" w:type="dxa"/>
            <w:gridSpan w:val="2"/>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计量</w:t>
            </w:r>
            <w:r>
              <w:rPr>
                <w:rFonts w:hint="eastAsia"/>
                <w:kern w:val="2"/>
              </w:rPr>
              <w:t xml:space="preserve">  </w:t>
            </w:r>
            <w:r>
              <w:rPr>
                <w:rFonts w:hint="eastAsia"/>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rPr>
              <w:t>2022</w:t>
            </w:r>
            <w:r>
              <w:rPr>
                <w:rFonts w:hint="eastAsia"/>
                <w:kern w:val="2"/>
                <w:lang w:val="uk-UA"/>
              </w:rPr>
              <w:t>年</w:t>
            </w:r>
            <w:r>
              <w:rPr>
                <w:rFonts w:hint="eastAsia"/>
                <w:kern w:val="2"/>
              </w:rPr>
              <w:t xml:space="preserve">  </w:t>
            </w:r>
            <w:r>
              <w:rPr>
                <w:rFonts w:hint="eastAsia"/>
                <w:kern w:val="2"/>
                <w:lang w:val="uk-UA"/>
              </w:rPr>
              <w:t>预留中</w:t>
            </w:r>
            <w:r>
              <w:rPr>
                <w:rFonts w:hint="eastAsia"/>
                <w:kern w:val="2"/>
              </w:rPr>
              <w:t xml:space="preserve">  </w:t>
            </w:r>
            <w:r>
              <w:rPr>
                <w:rFonts w:hint="eastAsia"/>
                <w:kern w:val="2"/>
                <w:lang w:val="uk-UA"/>
              </w:rPr>
              <w:t>小微企</w:t>
            </w:r>
            <w:r>
              <w:rPr>
                <w:rFonts w:hint="eastAsia"/>
                <w:kern w:val="2"/>
              </w:rPr>
              <w:t xml:space="preserve">  </w:t>
            </w:r>
            <w:r>
              <w:rPr>
                <w:rFonts w:hint="eastAsia"/>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项目名称</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预算</w:t>
            </w:r>
            <w:r>
              <w:rPr>
                <w:rFonts w:hint="eastAsia"/>
                <w:kern w:val="2"/>
              </w:rPr>
              <w:t xml:space="preserve">    </w:t>
            </w:r>
            <w:r>
              <w:rPr>
                <w:rFonts w:hint="eastAsia"/>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单位</w:t>
            </w:r>
            <w:r>
              <w:rPr>
                <w:rFonts w:hint="eastAsia"/>
                <w:kern w:val="2"/>
              </w:rPr>
              <w:t xml:space="preserve">    </w:t>
            </w:r>
            <w:r>
              <w:rPr>
                <w:rFonts w:hint="eastAsia"/>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财政拨</w:t>
            </w:r>
            <w:r>
              <w:rPr>
                <w:rFonts w:hint="eastAsia"/>
                <w:kern w:val="2"/>
              </w:rPr>
              <w:t xml:space="preserve">    </w:t>
            </w:r>
            <w:r>
              <w:rPr>
                <w:rFonts w:hint="eastAsia"/>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kern w:val="2"/>
              </w:rPr>
            </w:pPr>
            <w:r>
              <w:rPr>
                <w:rFonts w:hint="eastAsia"/>
                <w:kern w:val="2"/>
                <w:lang w:val="uk-UA"/>
              </w:rPr>
              <w:t>非财政</w:t>
            </w:r>
            <w:r>
              <w:rPr>
                <w:rFonts w:hint="eastAsia"/>
                <w:kern w:val="2"/>
              </w:rPr>
              <w:t xml:space="preserve">    </w:t>
            </w:r>
            <w:r>
              <w:rPr>
                <w:rFonts w:hint="eastAsia"/>
                <w:kern w:val="2"/>
                <w:lang w:val="uk-UA"/>
              </w:rPr>
              <w:t>拨款结</w:t>
            </w:r>
            <w:r>
              <w:rPr>
                <w:rFonts w:hint="eastAsia"/>
                <w:kern w:val="2"/>
              </w:rPr>
              <w:t xml:space="preserve">    </w:t>
            </w:r>
            <w:r>
              <w:rPr>
                <w:rFonts w:hint="eastAsia"/>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val="uk-UA" w:eastAsia="zh-CN"/>
              </w:rPr>
            </w:pPr>
            <w:r>
              <w:rPr>
                <w:rFonts w:hint="eastAsia" w:eastAsiaTheme="minorEastAsia"/>
                <w:b w:val="0"/>
                <w:kern w:val="2"/>
                <w:lang w:val="uk-UA" w:eastAsia="zh-CN"/>
              </w:rPr>
              <w:t>合计：</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lang w:val="uk-UA"/>
              </w:rPr>
              <w:t>服务热线经费</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8"/>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8"/>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p>
        </w:tc>
      </w:tr>
    </w:tbl>
    <w:p>
      <w:pPr>
        <w:spacing w:line="500" w:lineRule="exact"/>
        <w:ind w:firstLine="420"/>
        <w:rPr>
          <w:rFonts w:eastAsiaTheme="minorEastAsia"/>
          <w:lang w:eastAsia="zh-CN"/>
        </w:rPr>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420"/>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成安县行政审批局（含所属单位）上年末固定资产金额为</w:t>
      </w:r>
      <w:r>
        <w:rPr>
          <w:rFonts w:hint="eastAsia" w:ascii="方正书宋_GBK" w:hAnsi="方正书宋_GBK" w:eastAsia="方正书宋_GBK" w:cs="方正书宋_GBK"/>
          <w:color w:val="000000"/>
          <w:sz w:val="28"/>
          <w:szCs w:val="28"/>
        </w:rPr>
        <w:t>183.803488万元</w:t>
      </w:r>
      <w:r>
        <w:rPr>
          <w:rFonts w:ascii="方正书宋_GBK" w:hAnsi="方正书宋_GBK" w:eastAsia="方正书宋_GBK" w:cs="方正书宋_GBK"/>
          <w:color w:val="000000"/>
          <w:sz w:val="28"/>
          <w:szCs w:val="28"/>
        </w:rPr>
        <w:t>（详见下表）。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223成安县行政审批局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资产总额</w:t>
            </w:r>
          </w:p>
        </w:tc>
        <w:tc>
          <w:tcPr>
            <w:tcW w:w="2835" w:type="dxa"/>
            <w:vAlign w:val="center"/>
          </w:tcPr>
          <w:p>
            <w:pPr>
              <w:pStyle w:val="8"/>
              <w:rPr>
                <w:b w:val="0"/>
              </w:rPr>
            </w:pPr>
            <w:r>
              <w:rPr>
                <w:rFonts w:hint="eastAsia"/>
                <w:b w:val="0"/>
              </w:rPr>
              <w:t>——</w:t>
            </w:r>
          </w:p>
        </w:tc>
        <w:tc>
          <w:tcPr>
            <w:tcW w:w="2835" w:type="dxa"/>
            <w:vAlign w:val="center"/>
          </w:tcPr>
          <w:p>
            <w:pPr>
              <w:pStyle w:val="8"/>
              <w:rPr>
                <w:b w:val="0"/>
              </w:rPr>
            </w:pPr>
            <w:r>
              <w:rPr>
                <w:rFonts w:hint="eastAsia"/>
                <w:b w:val="0"/>
              </w:rPr>
              <w:t>183.803488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1、房屋（平方米）</w:t>
            </w:r>
          </w:p>
        </w:tc>
        <w:tc>
          <w:tcPr>
            <w:tcW w:w="2835" w:type="dxa"/>
            <w:vAlign w:val="center"/>
          </w:tcPr>
          <w:p>
            <w:pPr>
              <w:pStyle w:val="8"/>
              <w:rPr>
                <w:b w:val="0"/>
              </w:rPr>
            </w:pPr>
            <w:r>
              <w:rPr>
                <w:rFonts w:hint="eastAsia"/>
                <w:b w:val="0"/>
              </w:rPr>
              <w:t>3900</w:t>
            </w:r>
          </w:p>
        </w:tc>
        <w:tc>
          <w:tcPr>
            <w:tcW w:w="2835" w:type="dxa"/>
            <w:vAlign w:val="center"/>
          </w:tcPr>
          <w:p>
            <w:pPr>
              <w:pStyle w:val="8"/>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其中：办公用房（平方米）</w:t>
            </w:r>
          </w:p>
        </w:tc>
        <w:tc>
          <w:tcPr>
            <w:tcW w:w="2835" w:type="dxa"/>
            <w:vAlign w:val="center"/>
          </w:tcPr>
          <w:p>
            <w:pPr>
              <w:pStyle w:val="8"/>
              <w:rPr>
                <w:b w:val="0"/>
              </w:rPr>
            </w:pPr>
            <w:r>
              <w:rPr>
                <w:rFonts w:hint="eastAsia"/>
                <w:b w:val="0"/>
              </w:rPr>
              <w:t>3900</w:t>
            </w:r>
          </w:p>
        </w:tc>
        <w:tc>
          <w:tcPr>
            <w:tcW w:w="2835" w:type="dxa"/>
            <w:vAlign w:val="center"/>
          </w:tcPr>
          <w:p>
            <w:pPr>
              <w:pStyle w:val="8"/>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2、车辆（台、辆）</w:t>
            </w:r>
          </w:p>
        </w:tc>
        <w:tc>
          <w:tcPr>
            <w:tcW w:w="2835" w:type="dxa"/>
            <w:vAlign w:val="center"/>
          </w:tcPr>
          <w:p>
            <w:pPr>
              <w:pStyle w:val="8"/>
              <w:rPr>
                <w:b w:val="0"/>
              </w:rPr>
            </w:pPr>
            <w:r>
              <w:rPr>
                <w:rFonts w:hint="eastAsia"/>
                <w:b w:val="0"/>
              </w:rPr>
              <w:t>0</w:t>
            </w:r>
          </w:p>
        </w:tc>
        <w:tc>
          <w:tcPr>
            <w:tcW w:w="2835" w:type="dxa"/>
            <w:vAlign w:val="center"/>
          </w:tcPr>
          <w:p>
            <w:pPr>
              <w:pStyle w:val="8"/>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3、单价在50万元以上的设备</w:t>
            </w:r>
          </w:p>
        </w:tc>
        <w:tc>
          <w:tcPr>
            <w:tcW w:w="2835" w:type="dxa"/>
            <w:vAlign w:val="center"/>
          </w:tcPr>
          <w:p>
            <w:pPr>
              <w:pStyle w:val="8"/>
              <w:rPr>
                <w:b w:val="0"/>
              </w:rPr>
            </w:pPr>
            <w:r>
              <w:rPr>
                <w:rFonts w:hint="eastAsia"/>
                <w:b w:val="0"/>
              </w:rPr>
              <w:t>0</w:t>
            </w:r>
          </w:p>
        </w:tc>
        <w:tc>
          <w:tcPr>
            <w:tcW w:w="2835" w:type="dxa"/>
            <w:vAlign w:val="center"/>
          </w:tcPr>
          <w:p>
            <w:pPr>
              <w:pStyle w:val="8"/>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8"/>
              <w:rPr>
                <w:b w:val="0"/>
              </w:rPr>
            </w:pPr>
            <w:r>
              <w:rPr>
                <w:rFonts w:hint="eastAsia"/>
                <w:b w:val="0"/>
              </w:rPr>
              <w:t>4、其他固定资产</w:t>
            </w:r>
          </w:p>
        </w:tc>
        <w:tc>
          <w:tcPr>
            <w:tcW w:w="2835" w:type="dxa"/>
            <w:vAlign w:val="center"/>
          </w:tcPr>
          <w:p>
            <w:pPr>
              <w:pStyle w:val="8"/>
              <w:rPr>
                <w:b w:val="0"/>
              </w:rPr>
            </w:pPr>
            <w:r>
              <w:rPr>
                <w:rFonts w:hint="eastAsia"/>
                <w:b w:val="0"/>
              </w:rPr>
              <w:t>11458</w:t>
            </w:r>
          </w:p>
        </w:tc>
        <w:tc>
          <w:tcPr>
            <w:tcW w:w="2835" w:type="dxa"/>
            <w:vAlign w:val="center"/>
          </w:tcPr>
          <w:p>
            <w:pPr>
              <w:pStyle w:val="8"/>
              <w:rPr>
                <w:b w:val="0"/>
              </w:rPr>
            </w:pPr>
            <w:r>
              <w:rPr>
                <w:rFonts w:hint="eastAsia"/>
                <w:b w:val="0"/>
              </w:rPr>
              <w:t>183.803488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hYjc5ZWFkOTZiZDA4NWMwYTAyMjRlMzBlYTViMzgifQ=="/>
  </w:docVars>
  <w:rsids>
    <w:rsidRoot w:val="00705E9C"/>
    <w:rsid w:val="00254A8F"/>
    <w:rsid w:val="0034514B"/>
    <w:rsid w:val="00365DD6"/>
    <w:rsid w:val="00382F03"/>
    <w:rsid w:val="004D2B99"/>
    <w:rsid w:val="00522522"/>
    <w:rsid w:val="00567020"/>
    <w:rsid w:val="007017AF"/>
    <w:rsid w:val="00705E9C"/>
    <w:rsid w:val="009E08D2"/>
    <w:rsid w:val="00A118DA"/>
    <w:rsid w:val="00A22916"/>
    <w:rsid w:val="00E251E5"/>
    <w:rsid w:val="00E315C9"/>
    <w:rsid w:val="0A2543F1"/>
    <w:rsid w:val="20D5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2023-02-14T11:45:35Z</dcterms:created>
  <dcterms:modified xsi:type="dcterms:W3CDTF">2023-02-14T03:45:35Z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2023-02-14T11:45:35Z</dcterms:created>
  <dcterms:modified xsi:type="dcterms:W3CDTF">2023-02-14T03:45:35Z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2023-02-14T11:45:34Z</dcterms:created>
  <dcterms:modified xsi:type="dcterms:W3CDTF">2023-02-14T03:45:34Z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2023-02-14T11:45:52Z</dcterms:created>
  <dcterms:modified xsi:type="dcterms:W3CDTF">2023-02-14T03:45:52Z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2023-02-14T11:45:34Z</dcterms:created>
  <dcterms:modified xsi:type="dcterms:W3CDTF">2023-02-14T03:45:34Z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2023-02-14T11:45:39Z</dcterms:created>
  <dcterms:modified xsi:type="dcterms:W3CDTF">2023-02-14T03:45:39Z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2023-02-14T11:45:52Z</dcterms:created>
  <dcterms:modified xsi:type="dcterms:W3CDTF">2023-02-14T03:45:52Z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2023-02-14T11:45:53Z</dcterms:created>
  <dcterms:modified xsi:type="dcterms:W3CDTF">2023-02-14T03:45:53Z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2023-02-14T11:45:34Z</dcterms:created>
  <dcterms:modified xsi:type="dcterms:W3CDTF">2023-02-14T03:45:34Z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2023-02-14T11:45:53Z</dcterms:created>
  <dcterms:modified xsi:type="dcterms:W3CDTF">2023-02-14T03:45:53Z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2023-02-14T11:45:34Z</dcterms:created>
  <dcterms:modified xsi:type="dcterms:W3CDTF">2023-02-14T03:45:34Z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2023-02-14T11:45:33Z</dcterms:created>
  <dcterms:modified xsi:type="dcterms:W3CDTF">2023-02-14T03:45:33Z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2023-02-14T11:45:35Z</dcterms:created>
  <dcterms:modified xsi:type="dcterms:W3CDTF">2023-02-14T03:45:35Z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2023-02-14T11:45:34Z</dcterms:created>
  <dcterms:modified xsi:type="dcterms:W3CDTF">2023-02-14T03:45:34Z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2023-02-14T11:45:52Z</dcterms:created>
  <dcterms:modified xsi:type="dcterms:W3CDTF">2023-02-14T03:45:52Z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2023-02-14T11:45:52Z</dcterms:created>
  <dcterms:modified xsi:type="dcterms:W3CDTF">2023-02-14T03:45:52Z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2023-02-14T11:45:52Z</dcterms:created>
  <dcterms:modified xsi:type="dcterms:W3CDTF">2023-02-14T03:45:52Z</dcterms:modified>
</cp:coreProperties>
</file>

<file path=customXml/itemProps1.xml><?xml version="1.0" encoding="utf-8"?>
<ds:datastoreItem xmlns:ds="http://schemas.openxmlformats.org/officeDocument/2006/customXml" ds:itemID="{6608C8F3-6959-4E1B-B29D-F23C42EE161F}">
  <ds:schemaRefs/>
</ds:datastoreItem>
</file>

<file path=customXml/itemProps10.xml><?xml version="1.0" encoding="utf-8"?>
<ds:datastoreItem xmlns:ds="http://schemas.openxmlformats.org/officeDocument/2006/customXml" ds:itemID="{FA6D376E-6BB0-4991-8B23-268AC099D748}">
  <ds:schemaRefs/>
</ds:datastoreItem>
</file>

<file path=customXml/itemProps11.xml><?xml version="1.0" encoding="utf-8"?>
<ds:datastoreItem xmlns:ds="http://schemas.openxmlformats.org/officeDocument/2006/customXml" ds:itemID="{BD60E23A-BD89-49F6-80F7-5ABA98E274EC}">
  <ds:schemaRefs/>
</ds:datastoreItem>
</file>

<file path=customXml/itemProps12.xml><?xml version="1.0" encoding="utf-8"?>
<ds:datastoreItem xmlns:ds="http://schemas.openxmlformats.org/officeDocument/2006/customXml" ds:itemID="{C5A10776-5DA3-4EBF-8E28-8B1B80F04131}">
  <ds:schemaRefs/>
</ds:datastoreItem>
</file>

<file path=customXml/itemProps13.xml><?xml version="1.0" encoding="utf-8"?>
<ds:datastoreItem xmlns:ds="http://schemas.openxmlformats.org/officeDocument/2006/customXml" ds:itemID="{AE4F8EE7-8A95-414E-9C5E-F41219E88DEB}">
  <ds:schemaRefs/>
</ds:datastoreItem>
</file>

<file path=customXml/itemProps14.xml><?xml version="1.0" encoding="utf-8"?>
<ds:datastoreItem xmlns:ds="http://schemas.openxmlformats.org/officeDocument/2006/customXml" ds:itemID="{D407C4EB-5814-44F2-8BDE-A5241EB3762F}">
  <ds:schemaRefs/>
</ds:datastoreItem>
</file>

<file path=customXml/itemProps15.xml><?xml version="1.0" encoding="utf-8"?>
<ds:datastoreItem xmlns:ds="http://schemas.openxmlformats.org/officeDocument/2006/customXml" ds:itemID="{68018E1D-74F2-4454-AA95-79719C8A8387}">
  <ds:schemaRefs/>
</ds:datastoreItem>
</file>

<file path=customXml/itemProps16.xml><?xml version="1.0" encoding="utf-8"?>
<ds:datastoreItem xmlns:ds="http://schemas.openxmlformats.org/officeDocument/2006/customXml" ds:itemID="{C66BCE14-2CC7-469B-83F4-EFD60E610751}">
  <ds:schemaRefs/>
</ds:datastoreItem>
</file>

<file path=customXml/itemProps17.xml><?xml version="1.0" encoding="utf-8"?>
<ds:datastoreItem xmlns:ds="http://schemas.openxmlformats.org/officeDocument/2006/customXml" ds:itemID="{FC60B418-7CA6-464A-844F-ED1C5D36015A}">
  <ds:schemaRefs/>
</ds:datastoreItem>
</file>

<file path=customXml/itemProps18.xml><?xml version="1.0" encoding="utf-8"?>
<ds:datastoreItem xmlns:ds="http://schemas.openxmlformats.org/officeDocument/2006/customXml" ds:itemID="{894D39F0-4826-485E-B6CB-76C3F1C3B3D4}">
  <ds:schemaRefs/>
</ds:datastoreItem>
</file>

<file path=customXml/itemProps19.xml><?xml version="1.0" encoding="utf-8"?>
<ds:datastoreItem xmlns:ds="http://schemas.openxmlformats.org/officeDocument/2006/customXml" ds:itemID="{AC0E3B41-C937-497F-A445-7D539B9921D4}">
  <ds:schemaRefs/>
</ds:datastoreItem>
</file>

<file path=customXml/itemProps2.xml><?xml version="1.0" encoding="utf-8"?>
<ds:datastoreItem xmlns:ds="http://schemas.openxmlformats.org/officeDocument/2006/customXml" ds:itemID="{5FD77233-6599-4B81-A97C-933696C9F816}">
  <ds:schemaRefs/>
</ds:datastoreItem>
</file>

<file path=customXml/itemProps20.xml><?xml version="1.0" encoding="utf-8"?>
<ds:datastoreItem xmlns:ds="http://schemas.openxmlformats.org/officeDocument/2006/customXml" ds:itemID="{E9F4D7C1-EAC1-4C7D-9A46-2D517B3BC7D9}">
  <ds:schemaRefs/>
</ds:datastoreItem>
</file>

<file path=customXml/itemProps21.xml><?xml version="1.0" encoding="utf-8"?>
<ds:datastoreItem xmlns:ds="http://schemas.openxmlformats.org/officeDocument/2006/customXml" ds:itemID="{714828E1-EB4B-4686-B4E2-D8CDD8516C21}">
  <ds:schemaRefs/>
</ds:datastoreItem>
</file>

<file path=customXml/itemProps22.xml><?xml version="1.0" encoding="utf-8"?>
<ds:datastoreItem xmlns:ds="http://schemas.openxmlformats.org/officeDocument/2006/customXml" ds:itemID="{49711C77-33F1-4D36-B969-8ED55044DEBD}">
  <ds:schemaRefs/>
</ds:datastoreItem>
</file>

<file path=customXml/itemProps23.xml><?xml version="1.0" encoding="utf-8"?>
<ds:datastoreItem xmlns:ds="http://schemas.openxmlformats.org/officeDocument/2006/customXml" ds:itemID="{97E43209-8321-4D08-8A99-85F397107735}">
  <ds:schemaRefs/>
</ds:datastoreItem>
</file>

<file path=customXml/itemProps24.xml><?xml version="1.0" encoding="utf-8"?>
<ds:datastoreItem xmlns:ds="http://schemas.openxmlformats.org/officeDocument/2006/customXml" ds:itemID="{1E534792-0E20-446C-8818-BD0E3CE472D6}">
  <ds:schemaRefs/>
</ds:datastoreItem>
</file>

<file path=customXml/itemProps25.xml><?xml version="1.0" encoding="utf-8"?>
<ds:datastoreItem xmlns:ds="http://schemas.openxmlformats.org/officeDocument/2006/customXml" ds:itemID="{3A96C4C7-7FAD-4466-B6F3-32865DE2DA94}">
  <ds:schemaRefs/>
</ds:datastoreItem>
</file>

<file path=customXml/itemProps26.xml><?xml version="1.0" encoding="utf-8"?>
<ds:datastoreItem xmlns:ds="http://schemas.openxmlformats.org/officeDocument/2006/customXml" ds:itemID="{3B706731-C233-40E5-BD24-6F7E6B9CA5BB}">
  <ds:schemaRefs/>
</ds:datastoreItem>
</file>

<file path=customXml/itemProps27.xml><?xml version="1.0" encoding="utf-8"?>
<ds:datastoreItem xmlns:ds="http://schemas.openxmlformats.org/officeDocument/2006/customXml" ds:itemID="{A4D7C55B-6628-465C-B1AB-AEFEA7CB4EB9}">
  <ds:schemaRefs/>
</ds:datastoreItem>
</file>

<file path=customXml/itemProps28.xml><?xml version="1.0" encoding="utf-8"?>
<ds:datastoreItem xmlns:ds="http://schemas.openxmlformats.org/officeDocument/2006/customXml" ds:itemID="{5024F140-E03C-4A77-BEAB-F468FB34D166}">
  <ds:schemaRefs/>
</ds:datastoreItem>
</file>

<file path=customXml/itemProps29.xml><?xml version="1.0" encoding="utf-8"?>
<ds:datastoreItem xmlns:ds="http://schemas.openxmlformats.org/officeDocument/2006/customXml" ds:itemID="{530C48D5-AFB9-4709-9A9F-89F145E9B457}">
  <ds:schemaRefs/>
</ds:datastoreItem>
</file>

<file path=customXml/itemProps3.xml><?xml version="1.0" encoding="utf-8"?>
<ds:datastoreItem xmlns:ds="http://schemas.openxmlformats.org/officeDocument/2006/customXml" ds:itemID="{DAA66F16-9315-465F-A731-51340D4E851A}">
  <ds:schemaRefs/>
</ds:datastoreItem>
</file>

<file path=customXml/itemProps30.xml><?xml version="1.0" encoding="utf-8"?>
<ds:datastoreItem xmlns:ds="http://schemas.openxmlformats.org/officeDocument/2006/customXml" ds:itemID="{1CF6A85A-65FD-44A1-95B0-46B84DA815D0}">
  <ds:schemaRefs/>
</ds:datastoreItem>
</file>

<file path=customXml/itemProps31.xml><?xml version="1.0" encoding="utf-8"?>
<ds:datastoreItem xmlns:ds="http://schemas.openxmlformats.org/officeDocument/2006/customXml" ds:itemID="{7AE613C2-219F-4698-AC17-7E4474C90BE2}">
  <ds:schemaRefs/>
</ds:datastoreItem>
</file>

<file path=customXml/itemProps32.xml><?xml version="1.0" encoding="utf-8"?>
<ds:datastoreItem xmlns:ds="http://schemas.openxmlformats.org/officeDocument/2006/customXml" ds:itemID="{318E3558-57EF-4113-A020-0E8E6FB0CD8D}">
  <ds:schemaRefs/>
</ds:datastoreItem>
</file>

<file path=customXml/itemProps33.xml><?xml version="1.0" encoding="utf-8"?>
<ds:datastoreItem xmlns:ds="http://schemas.openxmlformats.org/officeDocument/2006/customXml" ds:itemID="{B3108EF7-6BBB-4631-A824-64DD6C279758}">
  <ds:schemaRefs/>
</ds:datastoreItem>
</file>

<file path=customXml/itemProps34.xml><?xml version="1.0" encoding="utf-8"?>
<ds:datastoreItem xmlns:ds="http://schemas.openxmlformats.org/officeDocument/2006/customXml" ds:itemID="{FC250A6D-9CDC-4813-A01D-51895234B489}">
  <ds:schemaRefs/>
</ds:datastoreItem>
</file>

<file path=customXml/itemProps4.xml><?xml version="1.0" encoding="utf-8"?>
<ds:datastoreItem xmlns:ds="http://schemas.openxmlformats.org/officeDocument/2006/customXml" ds:itemID="{007F782F-D367-4EB2-A5B9-8C6438ED15DA}">
  <ds:schemaRefs/>
</ds:datastoreItem>
</file>

<file path=customXml/itemProps5.xml><?xml version="1.0" encoding="utf-8"?>
<ds:datastoreItem xmlns:ds="http://schemas.openxmlformats.org/officeDocument/2006/customXml" ds:itemID="{FAF3138D-74B3-4C60-8CF4-D7EC548B021E}">
  <ds:schemaRefs/>
</ds:datastoreItem>
</file>

<file path=customXml/itemProps6.xml><?xml version="1.0" encoding="utf-8"?>
<ds:datastoreItem xmlns:ds="http://schemas.openxmlformats.org/officeDocument/2006/customXml" ds:itemID="{8B160BC8-EBBB-4D7E-B1C9-1130F3D47ED7}">
  <ds:schemaRefs/>
</ds:datastoreItem>
</file>

<file path=customXml/itemProps7.xml><?xml version="1.0" encoding="utf-8"?>
<ds:datastoreItem xmlns:ds="http://schemas.openxmlformats.org/officeDocument/2006/customXml" ds:itemID="{CC18C294-2DC1-4A4D-96C5-C1C342D0E2C7}">
  <ds:schemaRefs/>
</ds:datastoreItem>
</file>

<file path=customXml/itemProps8.xml><?xml version="1.0" encoding="utf-8"?>
<ds:datastoreItem xmlns:ds="http://schemas.openxmlformats.org/officeDocument/2006/customXml" ds:itemID="{D3325ACE-80D1-4201-96EC-4B3C090D6E87}">
  <ds:schemaRefs/>
</ds:datastoreItem>
</file>

<file path=customXml/itemProps9.xml><?xml version="1.0" encoding="utf-8"?>
<ds:datastoreItem xmlns:ds="http://schemas.openxmlformats.org/officeDocument/2006/customXml" ds:itemID="{42047116-4D98-4B81-9C50-9CFE78D733F1}">
  <ds:schemaRefs/>
</ds:datastoreItem>
</file>

<file path=docProps/app.xml><?xml version="1.0" encoding="utf-8"?>
<Properties xmlns="http://schemas.openxmlformats.org/officeDocument/2006/extended-properties" xmlns:vt="http://schemas.openxmlformats.org/officeDocument/2006/docPropsVTypes">
  <Template>Normal</Template>
  <Pages>31</Pages>
  <Words>2347</Words>
  <Characters>13384</Characters>
  <Lines>111</Lines>
  <Paragraphs>31</Paragraphs>
  <TotalTime>10</TotalTime>
  <ScaleCrop>false</ScaleCrop>
  <LinksUpToDate>false</LinksUpToDate>
  <CharactersWithSpaces>15700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2023-02-14T11:45:00Z</dcterms:created>
  <dc:creator>dell</dc:creator>
  <cp:lastModifiedBy>dell</cp:lastModifiedBy>
  <cp:lastPrinted>2023-02-14T08:05:00Z</cp:lastPrinted>
  <dcterms:modified xsi:type="dcterms:W3CDTF">2024-01-18T03:12:00Z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340E58553420412F8E0BA4B0FEFA8A3B_12</vt:lpwstr>
  </property>
</Properties>
</file>